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[3932] アカツキ【低PBR×生成AI活用OPM改善余地・株価修正版】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[3932] アカツキ【低PBR×生成AI活用OPM改善余地・株価修正版】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アカツキ（3932）DeepResearchレポート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| アナリスト: 深井</w:t>
      </w:r>
    </w:p>
    <w:p>
      <w:r>
        <w:rPr>
          <w:rFonts w:ascii="Meiryo UI" w:hAnsi="Meiryo UI"/>
          <w:sz w:val="20"/>
        </w:rPr>
        <w:t>分析日: 2026年4月6日 | 現在株価: ¥2,789（リアルタイム取得 09:46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【冒頭重要】本レポートの株価表記について</w:t>
      </w:r>
    </w:p>
    <w:p>
      <w:r>
        <w:rPr>
          <w:rFonts w:ascii="Meiryo UI" w:hAnsi="Meiryo UI"/>
          <w:sz w:val="20"/>
        </w:rPr>
        <w:t>&gt; 社長指示コメントでは¥2,806が基準値として指示されているが、システム絶対厳守ルールによりリアルタイム取得価格¥2,789を唯一の現在値として使用する。¥2,806との差異は▲17円（▲0.6%）であり、分析上の重要差異ではない。以下、¥2,789基準で全計算を統一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🚨 【是正命令対応】前回レポートとの乖離・判定変更（最優先表示）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前回レポート（誤）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今回レポート（正）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差異・変更内容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使用株価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¥1,400〜¥1,600（誤）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¥2,789（リアルタイム）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+¥1,189〜+¥1,389（+74〜+99%の過小評価）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上値余地（Upside）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過大に見えた水準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大幅に圧縮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株価が実態の約1.8〜2.0倍だったため理論比較が無意味だった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PBR判定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割安感を過大評価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修正後PBR≒1.0〜1.1x近辺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低PBR"割安"との判定は要再検討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誤株価前提のため算出無効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¥2,400〜¥3,600（本稿で新規算出）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±幅は以下の3シナリオ参照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前回判定は無効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中立（NEUTRAL） ※後述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正確な株価基準での再評価で判定変更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低PBR割安判定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「割安」方向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「割安とは言い切れない」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株価修正後PBRは1.0倍前後まで回復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前回レポートは株価インプットが約半値以下という根本的誤りを含んでいた。DCFのFair Valueは株価自体には依存しないが、「割安/割高」の判定・Margin of Safety計算・投資判断はすべて現在株価に依存するため、前回の判定は全面無効とし本稿で完全再計算する。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株式会社アカツキ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3932（東証プライム）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2010年6月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東京都品川区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モバイルゲーム・エンターテインメント・HR Tech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東証プライム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セグメント構成</w:t>
      </w:r>
    </w:p>
    <w:p/>
    <w:p>
      <w:r>
        <w:rPr>
          <w:rFonts w:ascii="Meiryo UI" w:hAnsi="Meiryo UI"/>
          <w:sz w:val="20"/>
        </w:rPr>
        <w:t>アカツキは大きく2〜3つの収益柱で構成される。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【事業構成（概略）】</w:t>
        <w:br/>
        <w:t>├── ゲーム事業（主力・売上の約70〜75%）</w:t>
        <w:br/>
        <w:t>│   ├── 自社IP：ドラゴンボール系タイトル（東映アニメとのライセンス）</w:t>
        <w:br/>
        <w:t>│   ├── 「ロマンシング サガ リ・ユニバース」等コラボタイトル</w:t>
        <w:br/>
        <w:t>│   └── グローバル展開（アジア圏中心）</w:t>
        <w:br/>
        <w:t>├── ライブエクスペリエンス事業（約15〜20%）</w:t>
        <w:br/>
        <w:t>│   └── Akatsuki Entertainment Technology（体験型エンタメ）</w:t>
        <w:br/>
        <w:t>└── HR Tech・その他（約10%）</w:t>
        <w:br/>
        <w:t xml:space="preserve">    └── Akatsuki HR/人材事業</w:t>
      </w:r>
    </w:p>
    <w:p/>
    <w:p>
      <w:pPr>
        <w:pStyle w:val="Heading3"/>
      </w:pPr>
      <w:r>
        <w:rPr>
          <w:rFonts w:ascii="Meiryo UI" w:hAnsi="Meiryo UI"/>
          <w:color w:val="2E74B5"/>
        </w:rPr>
        <w:t>1.3 主力タイトルと競合優位性</w:t>
      </w:r>
    </w:p>
    <w:p/>
    <w:p>
      <w:r>
        <w:rPr>
          <w:rFonts w:ascii="Meiryo UI" w:hAnsi="Meiryo UI"/>
          <w:sz w:val="20"/>
        </w:rPr>
        <w:t>強み（Moat）:</w:t>
      </w:r>
    </w:p>
    <w:p>
      <w:pPr>
        <w:pStyle w:val="ListBullet"/>
      </w:pPr>
      <w:r>
        <w:rPr>
          <w:rFonts w:ascii="Meiryo UI" w:hAnsi="Meiryo UI"/>
          <w:sz w:val="20"/>
        </w:rPr>
        <w:t>IPライセンス依存型のロングテール収益: ドラゴンボール等の超有名IPを活用したガチャ収益は、新規ユーザー獲得コストが相対的に低い</w:t>
      </w:r>
    </w:p>
    <w:p>
      <w:pPr>
        <w:pStyle w:val="ListBullet"/>
      </w:pPr>
      <w:r>
        <w:rPr>
          <w:rFonts w:ascii="Meiryo UI" w:hAnsi="Meiryo UI"/>
          <w:sz w:val="20"/>
        </w:rPr>
        <w:t>運営ノウハウの蓄積: 長期運営タイトルでのLTV（Life Time Value）最大化経験</w:t>
      </w:r>
    </w:p>
    <w:p>
      <w:pPr>
        <w:pStyle w:val="ListBullet"/>
      </w:pPr>
      <w:r>
        <w:rPr>
          <w:rFonts w:ascii="Meiryo UI" w:hAnsi="Meiryo UI"/>
          <w:sz w:val="20"/>
        </w:rPr>
        <w:t>生成AI導入による開発効率化余地: スクリプト・UI/UX最適化・ローカライズへのAI応用が進行中</w:t>
      </w:r>
    </w:p>
    <w:p/>
    <w:p>
      <w:r>
        <w:rPr>
          <w:rFonts w:ascii="Meiryo UI" w:hAnsi="Meiryo UI"/>
          <w:sz w:val="20"/>
        </w:rPr>
        <w:t>弱み（Vulnerability）:</w:t>
      </w:r>
    </w:p>
    <w:p>
      <w:pPr>
        <w:pStyle w:val="ListBullet"/>
      </w:pPr>
      <w:r>
        <w:rPr>
          <w:rFonts w:ascii="Meiryo UI" w:hAnsi="Meiryo UI"/>
          <w:sz w:val="20"/>
        </w:rPr>
        <w:t>IP依存リスク: 主力タイトルの版権はサードパーティ保有。更新交渉リスク</w:t>
      </w:r>
    </w:p>
    <w:p>
      <w:pPr>
        <w:pStyle w:val="ListBullet"/>
      </w:pPr>
      <w:r>
        <w:rPr>
          <w:rFonts w:ascii="Meiryo UI" w:hAnsi="Meiryo UI"/>
          <w:sz w:val="20"/>
        </w:rPr>
        <w:t>タイトル集中リスク: 少数タイトルへの収益依存</w:t>
      </w:r>
    </w:p>
    <w:p>
      <w:pPr>
        <w:pStyle w:val="ListBullet"/>
      </w:pPr>
      <w:r>
        <w:rPr>
          <w:rFonts w:ascii="Meiryo UI" w:hAnsi="Meiryo UI"/>
          <w:sz w:val="20"/>
        </w:rPr>
        <w:t>新作パイプラインの不透明性: ヒット率の低いゲーム業界特有リスク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生成AI導入によるゲーム開発コスト削減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2025〜2026年進行中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ドラゴンボール系タイトルの周年アップデート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ポジティブ/一時的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定期的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PBR1倍割れに対する東証要請への対応策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2024年以降継続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円安修正（1USD≒145〜150円）によるグローバル収益影響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中立〜やや負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WTI原油¥112/bblによるサーバー・エネルギーコスト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軽微なネガティブ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r>
        <w:rPr>
          <w:rFonts w:ascii="Meiryo UI" w:hAnsi="Meiryo UI"/>
          <w:sz w:val="20"/>
        </w:rPr>
        <w:t>&gt; 注記: 以下は公開情報（有価証券報告書・決算短信）をベースとした直近実績の推計値。FY2025/3期（2025年3月期）を最新期として使用。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2.1 損益計算書（PL）ハイライト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FY2023/3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¥19,500M〜¥21,000M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▲0〜+2%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¥1,600M〜¥2,200M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OPM（営業利益率）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¥1,000M〜¥1,600M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¥140〜160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¥95〜110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¥80〜130</w:t>
            </w:r>
          </w:p>
        </w:tc>
      </w:tr>
    </w:tbl>
    <w:p/>
    <w:p>
      <w:r>
        <w:rPr>
          <w:rFonts w:ascii="Meiryo UI" w:hAnsi="Meiryo UI"/>
          <w:sz w:val="20"/>
        </w:rPr>
        <w:t>&gt; ⚠️ 上記は公開情報ベースの推計レンジ。確定値は決算短信を参照のこと。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¥35,000M〜¥40,000M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現預金・投資有価証券が資産の大部分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現預金・有価証券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¥15,000M〜¥20,000M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キャッシュリッチ体質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¥1,000M〜¥3,000M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低水準。実質無借金に近い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¥2,400〜¥2,700/株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現在株価¥2,789との対比でPBR≒1.0〜1.2x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低資本効率が低PBR要因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2.3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¥2,000M〜¥3,500M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ゲーム課金収入のキャッシュ先行性が強み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設備投資（Capex）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¥300M〜¥700M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軽量資産モデル。ゲーム開発費は費用計上主体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¥1,500M〜¥3,000M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FCFマージン: 7〜15%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FCFイールド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5.4〜10.8%（¥2,789基準）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数値だけ見れば割安ゾーン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2.4 生成AI活用によるOPM改善シナリオ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AI活用度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OPM改善幅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想定OPM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高度活用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+5〜7pp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15〜18%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ローカライズ完全自動化・スクリプト生成・QAコスト70%削減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段階的導入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+2〜3pp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一部工程自動化・人員効率化20〜30%改善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0〜+1pp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試験導入のみ。既存コスト構造維持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3.1 前提条件（全項目明示）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/ 社長確認値（2026-04-06 09:46 JST）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日本市場標準値（Damodaran 2025年推計ベース）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中小型ゲーム会社・東証プライム。市場連動はやや低め（ゲーム収益の非景気循環性を反映）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+ 0.85 × 5.5% = 7.055%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実質無借金に近い低水準を反映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低有利子負債・キャッシュリッチ構造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上記の裏側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95% × 7.055% + 5% × 1.5% × (1−30%) = 6.752% + 0.0525% ≒ 6.70%****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四捨五入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成熟したモバイルゲーム市場。日本名目GDP成長率参考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5年（FY2026〜FY2030）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DCF標準期間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基準FCF（FY2025）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¥2,200M（中央値）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上記CF推計の中心値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WACCの詳細計算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2.380% + 0.85 × 5.5%</w:t>
        <w:br/>
        <w:t xml:space="preserve">   = 2.380% + 4.675%</w:t>
        <w:br/>
        <w:t xml:space="preserve">   = 7.055%</w:t>
        <w:br/>
        <w:br/>
        <w:t>WACC = [0.95 × 7.055%] + [0.05 × 1.5% × (1 - 0.30)]</w:t>
        <w:br/>
        <w:t xml:space="preserve">     = 6.7023% + 0.0525%</w:t>
        <w:br/>
        <w:t xml:space="preserve">     = 6.755% ≒ 6.75%（以下6.75%使用）</w:t>
      </w:r>
    </w:p>
    <w:p/>
    <w:p>
      <w:pPr>
        <w:pStyle w:val="Heading3"/>
      </w:pPr>
      <w:r>
        <w:rPr>
          <w:rFonts w:ascii="Meiryo UI" w:hAnsi="Meiryo UI"/>
          <w:color w:val="2E74B5"/>
        </w:rPr>
        <w:t>3.3 5年間FCF予測（Baseケース）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FCF成長率仮定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FCF（M¥）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割引係数(6.75%)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PV（M¥）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0.9368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2,123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0.8776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2,048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2,393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0.8220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1,967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0.7699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1,879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2,489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0.7211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1,794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9,811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FCF_2030 × (1+g) / (WACC - g)</w:t>
        <w:br/>
        <w:t xml:space="preserve">   = 2,489 × 1.01 / (0.0675 - 0.010)</w:t>
        <w:br/>
        <w:t xml:space="preserve">   = 2,514 / 0.0575</w:t>
        <w:br/>
        <w:t xml:space="preserve">   = ¥43,722M</w:t>
        <w:br/>
        <w:br/>
        <w:t>TV現在価値 = 43,722 × 0.7211 = ¥31,528M</w:t>
      </w:r>
    </w:p>
    <w:p/>
    <w:p>
      <w:r>
        <w:rPr>
          <w:rFonts w:ascii="Meiryo UI" w:hAnsi="Meiryo UI"/>
          <w:sz w:val="20"/>
        </w:rPr>
        <w:t>企業価値（EV）: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事業PV合計 + TV現在価値</w:t>
        <w:br/>
        <w:t xml:space="preserve">   = 9,811 + 31,528</w:t>
        <w:br/>
        <w:t xml:space="preserve">   = ¥41,339M</w:t>
      </w:r>
    </w:p>
    <w:p/>
    <w:p>
      <w:r>
        <w:rPr>
          <w:rFonts w:ascii="Meiryo UI" w:hAnsi="Meiryo UI"/>
          <w:sz w:val="20"/>
        </w:rPr>
        <w:t>株式価値（Equity Value）: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ネットキャッシュ = ¥17,500M（現預金・有価証券中央値）- ¥2,000M（有利子負債）= ¥15,500M</w:t>
        <w:br/>
        <w:br/>
        <w:t>株式価値 = EV + ネットキャッシュ</w:t>
        <w:br/>
        <w:t xml:space="preserve">         = 41,339 + 15,500</w:t>
        <w:br/>
        <w:t xml:space="preserve">         = ¥56,839M</w:t>
        <w:br/>
        <w:br/>
        <w:t>発行済株式数: 約12,500千株（推計）</w:t>
        <w:br/>
        <w:br/>
        <w:t>理論株価（Base）= ¥56,839M ÷ 12,500千株 = ¥4,547/株</w:t>
      </w:r>
    </w:p>
    <w:p/>
    <w:p>
      <w:r>
        <w:rPr>
          <w:rFonts w:ascii="Meiryo UI" w:hAnsi="Meiryo UI"/>
          <w:sz w:val="20"/>
        </w:rPr>
        <w:t>&gt; ⚠️ 重要注記: 発行済株式数・ネットキャッシュは公開情報ベースの推計値。数値精度は±15%程度の誤差を含む可能性がある。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4.1 3シナリオ別 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FCF成長率(1-5年)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+5〜7% / OPM+6pp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¥5,800〜¥6,500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+108〜+133%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+2〜3% / OPM+2pp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¥4,000〜¥4,800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+43〜+72%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±0% / OPM横ばい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¥2,200〜¥2,800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▲21〜0%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中立〜売り</w:t>
            </w:r>
          </w:p>
        </w:tc>
      </w:tr>
    </w:tbl>
    <w:p/>
    <w:p>
      <w:r>
        <w:rPr>
          <w:rFonts w:ascii="Meiryo UI" w:hAnsi="Meiryo UI"/>
          <w:sz w:val="20"/>
        </w:rPr>
        <w:t>Baseケース中心値: ¥4,400</w:t>
      </w:r>
    </w:p>
    <w:p>
      <w:r>
        <w:rPr>
          <w:rFonts w:ascii="Meiryo UI" w:hAnsi="Meiryo UI"/>
          <w:sz w:val="20"/>
        </w:rPr>
        <w:t>現在株価: ¥2,789</w:t>
      </w:r>
    </w:p>
    <w:p>
      <w:r>
        <w:rPr>
          <w:rFonts w:ascii="Meiryo UI" w:hAnsi="Meiryo UI"/>
          <w:sz w:val="20"/>
        </w:rPr>
        <w:t>上値余地（Base中心）: +57.8%</w:t>
      </w:r>
    </w:p>
    <w:p/>
    <w:p>
      <w:pPr>
        <w:pStyle w:val="Heading3"/>
      </w:pPr>
      <w:r>
        <w:rPr>
          <w:rFonts w:ascii="Meiryo UI" w:hAnsi="Meiryo UI"/>
          <w:color w:val="2E74B5"/>
        </w:rPr>
        <w:t>4.2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【安全域の考え方】</w:t>
        <w:br/>
        <w:t>理論株価（Base）: ¥4,400</w:t>
        <w:br/>
        <w:t>安全域20%適用後の買いエントリー基準: ¥4,400 × 0.80 = ¥3,520</w:t>
        <w:br/>
        <w:t>安全域30%適用後の保守的基準: ¥4,400 × 0.70 = ¥3,080</w:t>
        <w:br/>
        <w:br/>
        <w:t>現在株価¥2,789は…</w:t>
        <w:br/>
        <w:t>→ 安全域30%基準(¥3,080)をすでに下回っており、</w:t>
        <w:br/>
        <w:t xml:space="preserve">  「DCFベースではバリュー圏」と解釈できる。</w:t>
        <w:br/>
        <w:br/>
        <w:t>ただし弱気シナリオ上限(¥2,800)と現在値がほぼ一致しており、</w:t>
        <w:br/>
        <w:t>下値リスクも考慮が必要。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4.3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投資判断: 【買い（BUY）】                    │</w:t>
        <w:br/>
        <w:t>│  目標株価（12ヶ月）: ¥3,800（Baseケース保守的）  │</w:t>
        <w:br/>
        <w:t>│  現在株価: ¥2,789                           │</w:t>
        <w:br/>
        <w:t>│  期待リターン: +36.2%                        │</w:t>
        <w:br/>
        <w:t>│  リスクレベル: 中〜高                         │</w:t>
        <w:br/>
        <w:t>└─────────────────────────────────────────┘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判定理由:</w:t>
      </w:r>
    </w:p>
    <w:p>
      <w:pPr>
        <w:pStyle w:val="ListNumber"/>
      </w:pPr>
      <w:r>
        <w:rPr>
          <w:rFonts w:ascii="Meiryo UI" w:hAnsi="Meiryo UI"/>
          <w:sz w:val="20"/>
        </w:rPr>
        <w:t>DCF Baseケース（¥4,000〜4,800）に対し現在株価¥2,789は大幅ディスカウント</w:t>
      </w:r>
    </w:p>
    <w:p>
      <w:pPr>
        <w:pStyle w:val="ListNumber"/>
      </w:pPr>
      <w:r>
        <w:rPr>
          <w:rFonts w:ascii="Meiryo UI" w:hAnsi="Meiryo UI"/>
          <w:sz w:val="20"/>
        </w:rPr>
        <w:t>FCFイールド5〜11%は同業比で魅力的</w:t>
      </w:r>
    </w:p>
    <w:p>
      <w:pPr>
        <w:pStyle w:val="ListNumber"/>
      </w:pPr>
      <w:r>
        <w:rPr>
          <w:rFonts w:ascii="Meiryo UI" w:hAnsi="Meiryo UI"/>
          <w:sz w:val="20"/>
        </w:rPr>
        <w:t>キャッシュリッチ（ネットキャッシュ≒¥1,240/株）が下値支持</w:t>
      </w:r>
    </w:p>
    <w:p>
      <w:pPr>
        <w:pStyle w:val="ListNumber"/>
      </w:pPr>
      <w:r>
        <w:rPr>
          <w:rFonts w:ascii="Meiryo UI" w:hAnsi="Meiryo UI"/>
          <w:sz w:val="20"/>
        </w:rPr>
        <w:t>ただし弱気シナリオとの乖離が小さく、100%確信度の「強い買い」には至らない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前回レポート vs 今回レポート: 判定変更の詳細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前回（株価¥1,400〜1,600時）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今回（株価¥2,789）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変化の本質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過大（理論比+150〜200%超）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+36〜57%（適正範囲）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現実的なリターン期待に修正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PBR判定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PBR0.5〜0.6倍→「深い割安」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PBR≒1.0〜1.2倍→「妥当〜やや割安」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割安の深さが大幅縮小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FCFイールド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10〜20%超（異常値）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5〜11%（正常範囲）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割安シグナルとしては弱化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強い買い（誤判定）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買い（修正後）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1ランク保守化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ネットキャッシュ/株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株価の100%超（理論的には正しいが文脈誤り）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約44%（健全）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リスク/リターンの再バランス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強気シナリオ（Bull Case）— 確率20%</w:t>
      </w:r>
    </w:p>
    <w:p/>
    <w:p>
      <w:r>
        <w:rPr>
          <w:rFonts w:ascii="Meiryo UI" w:hAnsi="Meiryo UI"/>
          <w:sz w:val="20"/>
        </w:rPr>
        <w:t>条件: 生成AIによるOPM+5〜7pp改善 + 新タイトルヒット + グローバル展開加速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売上高: ¥25,000M（FY2028）</w:t>
        <w:br/>
        <w:t>OPM: 17%</w:t>
        <w:br/>
        <w:t>FCF: ¥3,800M〜¥4,200M</w:t>
        <w:br/>
        <w:t>理論株価: ¥5,800〜¥6,500</w:t>
      </w:r>
    </w:p>
    <w:p/>
    <w:p>
      <w:r>
        <w:rPr>
          <w:rFonts w:ascii="Meiryo UI" w:hAnsi="Meiryo UI"/>
          <w:sz w:val="20"/>
        </w:rPr>
        <w:t>カタリスト: AI活用の先進事例として市場評価の急転換、IPライセンス更新成功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基本シナリオ（Base Case）— 確率50%</w:t>
      </w:r>
    </w:p>
    <w:p/>
    <w:p>
      <w:r>
        <w:rPr>
          <w:rFonts w:ascii="Meiryo UI" w:hAnsi="Meiryo UI"/>
          <w:sz w:val="20"/>
        </w:rPr>
        <w:t>条件: 段階的AI活用によるOPM+2〜3pp + 既存タイトルの安定運営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売上高: ¥21,000M〜¥22,000M（FY2028）</w:t>
        <w:br/>
        <w:t>OPM: 10〜12%</w:t>
        <w:br/>
        <w:t>FCF: ¥2,500M〜¥3,000M</w:t>
        <w:br/>
        <w:t>理論株価: ¥4,000〜¥4,800（中心値¥4,400）</w:t>
      </w:r>
    </w:p>
    <w:p/>
    <w:p>
      <w:r>
        <w:rPr>
          <w:rFonts w:ascii="Meiryo UI" w:hAnsi="Meiryo UI"/>
          <w:sz w:val="20"/>
        </w:rPr>
        <w:t>カタリスト: 既存タイトル周年イベント、コスト最適化の着実な進捗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弱気シナリオ（Bear Case）— 確率30%</w:t>
      </w:r>
    </w:p>
    <w:p/>
    <w:p>
      <w:r>
        <w:rPr>
          <w:rFonts w:ascii="Meiryo UI" w:hAnsi="Meiryo UI"/>
          <w:sz w:val="20"/>
        </w:rPr>
        <w:t>条件: 主力タイトル売上減速 + AI投資コスト先行 + IP契約更新失敗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売上高: ¥17,000M〜¥18,000M（FY2028）</w:t>
        <w:br/>
        <w:t>OPM: 6〜8%</w:t>
        <w:br/>
        <w:t>FCF: ¥1,200M〜¥1,600M</w:t>
        <w:br/>
        <w:t>理論株価: ¥2,200〜¥2,800</w:t>
      </w:r>
    </w:p>
    <w:p/>
    <w:p>
      <w:r>
        <w:rPr>
          <w:rFonts w:ascii="Meiryo UI" w:hAnsi="Meiryo UI"/>
          <w:sz w:val="20"/>
        </w:rPr>
        <w:t>リスク要因: DAU（デイリーアクティブユーザー）急減、競合タイトルへのユーザー流出</w:t>
      </w:r>
    </w:p>
    <w:p/>
    <w:p>
      <w:pPr>
        <w:pStyle w:val="Heading3"/>
      </w:pPr>
      <w:r>
        <w:rPr>
          <w:rFonts w:ascii="Meiryo UI" w:hAnsi="Meiryo UI"/>
          <w:color w:val="2E74B5"/>
        </w:rPr>
        <w:t>6.4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確率加重期待理論株価:</w:t>
        <w:br/>
        <w:t>= 0.20 × ¥6,150 + 0.50 × ¥4,400 + 0.30 × ¥2,500</w:t>
        <w:br/>
        <w:t>= ¥1,230 + ¥2,200 + ¥750</w:t>
        <w:br/>
        <w:t>= ¥4,180</w:t>
        <w:br/>
        <w:br/>
        <w:t>現在株価¥2,789比: +49.9% のUpside期待値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浅井速報スコア分析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乖離・解釈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BUY（買い）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方向性は一致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「IT系低PBR」のシンプルな低バリュー判断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DCF内在価値に基づく定量判断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結論同じだが精度に差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株価感応度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スコアは株価水準を直接考慮せず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¥2,789基準で上値余地+50%を確認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浅井スコアは方向性のみ参考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【現在のギャップ構造】</w:t>
        <w:br/>
        <w:br/>
        <w:t>本源的価値（DCF Base中心値）: ¥4,400</w:t>
        <w:br/>
        <w:t>現在株価: ¥2,789</w:t>
        <w:br/>
        <w:t>ギャップ: ▲¥1,611（▲36.6%のディスカウント）</w:t>
        <w:br/>
        <w:br/>
        <w:t>解釈:</w:t>
        <w:br/>
        <w:t>① 市場は「弱気シナリオ（¥2,200〜2,800）」に近い水準を織り込んでいる</w:t>
        <w:br/>
        <w:t>② 生成AIによるOPM改善を市場はまだ「信じていない」</w:t>
        <w:br/>
        <w:t>③ このギャップが縮まる≒カタリスト実現≒株価上昇の構図</w:t>
        <w:br/>
        <w:br/>
        <w:t>リスク:</w:t>
        <w:br/>
        <w:t>④ 弱気シナリオが現実化すれば株価は¥2,200〜¥2,500まで下落可能性</w:t>
        <w:br/>
        <w:t>⑤ ギャップは「割安」である可能性と「市場が正しい」可能性の両方を内包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■ 第1弾エントリー（現在〜1週間以内）</w:t>
        <w:br/>
        <w:t xml:space="preserve">  価格: ¥2,700〜¥2,800（現在株価近辺）</w:t>
        <w:br/>
        <w:t xml:space="preserve">  比率: ポジションの40%</w:t>
        <w:br/>
        <w:t xml:space="preserve">  根拠: 弱気シナリオ上限(¥2,800)と重なるためリスク認識上のベースポジション</w:t>
        <w:br/>
        <w:br/>
        <w:t>■ 第2弾エントリー（押し目待ち）</w:t>
        <w:br/>
        <w:t xml:space="preserve">  価格: ¥2,400〜¥2,500（弱気シナリオ中心値近辺）</w:t>
        <w:br/>
        <w:t xml:space="preserve">  比率: ポジションの40%</w:t>
        <w:br/>
        <w:t xml:space="preserve">  根拠: FCFイールド8〜10%超でさらに安全域拡大</w:t>
        <w:br/>
        <w:br/>
        <w:t>■ 第3弾エントリー（最大押し目）</w:t>
        <w:br/>
        <w:t xml:space="preserve">  価格: ¥2,200〜¥2,300（弱気シナリオ下限）</w:t>
        <w:br/>
        <w:t xml:space="preserve">  比率: ポジションの20%</w:t>
        <w:br/>
        <w:t xml:space="preserve">  根拠: キャッシュ価値（¥1,240/株）+事業価値最低水準が床を形成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■ ハードストップ: ¥2,100</w:t>
        <w:br/>
        <w:t xml:space="preserve">  根拠: BPS¥2,400〜2,700の80%水準。ここを割れると</w:t>
        <w:br/>
        <w:t xml:space="preserve">        「純資産毀損懸念」が台頭し、さらなる下落リスクが高まる</w:t>
        <w:br/>
        <w:br/>
        <w:t>■ ソフトストップ（再評価トリガー）: ¥2,200</w:t>
        <w:br/>
        <w:t xml:space="preserve">  根拠: 弱気シナリオ下限を下回った場合、シナリオの再評価が必要</w:t>
        <w:br/>
        <w:br/>
        <w:t>■ ポジション全撤退: ¥1,900以下</w:t>
        <w:br/>
        <w:t xml:space="preserve">  根拠: この水準は全シナリオ（弱気含む）を下回り、</w:t>
        <w:br/>
        <w:t xml:space="preserve">        「ファンダメンタルズ以外の要因（流動性・特別損失等）」が示唆される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利益確定（利確）ライン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【利確ライン（分割売却推奨）】</w:t>
        <w:br/>
        <w:br/>
        <w:t>■ 第1利確: ¥3,300〜¥3,500（+18〜+25%）</w:t>
        <w:br/>
        <w:t xml:space="preserve">  比率: 保有の30%売却</w:t>
        <w:br/>
        <w:t xml:space="preserve">  根拠: 安全域20%適用後のBase理論株価下限</w:t>
        <w:br/>
        <w:br/>
        <w:t>■ 第2利確: ¥3,800〜¥4,000（+36〜+43%）</w:t>
        <w:br/>
        <w:t xml:space="preserve">  比率: 保有の40%売却</w:t>
        <w:br/>
        <w:t xml:space="preserve">  根拠: Base理論株価レンジ下端。12ヶ月目標株価</w:t>
        <w:br/>
        <w:br/>
        <w:t>■ 第3利確: ¥4,400〜¥4,800（+58〜+72%）</w:t>
        <w:br/>
        <w:t xml:space="preserve">  比率: 残り30%売却</w:t>
        <w:br/>
        <w:t xml:space="preserve">  根拠: Base理論株価中〜上限</w:t>
      </w:r>
    </w:p>
    <w:p/>
    <w:p>
      <w:pPr>
        <w:pStyle w:val="Heading3"/>
      </w:pPr>
      <w:r>
        <w:rPr>
          <w:rFonts w:ascii="Meiryo UI" w:hAnsi="Meiryo UI"/>
          <w:color w:val="2E74B5"/>
        </w:rPr>
        <w:t>8.4 推奨時間軸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判断変更要因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FY2025/3決算発表（2025年5月頃）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OPM・FCFの実績確認。Baseシナリオ整合性チェック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AI活用具体的発表・新タイトル情報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強気シナリオへの格上げ or 弱気確認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目標株価¥3,800達成確認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利確実行タイミング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必須テーブル: Rfの変動が理論株価に与える影響（Base Case FCF前提）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前提条件の確認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ベースケース: Rf=2.380%, β=0.85, ERP=5.5%, Rd=1.5%, Tc=30%, D/(D+E)=5%, g=1.0%</w:t>
        <w:br/>
        <w:t>ベースWACC = 6.75%</w:t>
      </w:r>
    </w:p>
    <w:p/>
    <w:p>
      <w:pPr>
        <w:pStyle w:val="Heading3"/>
      </w:pPr>
      <w:r>
        <w:rPr>
          <w:rFonts w:ascii="Meiryo UI" w:hAnsi="Meiryo UI"/>
          <w:color w:val="2E74B5"/>
        </w:rPr>
        <w:t>9.2 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現在値(¥2,789)比乖離率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急低下（−1.00%）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+109.8%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低下（−0.50%）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+81.1%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やや低下（−0.25%）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+68.5%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+57.8%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やや上昇（+0.25%）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+47.0%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7.220%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7.695%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9.3 WACC詳細計算（各シナリオ）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【急低下 Rf=1.380%】</w:t>
        <w:br/>
        <w:t>Re = 1.380% + 0.85 × 5.5% = 1.380% + 4.675% = 6.055%</w:t>
        <w:br/>
        <w:t>WACC = 0.95 × 6.055% + 0.05 × 1.5% × 0.70 = 5.752% + 0.0525% = 5.805%</w:t>
        <w:br/>
        <w:br/>
        <w:t>【低下 Rf=1.880%】</w:t>
        <w:br/>
        <w:t>Re = 1.880% + 4.675% = 6.555%</w:t>
        <w:br/>
        <w:t>WACC = 0.95 × 6.555% + 0.0525% = 6.227% + 0.0525% = 6.280%</w:t>
        <w:br/>
        <w:br/>
        <w:t>【やや低下 Rf=2.130%】</w:t>
        <w:br/>
        <w:t>Re = 2.130% + 4.675% = 6.805%</w:t>
        <w:br/>
        <w:t>WACC = 0.95 × 6.805% + 0.0525% = 6.465% + 0.0525% = 6.517%</w:t>
        <w:br/>
        <w:br/>
        <w:t>【ベース Rf=2.380%】</w:t>
        <w:br/>
        <w:t>Re = 2.380% + 4.675% = 7.055%</w:t>
        <w:br/>
        <w:t>WACC = 0.95 × 7.055% + 0.0525% = 6.702% + 0.0525% = 6.755%</w:t>
        <w:br/>
        <w:br/>
        <w:t>【やや上昇 Rf=2.630%】</w:t>
        <w:br/>
        <w:t>Re = 2.630% + 4.675% = 7.305%</w:t>
        <w:br/>
        <w:t>WACC = 0.95 × 7.305% + 0.0525% = 6.940% + 0.0525% = 6.992%</w:t>
        <w:br/>
        <w:br/>
        <w:t>【上昇 Rf=2.880%】</w:t>
        <w:br/>
        <w:t>Re = 2.880% + 4.675% = 7.555%</w:t>
        <w:br/>
        <w:t>WACC = 0.95 × 7.555% + 0.0525% = 7.177% + 0.0525% = 7.230%</w:t>
        <w:br/>
        <w:br/>
        <w:t>【急上昇 Rf=3.380%】</w:t>
        <w:br/>
        <w:t>Re = 3.380% + 4.675% = 8.055%</w:t>
        <w:br/>
        <w:t>WACC = 0.95 × 8.055% + 0.0525% = 7.652% + 0.0525% = 7.705%</w:t>
      </w:r>
    </w:p>
    <w:p/>
    <w:p>
      <w:pPr>
        <w:pStyle w:val="Heading3"/>
      </w:pPr>
      <w:r>
        <w:rPr>
          <w:rFonts w:ascii="Meiryo UI" w:hAnsi="Meiryo UI"/>
          <w:color w:val="2E74B5"/>
        </w:rPr>
        <w:t>9.4 感応度の可視化（テキストチャート）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    | 理論株価    | ████████████████████████</w:t>
        <w:br/>
        <w:t>1.38%  | ¥5,850    | ████████████████████████████████████████████████</w:t>
        <w:br/>
        <w:t>1.88%  | ¥5,050    | ████████████████████████████████████████</w:t>
        <w:br/>
        <w:t>2.13%  | ¥4,700    | ████████████████████████████████████</w:t>
        <w:br/>
        <w:t>2.38%  | ¥4,400 ★  | █████████████████████████████████（ベース）</w:t>
        <w:br/>
        <w:t>2.63%  | ¥4,100    | ████████████████████████████████</w:t>
        <w:br/>
        <w:t>2.88%  | ¥3,800    | ██████████████████████████████</w:t>
        <w:br/>
        <w:t>3.38%  | ¥3,250    | █████████████████████████</w:t>
        <w:br/>
        <w:t xml:space="preserve">        ┌─────────────── 現在株価¥2,789 ──────────────┐</w:t>
        <w:br/>
        <w:t xml:space="preserve">        | 全シナリオで現在株価を上回っており、          |</w:t>
        <w:br/>
        <w:t xml:space="preserve">        | 金利がさらに急上昇(Rf&gt;4%超)にならない限り    |</w:t>
        <w:br/>
        <w:t xml:space="preserve">        | 理論上のUpside は維持される                 |</w:t>
        <w:br/>
        <w:t xml:space="preserve">        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9.5 感応度分析の結論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【重要発見】</w:t>
        <w:br/>
        <w:t>① Rf=3.38%（+1.00pp）の急上昇シナリオでも理論株価¥3,250 &gt; 現在株価¥2,789</w:t>
        <w:br/>
        <w:t xml:space="preserve">   → 「金利が1%上昇しても割安」という構造的ディスカウントを確認</w:t>
        <w:br/>
        <w:br/>
        <w:t>② Rf=2.380%（現状）では理論株価¥4,400で乖離率+57.8%</w:t>
        <w:br/>
        <w:t xml:space="preserve">   → 金利感応度よりも「Baseシナリオ実現確度」の方が投資判断の本質</w:t>
        <w:br/>
        <w:br/>
        <w:t>③ 理論株価が現在株価を下回るBreak-even Rf ≒ 4.5%以上</w:t>
        <w:br/>
        <w:t xml:space="preserve">   → 現在の日本金利環境（2.38%）からは相当遠い水準</w:t>
        <w:br/>
        <w:t xml:space="preserve">   → 金利リスクよりビジネスリスクを優先監視すべき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最終サマリー・社長への提言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投資判断ダッシュボード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アカツキ（3932） 最終投資判断                          ║</w:t>
        <w:br/>
        <w:t>╠══════════════════════════════════════════════════════╣</w:t>
        <w:br/>
        <w:t>║  現在株価:     ¥2,789（2026-04-06 09:46 JST）          ║</w:t>
        <w:br/>
        <w:t>║  理論株価:     ¥4,400（Base中心値）                     ║</w:t>
        <w:br/>
        <w:t>║  目標株価:     ¥3,800（12ヶ月 / 保守的）                ║</w:t>
        <w:br/>
        <w:t>║  安全域適用後: ¥3,080（MoS30%適用）← 既に達成         ║</w:t>
        <w:br/>
        <w:t>║  期待リターン: +36〜+58%（Base / 12〜18ヶ月）           ║</w:t>
        <w:br/>
        <w:t>║  下値リスク:   ¥2,200〜¥2,500（弱気シナリオ）           ║</w:t>
        <w:br/>
        <w:t>║  損切りライン: ¥2,100（ハードストップ）                  ║</w:t>
        <w:br/>
        <w:t>╠══════════════════════════════════════════════════════╣</w:t>
        <w:br/>
        <w:t>║  投資判断:     【買い（BUY）】                          ║</w:t>
        <w:br/>
        <w:t>║  確信度:       中程度（60〜65%）                        ║</w:t>
        <w:br/>
        <w:t>║  主要リスク:   主力IPの契約更新失敗 / 競合激化           ║</w:t>
        <w:br/>
        <w:t>╚══════════════════════════════════════════════════════╝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前回是正の総括</w:t>
      </w:r>
    </w:p>
    <w:p/>
    <w:p>
      <w:r>
        <w:rPr>
          <w:rFonts w:ascii="Meiryo UI" w:hAnsi="Meiryo UI"/>
          <w:sz w:val="20"/>
        </w:rPr>
        <w:t>&gt; 深井より社長へ: 前回レポートの株価¥1,400〜1,600という誤インプットは、本分析の根幹であるバリュエーション比較を完全に無意味にしていた。正確な現在株価¥2,789を適用した結果、「強い買い→買い」への判定修正と、「異常な割安感→正常範囲のディスカウント」への修正が必要となった。DCF内在価値自体は株価に依存しないため¥4,400水準は維持されるが、安全域・期待リターン・リスク/リワードは大幅に変化した。本是正を以て前回レポートは全面廃棄し、本稿を正式版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免責事項: 本レポートは竹村トレードカンパニー内部用途の分析資料であり、投資勧誘を目的とするものではありません。掲載の財務数値は公開情報ベースの推計を含み、実際の数値と異なる可能性があります。投資判断は最終的にご自身の責任のもとで行ってください。財務数値の確定版は有価証券報告書・決算短信を必ずご参照ください。</w:t>
      </w:r>
    </w:p>
    <w:p/>
    <w:p>
      <w:r>
        <w:rPr>
          <w:rFonts w:ascii="Meiryo UI" w:hAnsi="Meiryo UI"/>
          <w:sz w:val="20"/>
        </w:rPr>
        <w:t>アナリスト: 深井 | 竹村トレードカンパニー | 2026-04-06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09:46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3932_アカツキ【低PB_BUY_DeepResearch_20260406.md を出力しました。</w:t>
      </w:r>
    </w:p>
    <w:p>
      <w:r>
        <w:rPr>
          <w:rFonts w:ascii="Meiryo UI" w:hAnsi="Meiryo UI"/>
          <w:sz w:val="20"/>
        </w:rPr>
        <w:t>浅井スコア +0 の銘柄 [3932]アカツキ【低PBR×生成AI活用OPM改善余地・株価修正版】 についてDeepResearch完了。</w:t>
      </w:r>
    </w:p>
    <w:p>
      <w:r>
        <w:rPr>
          <w:rFonts w:ascii="Meiryo UI" w:hAnsi="Meiryo UI"/>
          <w:sz w:val="20"/>
        </w:rPr>
        <w:t>使用Rf: 2.380%（取得: 2026-04-06 09:46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