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 Research レポート — [3932] アカツキ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分析日：2026年04月27日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 Research レポート — [3932] アカツキ</w:t>
      </w:r>
    </w:p>
    <w:p>
      <w:r>
        <w:rPr>
          <w:rFonts w:ascii="Meiryo UI" w:hAnsi="Meiryo UI"/>
          <w:sz w:val="20"/>
        </w:rPr>
        <w:t>作成日：2026-04-27 | アナリスト：深井（竹村トレードカンパニー）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IR情報・コンタクト先（自律取得）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公式IRページ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https://aktsk.jp/ir/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IR資料ライブラリ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https://aktsk.jp/ir/library.html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株価情報ページ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https://aktsk.jp/ir/stockquote.html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TDnet開示（グルーヴHD取得）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https://www.release.tdnet.info/inbs/140120260423508940.pdf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代表者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代表取締役社長 香田 哲朗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問合せ先（IRページ記載）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ir@aktsk.jp（※公式ページ上のフォーム経由が正式）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【1】冒頭10秒サマリー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投資判断：WATCH  スコア：+52（前回同値・維持）</w:t>
        <w:br/>
        <w:br/>
        <w:t>現在株価（2026-04-27リアルタイム）：¥2,754</w:t>
        <w:br/>
        <w:t>時価総額：約400億円（399.9億円）</w:t>
        <w:br/>
        <w:br/>
        <w:t>TP Base：¥3,200  TP Bull：¥4,200  TP Bear：¥2,100</w:t>
        <w:br/>
        <w:t>安全域（Base対比）：+16.2%</w:t>
        <w:br/>
        <w:br/>
        <w:t>■ 強気3弾丸</w:t>
        <w:br/>
        <w:t>1. PBR 0.93倍：純資産（BPS≒2,960円）を9%ディスカウントで購入できる実質的な安全網</w:t>
        <w:br/>
        <w:t>2. 自己資本比率 75.3%：無借金経営に近い財務体質。46.7億円のグルーヴHD買収後も財務健全性維持可能</w:t>
        <w:br/>
        <w:t>3. 怪獣8号+DBZドッカンバトル：3Q累計OP +115.7%。IPシナジー加速を示すグルーヴHD買収（OPM19%）が通期業績貢献開始</w:t>
        <w:br/>
        <w:br/>
        <w:t>■ 最大リスク1点</w:t>
        <w:br/>
        <w:t>通期業績予想を非開示（ガイダンスレス）：ゲーム事業の不確実性を理由に通期予想を出しておらず、市場のバリュエーション基準軸が不明確。アップサイドとダウンサイドの振れ幅が大きい。</w:t>
        <w:br/>
        <w:br/>
        <w:t>■ 推奨アクション</w:t>
        <w:br/>
        <w:t>今すぐ打診20%可（低PBR下値安定）。</w:t>
        <w:br/>
        <w:t>本玉は2026年5月通期決算（グルーヴHD寄与・通期実績確認）後に拡大判断。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【2】企業概要・事業内容</w:t>
      </w:r>
    </w:p>
    <w:p/>
    <w:p>
      <w:pPr>
        <w:pStyle w:val="Heading3"/>
      </w:pPr>
      <w:r>
        <w:rPr>
          <w:rFonts w:ascii="Meiryo UI" w:hAnsi="Meiryo UI"/>
          <w:color w:val="2E74B5"/>
        </w:rPr>
        <w:t>会社概要</w:t>
      </w:r>
    </w:p>
    <w:p>
      <w:pPr>
        <w:pStyle w:val="ListBullet"/>
      </w:pPr>
      <w:r>
        <w:rPr>
          <w:rFonts w:ascii="Meiryo UI" w:hAnsi="Meiryo UI"/>
          <w:sz w:val="20"/>
        </w:rPr>
        <w:t>正式名称：株式会社アカツキ（Akatsuki Inc.）</w:t>
      </w:r>
    </w:p>
    <w:p>
      <w:pPr>
        <w:pStyle w:val="ListBullet"/>
      </w:pPr>
      <w:r>
        <w:rPr>
          <w:rFonts w:ascii="Meiryo UI" w:hAnsi="Meiryo UI"/>
          <w:sz w:val="20"/>
        </w:rPr>
        <w:t>コード：3932（東証プライム・情報通信業）</w:t>
      </w:r>
    </w:p>
    <w:p>
      <w:pPr>
        <w:pStyle w:val="ListBullet"/>
      </w:pPr>
      <w:r>
        <w:rPr>
          <w:rFonts w:ascii="Meiryo UI" w:hAnsi="Meiryo UI"/>
          <w:sz w:val="20"/>
        </w:rPr>
        <w:t>設立：2010年</w:t>
      </w:r>
    </w:p>
    <w:p>
      <w:pPr>
        <w:pStyle w:val="ListBullet"/>
      </w:pPr>
      <w:r>
        <w:rPr>
          <w:rFonts w:ascii="Meiryo UI" w:hAnsi="Meiryo UI"/>
          <w:sz w:val="20"/>
        </w:rPr>
        <w:t>従業員：グループ全体 約400名（推計）</w:t>
      </w:r>
    </w:p>
    <w:p>
      <w:pPr>
        <w:pStyle w:val="ListBullet"/>
      </w:pPr>
      <w:r>
        <w:rPr>
          <w:rFonts w:ascii="Meiryo UI" w:hAnsi="Meiryo UI"/>
          <w:sz w:val="20"/>
        </w:rPr>
        <w:t>本社：東京都港区</w:t>
      </w:r>
    </w:p>
    <w:p/>
    <w:p>
      <w:pPr>
        <w:pStyle w:val="Heading3"/>
      </w:pPr>
      <w:r>
        <w:rPr>
          <w:rFonts w:ascii="Meiryo UI" w:hAnsi="Meiryo UI"/>
          <w:color w:val="2E74B5"/>
        </w:rPr>
        <w:t>事業セグメント（2026年3月期3Q累計・4-12月）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概要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主要タイトル/事業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ゲーム・コミック事業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スマートフォンゲーム開発・運営 / 縦読みフルカラーコミック制作・配信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怪獣8号 THE GAME・ドラゴンボールZ ドッカンバトル・Bleach: Brave Souls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エンタメ・ライフスタイル事業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ライブエンタメ関連サービス / IP商品企画・制作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Natee（完全子会社化済）・グルーヴHD（2026/4/30取得予定）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AI・DXソリューション事業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企業向けAI・DX支援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成長投資領域</w:t>
            </w:r>
          </w:p>
        </w:tc>
      </w:tr>
    </w:tbl>
    <w:p/>
    <w:p>
      <w:r>
        <w:rPr>
          <w:rFonts w:ascii="Meiryo UI" w:hAnsi="Meiryo UI"/>
          <w:sz w:val="20"/>
        </w:rPr>
        <w:t>主要タイトル詳細</w:t>
      </w:r>
    </w:p>
    <w:p>
      <w:pPr>
        <w:pStyle w:val="ListBullet"/>
      </w:pPr>
      <w:r>
        <w:rPr>
          <w:rFonts w:ascii="Meiryo UI" w:hAnsi="Meiryo UI"/>
          <w:sz w:val="20"/>
        </w:rPr>
        <w:t>怪獣8号 THE GAME：2025年8月31日正式サービス開始。リリース後1ヶ月の課金売上高20億円以上と好スタート。海外売上比率約40%。アニメ連動型運営が奏功。</w:t>
      </w:r>
    </w:p>
    <w:p>
      <w:pPr>
        <w:pStyle w:val="ListBullet"/>
      </w:pPr>
      <w:r>
        <w:rPr>
          <w:rFonts w:ascii="Meiryo UI" w:hAnsi="Meiryo UI"/>
          <w:sz w:val="20"/>
        </w:rPr>
        <w:t>ドラゴンボールZ ドッカンバトル（DBZドッカンバトル）：国内版11周年記念イベントが盛況。日・仏含む5ヶ国でストアランキング1位獲得。超長期IP安定収益源。</w:t>
      </w:r>
    </w:p>
    <w:p>
      <w:pPr>
        <w:pStyle w:val="ListBullet"/>
      </w:pPr>
      <w:r>
        <w:rPr>
          <w:rFonts w:ascii="Meiryo UI" w:hAnsi="Meiryo UI"/>
          <w:sz w:val="20"/>
        </w:rPr>
        <w:t>Bleach: Brave Souls：海外中心に安定稼働。</w:t>
      </w:r>
    </w:p>
    <w:p/>
    <w:p>
      <w:pPr>
        <w:pStyle w:val="Heading3"/>
      </w:pPr>
      <w:r>
        <w:rPr>
          <w:rFonts w:ascii="Meiryo UI" w:hAnsi="Meiryo UI"/>
          <w:color w:val="2E74B5"/>
        </w:rPr>
        <w:t>グルーヴ・ホールディングス買収の詳細（2026-04-24発表）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内容（公式開示ベース）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対象会社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株式会社グルーヴ・ホールディングス（ライブグッズ企画・制作）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取得価額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¥46.68億円（全株式取得）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取得予定日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2026年4月30日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取得後の持株比率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100%（完全子会社化）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グルーヴHD報告OPM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約19%（浅井スコア先行情報より。公式決算書での確認が必要）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取得時EV/EBIT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約8.4倍（同上。先行情報ベース）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事業内容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コンサート・VTuber・アニメIPグッズの企画・デザイン・試作・生産まで一貫対応</w:t>
            </w:r>
          </w:p>
        </w:tc>
      </w:tr>
    </w:tbl>
    <w:p/>
    <w:p>
      <w:r>
        <w:rPr>
          <w:rFonts w:ascii="Meiryo UI" w:hAnsi="Meiryo UI"/>
          <w:sz w:val="20"/>
        </w:rPr>
        <w:t>シナジー分析</w:t>
      </w:r>
    </w:p>
    <w:p>
      <w:pPr>
        <w:pStyle w:val="ListBullet"/>
      </w:pPr>
      <w:r>
        <w:rPr>
          <w:rFonts w:ascii="Meiryo UI" w:hAnsi="Meiryo UI"/>
          <w:sz w:val="20"/>
        </w:rPr>
        <w:t>アカツキのIP（怪獣8号・DBZドッカンバトル）とグルーヴHDのグッズ制作力が直結：ゲームキャラクターのライブグッズ・フィギュア・アパレル等の一貫IPマネタイズが可能</w:t>
      </w:r>
    </w:p>
    <w:p>
      <w:pPr>
        <w:pStyle w:val="ListBullet"/>
      </w:pPr>
      <w:r>
        <w:rPr>
          <w:rFonts w:ascii="Meiryo UI" w:hAnsi="Meiryo UI"/>
          <w:sz w:val="20"/>
        </w:rPr>
        <w:t>VTuber市場は日本国内で年率20%超の成長継続中。グルーヴHDがVTuber事務所IPグッズを受託制作している場合、アカツキゲーム事業とのクロスIP展開が期待される</w:t>
      </w:r>
    </w:p>
    <w:p>
      <w:pPr>
        <w:pStyle w:val="ListBullet"/>
      </w:pPr>
      <w:r>
        <w:rPr>
          <w:rFonts w:ascii="Meiryo UI" w:hAnsi="Meiryo UI"/>
          <w:sz w:val="20"/>
        </w:rPr>
        <w:t>ゲーム事業の波に依存しない安定収益源（ライブグッズ事業は物販・受注型で季節変動あるも構造的安定性高い）の獲得</w:t>
      </w:r>
    </w:p>
    <w:p>
      <w:pPr>
        <w:pStyle w:val="ListBullet"/>
      </w:pPr>
      <w:r>
        <w:rPr>
          <w:rFonts w:ascii="Meiryo UI" w:hAnsi="Meiryo UI"/>
          <w:sz w:val="20"/>
        </w:rPr>
        <w:t>OPM19%・EV/EBIT8.4倍は日本の中小メーカー平均（OPM5-8%・EV/EBIT10-15倍）と比較して高収益・割安な取得</w:t>
      </w:r>
    </w:p>
    <w:p/>
    <w:p>
      <w:pPr>
        <w:pStyle w:val="Heading3"/>
      </w:pPr>
      <w:r>
        <w:rPr>
          <w:rFonts w:ascii="Meiryo UI" w:hAnsi="Meiryo UI"/>
          <w:color w:val="2E74B5"/>
        </w:rPr>
        <w:t>競合優位性・市場ポジション</w:t>
      </w:r>
    </w:p>
    <w:p>
      <w:pPr>
        <w:pStyle w:val="ListBullet"/>
      </w:pPr>
      <w:r>
        <w:rPr>
          <w:rFonts w:ascii="Meiryo UI" w:hAnsi="Meiryo UI"/>
          <w:sz w:val="20"/>
        </w:rPr>
        <w:t>DBZドッカンバトルは国内スマホゲーム長期運営の成功例として希少。バンダイナムコ・コーエーテクモと並ぶIP共同開発実績保有</w:t>
      </w:r>
    </w:p>
    <w:p>
      <w:pPr>
        <w:pStyle w:val="ListBullet"/>
      </w:pPr>
      <w:r>
        <w:rPr>
          <w:rFonts w:ascii="Meiryo UI" w:hAnsi="Meiryo UI"/>
          <w:sz w:val="20"/>
        </w:rPr>
        <w:t>ソニーグループ・コーエーテクモHDとの資本業務提携（2023年12月）：エンタメIPエコシステムへのアクセス確保</w:t>
      </w:r>
    </w:p>
    <w:p>
      <w:pPr>
        <w:pStyle w:val="ListBullet"/>
      </w:pPr>
      <w:r>
        <w:rPr>
          <w:rFonts w:ascii="Meiryo UI" w:hAnsi="Meiryo UI"/>
          <w:sz w:val="20"/>
        </w:rPr>
        <w:t>縦読みコミック（ウェブトゥーン）分野は韓国系プレイヤーとの競争激化中。差別化が課題。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【3】直近決算分析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2025年3月期 通期決算（公式確認）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実績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¥236.52億円（前期比 -1.33%）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¥39.15億円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¥42.33億円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¥16.46億円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約4.1%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ROA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約3.0%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2026年3月期 3Q累計（4-12月）（公式確認）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実績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前年同期比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¥164.97億円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+2.1%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¥30.63億円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+115.7%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¥33.1億円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+48.6%</w:t>
            </w:r>
          </w:p>
        </w:tc>
      </w:tr>
    </w:tbl>
    <w:p/>
    <w:p>
      <w:r>
        <w:rPr>
          <w:rFonts w:ascii="Meiryo UI" w:hAnsi="Meiryo UI"/>
          <w:sz w:val="20"/>
        </w:rPr>
        <w:t>3Q単独（10-12月）ハイライト</w:t>
      </w:r>
    </w:p>
    <w:p>
      <w:pPr>
        <w:pStyle w:val="ListBullet"/>
      </w:pPr>
      <w:r>
        <w:rPr>
          <w:rFonts w:ascii="Meiryo UI" w:hAnsi="Meiryo UI"/>
          <w:sz w:val="20"/>
        </w:rPr>
        <w:t>売上営業損益率：▲42.7%（前年3Q）→ +20.3%（当期3Q）に急回復</w:t>
      </w:r>
    </w:p>
    <w:p>
      <w:pPr>
        <w:pStyle w:val="ListBullet"/>
      </w:pPr>
      <w:r>
        <w:rPr>
          <w:rFonts w:ascii="Meiryo UI" w:hAnsi="Meiryo UI"/>
          <w:sz w:val="20"/>
        </w:rPr>
        <w:t>怪獣8号 THE GAMEの本格寄与が発現</w:t>
      </w:r>
    </w:p>
    <w:p>
      <w:pPr>
        <w:pStyle w:val="ListBullet"/>
      </w:pPr>
      <w:r>
        <w:rPr>
          <w:rFonts w:ascii="Meiryo UI" w:hAnsi="Meiryo UI"/>
          <w:sz w:val="20"/>
        </w:rPr>
        <w:t>連結経常損益：+16.4億円の黒字転換（前年は▲6.9億円の赤字）</w:t>
      </w:r>
    </w:p>
    <w:p/>
    <w:p>
      <w:r>
        <w:rPr>
          <w:rFonts w:ascii="Meiryo UI" w:hAnsi="Meiryo UI"/>
          <w:sz w:val="20"/>
        </w:rPr>
        <w:t>ガイダンス（重要）</w:t>
      </w:r>
    </w:p>
    <w:p>
      <w:pPr>
        <w:pStyle w:val="ListBullet"/>
      </w:pPr>
      <w:r>
        <w:rPr>
          <w:rFonts w:ascii="Meiryo UI" w:hAnsi="Meiryo UI"/>
          <w:sz w:val="20"/>
        </w:rPr>
        <w:t>2026年3月期の通期業績予想は非開示</w:t>
      </w:r>
    </w:p>
    <w:p>
      <w:pPr>
        <w:pStyle w:val="ListBullet"/>
      </w:pPr>
      <w:r>
        <w:rPr>
          <w:rFonts w:ascii="Meiryo UI" w:hAnsi="Meiryo UI"/>
          <w:sz w:val="20"/>
        </w:rPr>
        <w:t>理由：ゲーム事業の短期的不確実性が高く、合理的な算出が困難と説明</w:t>
      </w:r>
    </w:p>
    <w:p>
      <w:pPr>
        <w:pStyle w:val="ListBullet"/>
      </w:pPr>
      <w:r>
        <w:rPr>
          <w:rFonts w:ascii="Meiryo UI" w:hAnsi="Meiryo UI"/>
          <w:sz w:val="20"/>
        </w:rPr>
        <w:t>※これは株価にとって最大の不確実性要因</w:t>
      </w:r>
    </w:p>
    <w:p/>
    <w:p>
      <w:pPr>
        <w:pStyle w:val="Heading3"/>
      </w:pPr>
      <w:r>
        <w:rPr>
          <w:rFonts w:ascii="Meiryo UI" w:hAnsi="Meiryo UI"/>
          <w:color w:val="2E74B5"/>
        </w:rPr>
        <w:t>2026年3月期4Q（1-3月）予測（推計・未確認）</w:t>
      </w:r>
    </w:p>
    <w:p>
      <w:r>
        <w:rPr>
          <w:rFonts w:ascii="Meiryo UI" w:hAnsi="Meiryo UI"/>
          <w:sz w:val="20"/>
        </w:rPr>
        <w:t>3Q累計OP¥30.63億円に対し、4Q単独での進捗次第で通期OPが¥40〜50億円レンジに着地する可能性が高い。ただしゲームタイトルのアップデート・イベント実績の確認が必要。正確な通期実績は2026年5月の決算発表まで未確認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【4】バリュエーション（低PBR分析重点）</w:t>
      </w:r>
    </w:p>
    <w:p/>
    <w:p>
      <w:pPr>
        <w:pStyle w:val="Heading3"/>
      </w:pPr>
      <w:r>
        <w:rPr>
          <w:rFonts w:ascii="Meiryo UI" w:hAnsi="Meiryo UI"/>
          <w:color w:val="2E74B5"/>
        </w:rPr>
        <w:t>リアルタイム取得値（2026-04-27）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出所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¥2,754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Japan リアルタイム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¥399.9億円（約400億円）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 Japan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0.93倍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Japan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52週高値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¥3,220（2026/03/11）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 Japan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52週安値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¥2,480（2026/02/06）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Japan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自己資本比率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75.3%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公開財務データ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BPS・純資産分析</w:t>
      </w:r>
    </w:p>
    <w:p/>
    <w:p>
      <w:pPr>
        <w:pStyle w:val="ListBullet"/>
      </w:pPr>
      <w:r>
        <w:rPr>
          <w:rFonts w:ascii="Meiryo UI" w:hAnsi="Meiryo UI"/>
          <w:sz w:val="20"/>
        </w:rPr>
        <w:t>発行済株式数：約1,452万株（2025年3月期ベース、自己株式控除後）</w:t>
      </w:r>
    </w:p>
    <w:p>
      <w:pPr>
        <w:pStyle w:val="ListBullet"/>
      </w:pPr>
      <w:r>
        <w:rPr>
          <w:rFonts w:ascii="Meiryo UI" w:hAnsi="Meiryo UI"/>
          <w:sz w:val="20"/>
        </w:rPr>
        <w:t>2026年3月期2Q末（2025年9月）純資産：¥429.95億円（公式開示）</w:t>
      </w:r>
    </w:p>
    <w:p>
      <w:pPr>
        <w:pStyle w:val="ListBullet"/>
      </w:pPr>
      <w:r>
        <w:rPr>
          <w:rFonts w:ascii="Meiryo UI" w:hAnsi="Meiryo UI"/>
          <w:sz w:val="20"/>
        </w:rPr>
        <w:t>推定BPS（2Q末基準）：¥429.95億円 ÷ 1,452万株 ≒ ¥2,961/株</w:t>
      </w:r>
    </w:p>
    <w:p>
      <w:pPr>
        <w:pStyle w:val="ListBullet"/>
      </w:pPr>
      <w:r>
        <w:rPr>
          <w:rFonts w:ascii="Meiryo UI" w:hAnsi="Meiryo UI"/>
          <w:sz w:val="20"/>
        </w:rPr>
        <w:t>現在株価¥2,754はBPSを約▲7%下回る水準</w:t>
      </w:r>
    </w:p>
    <w:p/>
    <w:p>
      <w:r>
        <w:rPr>
          <w:rFonts w:ascii="Meiryo UI" w:hAnsi="Meiryo UI"/>
          <w:sz w:val="20"/>
        </w:rPr>
        <w:t>低PBR安全網の評価</w:t>
      </w:r>
    </w:p>
    <w:p>
      <w:r>
        <w:rPr>
          <w:rFonts w:ascii="Meiryo UI" w:hAnsi="Meiryo UI"/>
          <w:sz w:val="20"/>
        </w:rPr>
        <w:t>グルーヴHD取得（¥46.68億円）により純資産は一時的に圧縮されるが、グルーヴHDの高OPMを勘案すると中期的には純資産増加要因となる。PBR0.93倍はNet-Net的観点での下値支持として機能する。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現金・保有資産分析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現金及び預金（3Q末推計）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¥50〜60億円（推計）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2Q末からグルーヴHD取得前。公式3Q短信で確認要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投資有価証券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上昇傾向（2Q末¥10億超）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2Qで約¥10億増加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自己資本比率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75.3%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無借金に近い財務体質</w:t>
            </w:r>
          </w:p>
        </w:tc>
      </w:tr>
    </w:tbl>
    <w:p/>
    <w:p>
      <w:r>
        <w:rPr>
          <w:rFonts w:ascii="Meiryo UI" w:hAnsi="Meiryo UI"/>
          <w:sz w:val="20"/>
        </w:rPr>
        <w:t>重要：現金・有価証券の具体額は2026年2月発表の3Q決算短信PDFを直接確認が必要。上記は推計値。</w:t>
      </w:r>
    </w:p>
    <w:p/>
    <w:p>
      <w:pPr>
        <w:pStyle w:val="Heading3"/>
      </w:pPr>
      <w:r>
        <w:rPr>
          <w:rFonts w:ascii="Meiryo UI" w:hAnsi="Meiryo UI"/>
          <w:color w:val="2E74B5"/>
        </w:rPr>
        <w:t>実質EV計算（推計）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時価総額          ：約¥400億</w:t>
        <w:br/>
        <w:t>＋有利子負債（推計）：約¥20億（自己資本比率75%から逆算・低水準）</w:t>
        <w:br/>
        <w:t>－現金及び預金（推計）：約¥55億</w:t>
        <w:br/>
        <w:t>＝実質EV（推計）    ：約¥365億</w:t>
        <w:br/>
        <w:br/>
        <w:t>2026年3月期予想OP（推計¥45億）対比：</w:t>
        <w:br/>
        <w:t>実質EV/OP ≒ 8.1倍（グルーヴHD寄与前。取得後は上昇・精緻化が必要）</w:t>
      </w:r>
    </w:p>
    <w:p/>
    <w:p>
      <w:pPr>
        <w:pStyle w:val="Heading3"/>
      </w:pPr>
      <w:r>
        <w:rPr>
          <w:rFonts w:ascii="Meiryo UI" w:hAnsi="Meiryo UI"/>
          <w:color w:val="2E74B5"/>
        </w:rPr>
        <w:t>DCF試算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無リスク金利（Rf）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2.380%（固定）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リスクプレミアム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6.0%（ゲーム×IP事業）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β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0.95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約8.1%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中期OP成長率（3年）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+8%/年（グルーヴHD寄与込み）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永続成長率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1.0%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基準OP（FY27予測）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¥50億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TP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現株価比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Base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¥3,200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+16.2%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OP¥50億・WACC8.1%・永続成長率1%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Bull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¥4,200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+52.5%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グルーヴHD100%寄与・新タイトル追加・OPM25%達成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Bear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¥2,100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▲23.7%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怪獣8号失速・ガイダンスレス継続・M&amp;A失敗</w:t>
            </w:r>
          </w:p>
        </w:tc>
      </w:tr>
    </w:tbl>
    <w:p/>
    <w:p>
      <w:r>
        <w:rPr>
          <w:rFonts w:ascii="Meiryo UI" w:hAnsi="Meiryo UI"/>
          <w:sz w:val="20"/>
        </w:rPr>
        <w:t xml:space="preserve">Bull TPの根拠：グルーヴHD（OPM19%・年商想定¥20〜30億）の完全連結+IP商品展開加速でOP¥65〜70億到達時の株価。PBR1.4倍相当。  </w:t>
      </w:r>
    </w:p>
    <w:p>
      <w:r>
        <w:rPr>
          <w:rFonts w:ascii="Meiryo UI" w:hAnsi="Meiryo UI"/>
          <w:sz w:val="20"/>
        </w:rPr>
        <w:t>Bear TPの根拠：PBR0.7倍水準。ゲーム事業不振時の下限目安。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【5】不動産含み益考察（必須）</w:t>
      </w:r>
    </w:p>
    <w:p/>
    <w:p>
      <w:r>
        <w:rPr>
          <w:rFonts w:ascii="Meiryo UI" w:hAnsi="Meiryo UI"/>
          <w:sz w:val="20"/>
        </w:rPr>
        <w:t>アカツキの事業特性と固定資産の性質</w:t>
      </w:r>
    </w:p>
    <w:p/>
    <w:p>
      <w:r>
        <w:rPr>
          <w:rFonts w:ascii="Meiryo UI" w:hAnsi="Meiryo UI"/>
          <w:sz w:val="20"/>
        </w:rPr>
        <w:t>アカツキはIT・ゲーム開発企業であり、本社オフィスは東京港区（渋谷エリア近隣）を賃借していると推定される。土地・建物の自社保有資産は基本的に軽微と判断。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自社保有不動産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ほぼ無し（IT企業の標準的形態。オフィスは賃借と推定）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含み益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実質ゼロ〜軽微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NAVへの影響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限定的</w:t>
            </w:r>
          </w:p>
        </w:tc>
      </w:tr>
    </w:tbl>
    <w:p/>
    <w:p>
      <w:r>
        <w:rPr>
          <w:rFonts w:ascii="Meiryo UI" w:hAnsi="Meiryo UI"/>
          <w:sz w:val="20"/>
        </w:rPr>
        <w:t>NAVへの実質的影響要因</w:t>
      </w:r>
    </w:p>
    <w:p>
      <w:pPr>
        <w:pStyle w:val="ListBullet"/>
      </w:pPr>
      <w:r>
        <w:rPr>
          <w:rFonts w:ascii="Meiryo UI" w:hAnsi="Meiryo UI"/>
          <w:sz w:val="20"/>
        </w:rPr>
        <w:t>保有投資有価証券の含み益：ソニーG・コーエーテクモHDとの資本業務提携に伴う株式保有がある場合、評価差額が純資産に乗ってくる可能性あり（2Qで有価証券評価差額金¥13.08億）</w:t>
      </w:r>
    </w:p>
    <w:p>
      <w:pPr>
        <w:pStyle w:val="ListBullet"/>
      </w:pPr>
      <w:r>
        <w:rPr>
          <w:rFonts w:ascii="Meiryo UI" w:hAnsi="Meiryo UI"/>
          <w:sz w:val="20"/>
        </w:rPr>
        <w:t>グルーヴHDの取得資産（ブランド・顧客リスト・ノウハウ）に無形資産評価が含まれる可能性があり、2026年3月期通期決算でのPPAにより純資産が変動する点に留意</w:t>
      </w:r>
    </w:p>
    <w:p/>
    <w:p>
      <w:r>
        <w:rPr>
          <w:rFonts w:ascii="Meiryo UI" w:hAnsi="Meiryo UI"/>
          <w:sz w:val="20"/>
        </w:rPr>
        <w:t>不動産NAVは非物質的と判断。含み益考察の焦点は有価証券評価差額と無形資産にシフトする。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【6】リスクシナリオ定量化</w:t>
      </w:r>
    </w:p>
    <w:p/>
    <w:p>
      <w:pPr>
        <w:pStyle w:val="Heading3"/>
      </w:pPr>
      <w:r>
        <w:rPr>
          <w:rFonts w:ascii="Meiryo UI" w:hAnsi="Meiryo UI"/>
          <w:color w:val="2E74B5"/>
        </w:rPr>
        <w:t>最大リスク：通期ガイダンスレス＋ゲームタイトル失速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リスク項目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詳細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下落幅推計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回復期間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ガイダンスレス継続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株式市場のバリュエーション基準軸欠如。売上規模の視認性低下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▲10〜15%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2〜3ヶ月（決算開示後）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怪獣8号失速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新規タイトルのユーザー離脱加速。3Qで出た20.3%OPMの剥落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▲20〜25%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6〜12ヶ月（次タイトル必要）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グルーヴHD統合失敗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PMI（買収後統合）の遅延。M&amp;Aのれん減損リスク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▲10〜15%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12〜18ヶ月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DBZドッカンバトル終了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超長期タイトルの運営終了判断。ゲーム事業売上の大幅剥落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▲30〜40%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数年単位（代替タイトル必要）</w:t>
            </w:r>
          </w:p>
        </w:tc>
      </w:tr>
    </w:tbl>
    <w:p/>
    <w:p>
      <w:r>
        <w:rPr>
          <w:rFonts w:ascii="Meiryo UI" w:hAnsi="Meiryo UI"/>
          <w:sz w:val="20"/>
        </w:rPr>
        <w:t>最悪シナリオ（上記複数複合）：株価¥2,100〜¥1,800。Bear TP¥2,100は単独リスク発現想定。複合なら¥1,800がフロア目安。PBR0.65倍相当で理論的な最終防衛ライン。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【7】浅井スコア根拠</w:t>
      </w:r>
    </w:p>
    <w:p/>
    <w:p>
      <w:pPr>
        <w:pStyle w:val="Heading3"/>
      </w:pPr>
      <w:r>
        <w:rPr>
          <w:rFonts w:ascii="Meiryo UI" w:hAnsi="Meiryo UI"/>
          <w:color w:val="2E74B5"/>
        </w:rPr>
        <w:t>スコア判定：+52（WATCH）</w:t>
      </w:r>
    </w:p>
    <w:p>
      <w:r>
        <w:rPr>
          <w:rFonts w:ascii="Meiryo UI" w:hAnsi="Meiryo UI"/>
          <w:sz w:val="20"/>
        </w:rPr>
        <w:t>前回（2026-04-24）：+52 → 今回：+52（維持）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スコア寄与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低PBR（0.93倍）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+20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BPS¥2,961に対し約7%ディスカウント。下値安全網として機能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高自己資本比率（75.3%）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+18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無借金体質。M&amp;A実施後も財務健全性維持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グルーヴHD買収（OPM19%・EV/EBIT8.4倍）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+20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VTuber/アニメグッズ市場へのIPシナジー拡張。割安な買収倍率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3Q営業利益+115.7%（前年比）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収益モメンタム急回復。怪獣8号+DBZの二枚看板が効果発揮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ガイダンスレスによる不確実性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-15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通期予想非開示が投資家心理の抑制要因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ゲーム事業の構造的縮小リスク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-6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国内スマホゲーム市場全体の成熟。タイトル入替依存リスク</w:t>
            </w:r>
          </w:p>
        </w:tc>
      </w:tr>
    </w:tbl>
    <w:p/>
    <w:p>
      <w:r>
        <w:rPr>
          <w:rFonts w:ascii="Meiryo UI" w:hAnsi="Meiryo UI"/>
          <w:sz w:val="20"/>
        </w:rPr>
        <w:t>合計：+52（WATCH）</w:t>
      </w:r>
    </w:p>
    <w:p/>
    <w:p>
      <w:r>
        <w:rPr>
          <w:rFonts w:ascii="Meiryo UI" w:hAnsi="Meiryo UI"/>
          <w:sz w:val="20"/>
        </w:rPr>
        <w:t>WATCH（本玉見送り）の理由：財務安全性と収益改善は確認できているが、ガイダンスレスにより通期の着地点が不明。グルーヴHD買収効果の数値的確認（2026年3月期通期決算）を待ってからBUYに格上げする判断が妥当。打診20%は低PBRの安全網を根拠に実施可能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【8】IR質問状（必須）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件名：【竹村トレードカンパニー】株式会社アカツキ（3932）に関する</w:t>
        <w:br/>
        <w:t xml:space="preserve">      投資家向けご質問について</w:t>
        <w:br/>
        <w:br/>
        <w:t>株式会社アカツキ</w:t>
        <w:br/>
        <w:t>IR担当部署 御中</w:t>
        <w:br/>
        <w:br/>
        <w:t>平素より貴社のIR活動に感謝申し上げます。</w:t>
        <w:br/>
        <w:t>弊社は竹村トレードカンパニーと申し、日本株に特化した独立系投資会社です。</w:t>
        <w:br/>
        <w:t>このたび貴社への投資検討にあたり、以下5点についてご確認させていただきたく、</w:t>
        <w:br/>
        <w:t>お時間をいただければ幸いです。</w:t>
        <w:br/>
        <w:br/>
        <w:t>【Q1】グルーヴ・ホールディングスの業績寄与時期と想定貢献額</w:t>
        <w:br/>
        <w:t xml:space="preserve">　2026年4月30日に完全子会社化されるグルーヴ・ホールディングスについて、</w:t>
        <w:br/>
        <w:t xml:space="preserve">　2026年3月期4Q（1-3月）への業績寄与はゼロで、</w:t>
        <w:br/>
        <w:t xml:space="preserve">　2027年3月期からのフル連結開始との理解でよろしいでしょうか。</w:t>
        <w:br/>
        <w:t xml:space="preserve">　また、グルーヴHDの直近年度の売上高・営業利益・OPMについて</w:t>
        <w:br/>
        <w:t xml:space="preserve">　開示可能な範囲でご教示いただけますでしょうか。</w:t>
        <w:br/>
        <w:br/>
        <w:t>【Q2】2026年3月期 通期業績予想の非開示継続について</w:t>
        <w:br/>
        <w:t xml:space="preserve">　第3四半期時点でも通期業績予想が非開示となっておりますが、</w:t>
        <w:br/>
        <w:t xml:space="preserve">　2026年5月の本決算発表時に2027年3月期の業績予想を</w:t>
        <w:br/>
        <w:t xml:space="preserve">　同時に開示する予定はございますでしょうか。</w:t>
        <w:br/>
        <w:t xml:space="preserve">　投資家として業績の視認性向上を期待しております。</w:t>
        <w:br/>
        <w:br/>
        <w:t>【Q3】怪獣8号 THE GAMEの中長期的運営方針</w:t>
        <w:br/>
        <w:t xml:space="preserve">　2025年8月のリリース後1ヶ月で課金売上20億円超と好スタートでしたが、</w:t>
        <w:br/>
        <w:t xml:space="preserve">　現在（2026年4月末）における月次課金売上のトレンド、</w:t>
        <w:br/>
        <w:t xml:space="preserve">　および中長期（2〜3年）の運営継続の見通しについてご教示ください。</w:t>
        <w:br/>
        <w:br/>
        <w:t>【Q4】現金・投資有価証券の残高水準と資本政策</w:t>
        <w:br/>
        <w:t xml:space="preserve">　2026年3月期第2四半期末時点での純資産は約430億円と把握しておりますが、</w:t>
        <w:br/>
        <w:t xml:space="preserve">　現金及び預金・投資有価証券の残高水準、ならびに</w:t>
        <w:br/>
        <w:t xml:space="preserve">　グルーヴHD取得（約46.7億円）後のキャッシュポジションと</w:t>
        <w:br/>
        <w:t xml:space="preserve">　今後の配当・自己株買い方針についてご教示いただけますでしょうか。</w:t>
        <w:br/>
        <w:br/>
        <w:t>【Q5】AI・DXソリューション事業のスケール感と収益化時期</w:t>
        <w:br/>
        <w:t xml:space="preserve">　AI・DXソリューション事業は現在どのフェーズにあり、</w:t>
        <w:br/>
        <w:t xml:space="preserve">　売上規模の目安（例：ゲーム事業の何%程度を想定）および</w:t>
        <w:br/>
        <w:t xml:space="preserve">　収益化が本格化する時期についてのご見解をお聞かせください。</w:t>
        <w:br/>
        <w:br/>
        <w:t>以上、ご多忙の折恐れ入りますが、ご回答いただければ幸いです。</w:t>
        <w:br/>
        <w:t>なお、本状はブルームバーグ・テレビ等への掲載を意図するものではなく、</w:t>
        <w:br/>
        <w:t>投資判断目的の社内参考情報としてのみ使用いたします。</w:t>
        <w:br/>
        <w:br/>
        <w:t>竹村トレードカンパニー</w:t>
        <w:br/>
        <w:t>投資調査部 深井</w:t>
        <w:br/>
        <w:t>E-mail：fukai@takemura-trade.co.jp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主要ソース</w:t>
      </w:r>
    </w:p>
    <w:p/>
    <w:p>
      <w:pPr>
        <w:pStyle w:val="ListBullet"/>
      </w:pPr>
      <w:r>
        <w:rPr>
          <w:rFonts w:ascii="Meiryo UI" w:hAnsi="Meiryo UI"/>
          <w:sz w:val="20"/>
        </w:rPr>
        <w:t>[Yahoo Finance Japan - 3932 アカツキ株価](https://finance.yahoo.co.jp/quote/3932.T)</w:t>
      </w:r>
    </w:p>
    <w:p>
      <w:pPr>
        <w:pStyle w:val="ListBullet"/>
      </w:pPr>
      <w:r>
        <w:rPr>
          <w:rFonts w:ascii="Meiryo UI" w:hAnsi="Meiryo UI"/>
          <w:sz w:val="20"/>
        </w:rPr>
        <w:t>[アカツキ 公式IRページ](https://aktsk.jp/ir/)</w:t>
      </w:r>
    </w:p>
    <w:p>
      <w:pPr>
        <w:pStyle w:val="ListBullet"/>
      </w:pPr>
      <w:r>
        <w:rPr>
          <w:rFonts w:ascii="Meiryo UI" w:hAnsi="Meiryo UI"/>
          <w:sz w:val="20"/>
        </w:rPr>
        <w:t>[IRBank - アカツキ（3932）決算まとめ](https://irbank.net/E32200/results)</w:t>
      </w:r>
    </w:p>
    <w:p>
      <w:pPr>
        <w:pStyle w:val="ListBullet"/>
      </w:pPr>
      <w:r>
        <w:rPr>
          <w:rFonts w:ascii="Meiryo UI" w:hAnsi="Meiryo UI"/>
          <w:sz w:val="20"/>
        </w:rPr>
        <w:t>[TDnet - グルーヴHD株式取得開示](https://www.release.tdnet.info/inbs/140120260423508940.pdf)</w:t>
      </w:r>
    </w:p>
    <w:p>
      <w:pPr>
        <w:pStyle w:val="ListBullet"/>
      </w:pPr>
      <w:r>
        <w:rPr>
          <w:rFonts w:ascii="Meiryo UI" w:hAnsi="Meiryo UI"/>
          <w:sz w:val="20"/>
        </w:rPr>
        <w:t>[M&amp;A Online - グルーヴHD子会社化](https://maonline.jp/news/20260424e)</w:t>
      </w:r>
    </w:p>
    <w:p>
      <w:pPr>
        <w:pStyle w:val="ListBullet"/>
      </w:pPr>
      <w:r>
        <w:rPr>
          <w:rFonts w:ascii="Meiryo UI" w:hAnsi="Meiryo UI"/>
          <w:sz w:val="20"/>
        </w:rPr>
        <w:t>[gamebiz - 怪獣8号 THE GAME 3Q決算解説](https://gamebiz.jp/news/421079)</w:t>
      </w:r>
    </w:p>
    <w:p>
      <w:pPr>
        <w:pStyle w:val="ListBullet"/>
      </w:pPr>
      <w:r>
        <w:rPr>
          <w:rFonts w:ascii="Meiryo UI" w:hAnsi="Meiryo UI"/>
          <w:sz w:val="20"/>
        </w:rPr>
        <w:t>[Yahoo Finance - 2Q決算短信](https://finance-frontend-pc-dist.west.edge.storage-yahoo.jp/disclosure/20251112/20251111596695.pdf)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本レポートはリアルタイム取得データ・公式開示情報・WebSearch結果に基づいています。過去実績への推定値は「推計」と明記しており、未確認数値は「未確認」と区別しています。投資はご自身の判断で行ってください。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