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3994 マネーフォワード Deep Research</w:t>
      </w:r>
    </w:p>
    <w:p/>
    <w:p/>
    <w:p>
      <w:pPr>
        <w:jc w:val="center"/>
      </w:pPr>
      <w:r>
        <w:rPr>
          <w:rFonts w:ascii="Meiryo UI" w:hAnsi="Meiryo UI"/>
          <w:sz w:val="24"/>
        </w:rPr>
        <w:t>アナリスト：深井</w:t>
      </w:r>
    </w:p>
    <w:p>
      <w:pPr>
        <w:jc w:val="center"/>
      </w:pPr>
      <w:r>
        <w:rPr>
          <w:rFonts w:ascii="Meiryo UI" w:hAnsi="Meiryo UI"/>
          <w:sz w:val="24"/>
        </w:rPr>
        <w:t>分析日：2026年04月11日</w:t>
      </w:r>
    </w:p>
    <w:p>
      <w:r>
        <w:br w:type="page"/>
      </w:r>
    </w:p>
    <w:p>
      <w:pPr>
        <w:pStyle w:val="Heading1"/>
      </w:pPr>
      <w:r>
        <w:rPr>
          <w:rFonts w:ascii="Meiryo UI" w:hAnsi="Meiryo UI"/>
          <w:color w:val="1F3864"/>
        </w:rPr>
        <w:t>3994 マネーフォワード Deep Research</w:t>
      </w:r>
    </w:p>
    <w:p>
      <w:r>
        <w:rPr>
          <w:rFonts w:ascii="Meiryo UI" w:hAnsi="Meiryo UI"/>
          <w:sz w:val="20"/>
        </w:rPr>
        <w:t>作成日：2026-04-11 / 決算発表予定：2026-04-14（FY26 1Q）</w:t>
      </w:r>
    </w:p>
    <w:p>
      <w:r>
        <w:rPr>
          <w:rFonts w:ascii="Meiryo UI" w:hAnsi="Meiryo UI"/>
          <w:sz w:val="20"/>
        </w:rPr>
        <w:t>現値：¥3,607 / 社長TP：¥3,864（+7.1%）</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最終投資判断</w:t>
            </w:r>
          </w:p>
        </w:tc>
        <w:tc>
          <w:tcPr>
            <w:tcW w:type="dxa" w:w="4703"/>
          </w:tcPr>
          <w:p>
            <w:r>
              <w:rPr>
                <w:rFonts w:ascii="Meiryo UI" w:hAnsi="Meiryo UI"/>
                <w:sz w:val="18"/>
              </w:rPr>
              <w:t>BUY（決算跨ぎ推奨）</w:t>
            </w:r>
          </w:p>
        </w:tc>
      </w:tr>
      <w:tr>
        <w:tc>
          <w:tcPr>
            <w:tcW w:type="dxa" w:w="4703"/>
            <w:shd w:val="clear" w:color="auto" w:fill="DDEBF7"/>
          </w:tcPr>
          <w:p>
            <w:r>
              <w:rPr>
                <w:rFonts w:ascii="Meiryo UI" w:hAnsi="Meiryo UI"/>
                <w:sz w:val="18"/>
              </w:rPr>
              <w:t>目標株価（Fair Value）</w:t>
            </w:r>
          </w:p>
        </w:tc>
        <w:tc>
          <w:tcPr>
            <w:tcW w:type="dxa" w:w="4703"/>
            <w:shd w:val="clear" w:color="auto" w:fill="DDEBF7"/>
          </w:tcPr>
          <w:p>
            <w:r>
              <w:rPr>
                <w:rFonts w:ascii="Meiryo UI" w:hAnsi="Meiryo UI"/>
                <w:sz w:val="18"/>
              </w:rPr>
              <w:t>¥4,200（Base）/ ¥5,200（Bull）/ ¥2,800（Bear）</w:t>
            </w:r>
          </w:p>
        </w:tc>
      </w:tr>
      <w:tr>
        <w:tc>
          <w:tcPr>
            <w:tcW w:type="dxa" w:w="4703"/>
          </w:tcPr>
          <w:p>
            <w:r>
              <w:rPr>
                <w:rFonts w:ascii="Meiryo UI" w:hAnsi="Meiryo UI"/>
                <w:sz w:val="18"/>
              </w:rPr>
              <w:t>安全域（Margin of Safety）</w:t>
            </w:r>
          </w:p>
        </w:tc>
        <w:tc>
          <w:tcPr>
            <w:tcW w:type="dxa" w:w="4703"/>
          </w:tcPr>
          <w:p>
            <w:r>
              <w:rPr>
                <w:rFonts w:ascii="Meiryo UI" w:hAnsi="Meiryo UI"/>
                <w:sz w:val="18"/>
              </w:rPr>
              <w:t>現値¥3,607から +16.4%（Base）</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4/14決算前：¥3,500-3,620で分割エントリー。決算後サプライズ上振れなら¥3,800フォロースルー可</w:t>
            </w:r>
          </w:p>
        </w:tc>
      </w:tr>
    </w:tbl>
    <w:p/>
    <w:p>
      <w:pPr>
        <w:pStyle w:val="Heading3"/>
      </w:pPr>
      <w:r>
        <w:rPr>
          <w:rFonts w:ascii="Meiryo UI" w:hAnsi="Meiryo UI"/>
          <w:color w:val="2E74B5"/>
        </w:rPr>
        <w:t>決定的根拠（3つの弾丸）</w:t>
      </w:r>
    </w:p>
    <w:p>
      <w:pPr>
        <w:pStyle w:val="ListNumber"/>
      </w:pPr>
      <w:r>
        <w:rPr>
          <w:rFonts w:ascii="Meiryo UI" w:hAnsi="Meiryo UI"/>
          <w:sz w:val="20"/>
        </w:rPr>
        <w:t>[アンソロピックを競合ではなくエンジンに転換済み]: 4月7日に「マネーフォワード AI Cowork」を発表。AnthropicのClaude Agent SDK／MCPをOEM採用し、2030年ARR150億円超を目標とする。競合リスクではなく共生・収益化の軸が確定。</w:t>
      </w:r>
    </w:p>
    <w:p>
      <w:pPr>
        <w:pStyle w:val="ListNumber"/>
      </w:pPr>
      <w:r>
        <w:rPr>
          <w:rFonts w:ascii="Meiryo UI" w:hAnsi="Meiryo UI"/>
          <w:sz w:val="20"/>
        </w:rPr>
        <w:t>[値上げ効果が定量で検証済み]: FY25通期で法人ARPA前年比+12%増を確認。スモールビジネスプランを月額3,980円→5,980円（+50%）に改定し、6月実施分の満額反映がFY26 2Q（6-8月）以降に本格化。社長コメント「値上げ効果3Qに出る」と完全整合。</w:t>
      </w:r>
    </w:p>
    <w:p>
      <w:pPr>
        <w:pStyle w:val="ListNumber"/>
      </w:pPr>
      <w:r>
        <w:rPr>
          <w:rFonts w:ascii="Meiryo UI" w:hAnsi="Meiryo UI"/>
          <w:sz w:val="20"/>
        </w:rPr>
        <w:t>[FY26 通期初の営業黒字化が射程]: FY25 調整後EBITDA¥49.6億でガイダンス上限超過。FY26 ガイダンス：売上高¥534-575億／ARR¥475-498億／営業利益黒字化（上限+5億円）。ARR成長+20.8-26.6%は保守的設定、AI Cowork寄与でアップサイド余地がある。</w:t>
      </w:r>
    </w:p>
    <w:p/>
    <w:p>
      <w:pPr>
        <w:pStyle w:val="Heading3"/>
      </w:pPr>
      <w:r>
        <w:rPr>
          <w:rFonts w:ascii="Meiryo UI" w:hAnsi="Meiryo UI"/>
          <w:color w:val="2E74B5"/>
        </w:rPr>
        <w:t>最重要リスク（1点のみ）</w:t>
      </w:r>
    </w:p>
    <w:p>
      <w:r>
        <w:rPr>
          <w:rFonts w:ascii="Meiryo UI" w:hAnsi="Meiryo UI"/>
          <w:sz w:val="20"/>
        </w:rPr>
        <w:t>[AI Cowork普及前の投資増加フェーズ]: FY26ガイダンスで広告宣伝費が売上比9.5-11.5%に拡大、人件費・外注費が57-61%とリソース投下が増加。営業黒字化の達成確度は高いが、AI Coworkの本格収益化（7月以降）が1-2Q遅れると、FY26通期利益が下限寄りに着地するリスク。¥2,800以下は投資対象外に転落する可能性（FY26 PSR≒4.7倍）。</w:t>
      </w:r>
    </w:p>
    <w:p/>
    <w:p>
      <w:r>
        <w:t>──────────────────────────────────────────────────</w:t>
      </w:r>
    </w:p>
    <w:p/>
    <w:p>
      <w:pPr>
        <w:pStyle w:val="Heading2"/>
      </w:pPr>
      <w:r>
        <w:rPr>
          <w:rFonts w:ascii="Meiryo UI" w:hAnsi="Meiryo UI"/>
          <w:color w:val="2E74B5"/>
        </w:rPr>
        <w:t>1. 事業モデル概要（ARR・セグメント構造）</w:t>
      </w:r>
    </w:p>
    <w:p/>
    <w:p>
      <w:pPr>
        <w:pStyle w:val="Heading3"/>
      </w:pPr>
      <w:r>
        <w:rPr>
          <w:rFonts w:ascii="Meiryo UI" w:hAnsi="Meiryo UI"/>
          <w:color w:val="2E74B5"/>
        </w:rPr>
        <w:t>マネーフォワードの2大ドメイン</w:t>
      </w:r>
    </w:p>
    <w:p/>
    <w:p>
      <w:r>
        <w:rPr>
          <w:rFonts w:ascii="Meiryo UI" w:hAnsi="Meiryo UI"/>
          <w:sz w:val="20"/>
        </w:rPr>
        <w:t>マネーフォワードは「Money Forward Business（法人・個人事業主向けSaaS）」と「Money Forward Finance（個人向け金融サービス）」の2ドメインで構成されると確認された。</w:t>
      </w:r>
    </w:p>
    <w:p/>
    <w:p>
      <w:r>
        <w:rPr>
          <w:rFonts w:ascii="Meiryo UI" w:hAnsi="Meiryo UI"/>
          <w:sz w:val="20"/>
        </w:rPr>
        <w:t>Money Forward Business（主力）</w:t>
      </w:r>
    </w:p>
    <w:p>
      <w:pPr>
        <w:pStyle w:val="ListBullet"/>
      </w:pPr>
      <w:r>
        <w:rPr>
          <w:rFonts w:ascii="Meiryo UI" w:hAnsi="Meiryo UI"/>
          <w:sz w:val="20"/>
        </w:rPr>
        <w:t>MFクラウド会計・給与・経費・請求書など14製品群</w:t>
      </w:r>
    </w:p>
    <w:p>
      <w:pPr>
        <w:pStyle w:val="ListBullet"/>
      </w:pPr>
      <w:r>
        <w:rPr>
          <w:rFonts w:ascii="Meiryo UI" w:hAnsi="Meiryo UI"/>
          <w:sz w:val="20"/>
        </w:rPr>
        <w:t>対象顧客：中小企業（SMB）・中堅企業・個人事業主</w:t>
      </w:r>
    </w:p>
    <w:p>
      <w:pPr>
        <w:pStyle w:val="ListBullet"/>
      </w:pPr>
      <w:r>
        <w:rPr>
          <w:rFonts w:ascii="Meiryo UI" w:hAnsi="Meiryo UI"/>
          <w:sz w:val="20"/>
        </w:rPr>
        <w:t>金融機関2,600社以上とのAPI連携を保有（スクレイピング含む）</w:t>
      </w:r>
    </w:p>
    <w:p>
      <w:pPr>
        <w:pStyle w:val="ListBullet"/>
      </w:pPr>
      <w:r>
        <w:rPr>
          <w:rFonts w:ascii="Meiryo UI" w:hAnsi="Meiryo UI"/>
          <w:sz w:val="20"/>
        </w:rPr>
        <w:t>法人ARRがFY25通期で前年比+36%成長（YoY加速傾向）</w:t>
      </w:r>
    </w:p>
    <w:p/>
    <w:p>
      <w:r>
        <w:rPr>
          <w:rFonts w:ascii="Meiryo UI" w:hAnsi="Meiryo UI"/>
          <w:sz w:val="20"/>
        </w:rPr>
        <w:t>Money Forward Finance（補完）</w:t>
      </w:r>
    </w:p>
    <w:p>
      <w:pPr>
        <w:pStyle w:val="ListBullet"/>
      </w:pPr>
      <w:r>
        <w:rPr>
          <w:rFonts w:ascii="Meiryo UI" w:hAnsi="Meiryo UI"/>
          <w:sz w:val="20"/>
        </w:rPr>
        <w:t>マネーフォワードME（個人資産管理アプリ）</w:t>
      </w:r>
    </w:p>
    <w:p>
      <w:pPr>
        <w:pStyle w:val="ListBullet"/>
      </w:pPr>
      <w:r>
        <w:rPr>
          <w:rFonts w:ascii="Meiryo UI" w:hAnsi="Meiryo UI"/>
          <w:sz w:val="20"/>
        </w:rPr>
        <w:t>カード事業・FP事業</w:t>
      </w:r>
    </w:p>
    <w:p>
      <w:pPr>
        <w:pStyle w:val="ListBullet"/>
      </w:pPr>
      <w:r>
        <w:rPr>
          <w:rFonts w:ascii="Meiryo UI" w:hAnsi="Meiryo UI"/>
          <w:sz w:val="20"/>
        </w:rPr>
        <w:t>FY25 4Qは全社売上高前年同期比+50%成長の牽引役に</w:t>
      </w:r>
    </w:p>
    <w:p/>
    <w:p>
      <w:pPr>
        <w:pStyle w:val="Heading3"/>
      </w:pPr>
      <w:r>
        <w:rPr>
          <w:rFonts w:ascii="Meiryo UI" w:hAnsi="Meiryo UI"/>
          <w:color w:val="2E74B5"/>
        </w:rPr>
        <w:t>ARR（年間経常収益）の全体像</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FY24通期</w:t>
            </w:r>
          </w:p>
        </w:tc>
        <w:tc>
          <w:tcPr>
            <w:tcW w:type="dxa" w:w="2351"/>
            <w:shd w:val="clear" w:color="auto" w:fill="2E74B5"/>
          </w:tcPr>
          <w:p>
            <w:r>
              <w:rPr>
                <w:rFonts w:ascii="Meiryo UI" w:hAnsi="Meiryo UI"/>
                <w:b/>
                <w:color w:val="FFFFFF"/>
                <w:sz w:val="18"/>
              </w:rPr>
              <w:t>FY25通期</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全社SaaS ARR</w:t>
            </w:r>
          </w:p>
        </w:tc>
        <w:tc>
          <w:tcPr>
            <w:tcW w:type="dxa" w:w="2351"/>
          </w:tcPr>
          <w:p>
            <w:r>
              <w:rPr>
                <w:rFonts w:ascii="Meiryo UI" w:hAnsi="Meiryo UI"/>
                <w:sz w:val="18"/>
              </w:rPr>
              <w:t>約¥302億</w:t>
            </w:r>
          </w:p>
        </w:tc>
        <w:tc>
          <w:tcPr>
            <w:tcW w:type="dxa" w:w="2351"/>
          </w:tcPr>
          <w:p>
            <w:r>
              <w:rPr>
                <w:rFonts w:ascii="Meiryo UI" w:hAnsi="Meiryo UI"/>
                <w:sz w:val="18"/>
              </w:rPr>
              <w:t>約¥393億</w:t>
            </w:r>
          </w:p>
        </w:tc>
        <w:tc>
          <w:tcPr>
            <w:tcW w:type="dxa" w:w="2351"/>
          </w:tcPr>
          <w:p>
            <w:r>
              <w:rPr>
                <w:rFonts w:ascii="Meiryo UI" w:hAnsi="Meiryo UI"/>
                <w:sz w:val="18"/>
              </w:rPr>
              <w:t>+30%→31%</w:t>
            </w:r>
          </w:p>
        </w:tc>
      </w:tr>
      <w:tr>
        <w:tc>
          <w:tcPr>
            <w:tcW w:type="dxa" w:w="2351"/>
            <w:shd w:val="clear" w:color="auto" w:fill="DDEBF7"/>
          </w:tcPr>
          <w:p>
            <w:r>
              <w:rPr>
                <w:rFonts w:ascii="Meiryo UI" w:hAnsi="Meiryo UI"/>
                <w:sz w:val="18"/>
              </w:rPr>
              <w:t>法人ARR</w:t>
            </w:r>
          </w:p>
        </w:tc>
        <w:tc>
          <w:tcPr>
            <w:tcW w:type="dxa" w:w="2351"/>
            <w:shd w:val="clear" w:color="auto" w:fill="DDEBF7"/>
          </w:tcPr>
          <w:p>
            <w:r>
              <w:rPr>
                <w:rFonts w:ascii="Meiryo UI" w:hAnsi="Meiryo UI"/>
                <w:sz w:val="18"/>
              </w:rPr>
              <w:t>非開示</w:t>
            </w:r>
          </w:p>
        </w:tc>
        <w:tc>
          <w:tcPr>
            <w:tcW w:type="dxa" w:w="2351"/>
            <w:shd w:val="clear" w:color="auto" w:fill="DDEBF7"/>
          </w:tcPr>
          <w:p>
            <w:r>
              <w:rPr>
                <w:rFonts w:ascii="Meiryo UI" w:hAnsi="Meiryo UI"/>
                <w:sz w:val="18"/>
              </w:rPr>
              <w:t>YoY+36%</w:t>
            </w:r>
          </w:p>
        </w:tc>
        <w:tc>
          <w:tcPr>
            <w:tcW w:type="dxa" w:w="2351"/>
            <w:shd w:val="clear" w:color="auto" w:fill="DDEBF7"/>
          </w:tcPr>
          <w:p>
            <w:r>
              <w:rPr>
                <w:rFonts w:ascii="Meiryo UI" w:hAnsi="Meiryo UI"/>
                <w:sz w:val="18"/>
              </w:rPr>
              <w:t>加速</w:t>
            </w:r>
          </w:p>
        </w:tc>
      </w:tr>
      <w:tr>
        <w:tc>
          <w:tcPr>
            <w:tcW w:type="dxa" w:w="2351"/>
          </w:tcPr>
          <w:p>
            <w:r>
              <w:rPr>
                <w:rFonts w:ascii="Meiryo UI" w:hAnsi="Meiryo UI"/>
                <w:sz w:val="18"/>
              </w:rPr>
              <w:t>中堅企業ARR</w:t>
            </w:r>
          </w:p>
        </w:tc>
        <w:tc>
          <w:tcPr>
            <w:tcW w:type="dxa" w:w="2351"/>
          </w:tcPr>
          <w:p>
            <w:r>
              <w:rPr>
                <w:rFonts w:ascii="Meiryo UI" w:hAnsi="Meiryo UI"/>
                <w:sz w:val="18"/>
              </w:rPr>
              <w:t>非開示</w:t>
            </w:r>
          </w:p>
        </w:tc>
        <w:tc>
          <w:tcPr>
            <w:tcW w:type="dxa" w:w="2351"/>
          </w:tcPr>
          <w:p>
            <w:r>
              <w:rPr>
                <w:rFonts w:ascii="Meiryo UI" w:hAnsi="Meiryo UI"/>
                <w:sz w:val="18"/>
              </w:rPr>
              <w:t>YoY+34%</w:t>
            </w:r>
          </w:p>
        </w:tc>
        <w:tc>
          <w:tcPr>
            <w:tcW w:type="dxa" w:w="2351"/>
          </w:tcPr>
          <w:p>
            <w:r>
              <w:rPr>
                <w:rFonts w:ascii="Meiryo UI" w:hAnsi="Meiryo UI"/>
                <w:sz w:val="18"/>
              </w:rPr>
              <w:t>Q4に過去最高</w:t>
            </w:r>
          </w:p>
        </w:tc>
      </w:tr>
      <w:tr>
        <w:tc>
          <w:tcPr>
            <w:tcW w:type="dxa" w:w="2351"/>
            <w:shd w:val="clear" w:color="auto" w:fill="DDEBF7"/>
          </w:tcPr>
          <w:p>
            <w:r>
              <w:rPr>
                <w:rFonts w:ascii="Meiryo UI" w:hAnsi="Meiryo UI"/>
                <w:sz w:val="18"/>
              </w:rPr>
              <w:t>法人ARPA（年額）</w:t>
            </w:r>
          </w:p>
        </w:tc>
        <w:tc>
          <w:tcPr>
            <w:tcW w:type="dxa" w:w="2351"/>
            <w:shd w:val="clear" w:color="auto" w:fill="DDEBF7"/>
          </w:tcPr>
          <w:p>
            <w:r>
              <w:rPr>
                <w:rFonts w:ascii="Meiryo UI" w:hAnsi="Meiryo UI"/>
                <w:sz w:val="18"/>
              </w:rPr>
              <w:t>約¥6万</w:t>
            </w:r>
          </w:p>
        </w:tc>
        <w:tc>
          <w:tcPr>
            <w:tcW w:type="dxa" w:w="2351"/>
            <w:shd w:val="clear" w:color="auto" w:fill="DDEBF7"/>
          </w:tcPr>
          <w:p>
            <w:r>
              <w:rPr>
                <w:rFonts w:ascii="Meiryo UI" w:hAnsi="Meiryo UI"/>
                <w:sz w:val="18"/>
              </w:rPr>
              <w:t>約¥6.8-6.9万</w:t>
            </w:r>
          </w:p>
        </w:tc>
        <w:tc>
          <w:tcPr>
            <w:tcW w:type="dxa" w:w="2351"/>
            <w:shd w:val="clear" w:color="auto" w:fill="DDEBF7"/>
          </w:tcPr>
          <w:p>
            <w:r>
              <w:rPr>
                <w:rFonts w:ascii="Meiryo UI" w:hAnsi="Meiryo UI"/>
                <w:sz w:val="18"/>
              </w:rPr>
              <w:t>+12%</w:t>
            </w:r>
          </w:p>
        </w:tc>
      </w:tr>
    </w:tbl>
    <w:p/>
    <w:p>
      <w:r>
        <w:rPr>
          <w:rFonts w:ascii="Meiryo UI" w:hAnsi="Meiryo UI"/>
          <w:sz w:val="20"/>
        </w:rPr>
        <w:t>※ FY26ガイダンスARR：¥475-498億（YoY+20.8-26.6%）</w:t>
      </w:r>
    </w:p>
    <w:p/>
    <w:p>
      <w:r>
        <w:t>──────────────────────────────────────────────────</w:t>
      </w:r>
    </w:p>
    <w:p/>
    <w:p>
      <w:pPr>
        <w:pStyle w:val="Heading2"/>
      </w:pPr>
      <w:r>
        <w:rPr>
          <w:rFonts w:ascii="Meiryo UI" w:hAnsi="Meiryo UI"/>
          <w:color w:val="2E74B5"/>
        </w:rPr>
        <w:t>2. 直近決算定量分析（FY25通期 + 値上げ効果進捗）</w:t>
      </w:r>
    </w:p>
    <w:p/>
    <w:p>
      <w:pPr>
        <w:pStyle w:val="Heading3"/>
      </w:pPr>
      <w:r>
        <w:rPr>
          <w:rFonts w:ascii="Meiryo UI" w:hAnsi="Meiryo UI"/>
          <w:color w:val="2E74B5"/>
        </w:rPr>
        <w:t>FY25（2025年11月期）通期ハイライト（2026年1月14日発表）</w:t>
      </w:r>
    </w:p>
    <w:p/>
    <w:p>
      <w:r>
        <w:rPr>
          <w:rFonts w:ascii="Meiryo UI" w:hAnsi="Meiryo UI"/>
          <w:sz w:val="20"/>
        </w:rPr>
        <w:t>業績概要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実績</w:t>
            </w:r>
          </w:p>
        </w:tc>
        <w:tc>
          <w:tcPr>
            <w:tcW w:type="dxa" w:w="2351"/>
            <w:shd w:val="clear" w:color="auto" w:fill="2E74B5"/>
          </w:tcPr>
          <w:p>
            <w:r>
              <w:rPr>
                <w:rFonts w:ascii="Meiryo UI" w:hAnsi="Meiryo UI"/>
                <w:b/>
                <w:color w:val="FFFFFF"/>
                <w:sz w:val="18"/>
              </w:rPr>
              <w:t>ガイダンス中央値</w:t>
            </w:r>
          </w:p>
        </w:tc>
        <w:tc>
          <w:tcPr>
            <w:tcW w:type="dxa" w:w="2351"/>
            <w:shd w:val="clear" w:color="auto" w:fill="2E74B5"/>
          </w:tcPr>
          <w:p>
            <w:r>
              <w:rPr>
                <w:rFonts w:ascii="Meiryo UI" w:hAnsi="Meiryo UI"/>
                <w:b/>
                <w:color w:val="FFFFFF"/>
                <w:sz w:val="18"/>
              </w:rPr>
              <w:t>対比</w:t>
            </w:r>
          </w:p>
        </w:tc>
      </w:tr>
      <w:tr>
        <w:tc>
          <w:tcPr>
            <w:tcW w:type="dxa" w:w="2351"/>
          </w:tcPr>
          <w:p>
            <w:r>
              <w:rPr>
                <w:rFonts w:ascii="Meiryo UI" w:hAnsi="Meiryo UI"/>
                <w:sz w:val="18"/>
              </w:rPr>
              <w:t>全社売上高</w:t>
            </w:r>
          </w:p>
        </w:tc>
        <w:tc>
          <w:tcPr>
            <w:tcW w:type="dxa" w:w="2351"/>
          </w:tcPr>
          <w:p>
            <w:r>
              <w:rPr>
                <w:rFonts w:ascii="Meiryo UI" w:hAnsi="Meiryo UI"/>
                <w:sz w:val="18"/>
              </w:rPr>
              <w:t>¥503.5億</w:t>
            </w:r>
          </w:p>
        </w:tc>
        <w:tc>
          <w:tcPr>
            <w:tcW w:type="dxa" w:w="2351"/>
          </w:tcPr>
          <w:p>
            <w:r>
              <w:rPr>
                <w:rFonts w:ascii="Meiryo UI" w:hAnsi="Meiryo UI"/>
                <w:sz w:val="18"/>
              </w:rPr>
              <w:t>¥490億前後</w:t>
            </w:r>
          </w:p>
        </w:tc>
        <w:tc>
          <w:tcPr>
            <w:tcW w:type="dxa" w:w="2351"/>
          </w:tcPr>
          <w:p>
            <w:r>
              <w:rPr>
                <w:rFonts w:ascii="Meiryo UI" w:hAnsi="Meiryo UI"/>
                <w:sz w:val="18"/>
              </w:rPr>
              <w:t>上振れ</w:t>
            </w:r>
          </w:p>
        </w:tc>
      </w:tr>
      <w:tr>
        <w:tc>
          <w:tcPr>
            <w:tcW w:type="dxa" w:w="2351"/>
            <w:shd w:val="clear" w:color="auto" w:fill="DDEBF7"/>
          </w:tcPr>
          <w:p>
            <w:r>
              <w:rPr>
                <w:rFonts w:ascii="Meiryo UI" w:hAnsi="Meiryo UI"/>
                <w:sz w:val="18"/>
              </w:rPr>
              <w:t>調整後EBITDA</w:t>
            </w:r>
          </w:p>
        </w:tc>
        <w:tc>
          <w:tcPr>
            <w:tcW w:type="dxa" w:w="2351"/>
            <w:shd w:val="clear" w:color="auto" w:fill="DDEBF7"/>
          </w:tcPr>
          <w:p>
            <w:r>
              <w:rPr>
                <w:rFonts w:ascii="Meiryo UI" w:hAnsi="Meiryo UI"/>
                <w:sz w:val="18"/>
              </w:rPr>
              <w:t>¥49.6億</w:t>
            </w:r>
          </w:p>
        </w:tc>
        <w:tc>
          <w:tcPr>
            <w:tcW w:type="dxa" w:w="2351"/>
            <w:shd w:val="clear" w:color="auto" w:fill="DDEBF7"/>
          </w:tcPr>
          <w:p>
            <w:r>
              <w:rPr>
                <w:rFonts w:ascii="Meiryo UI" w:hAnsi="Meiryo UI"/>
                <w:sz w:val="18"/>
              </w:rPr>
              <w:t>¥44億（上限）</w:t>
            </w:r>
          </w:p>
        </w:tc>
        <w:tc>
          <w:tcPr>
            <w:tcW w:type="dxa" w:w="2351"/>
            <w:shd w:val="clear" w:color="auto" w:fill="DDEBF7"/>
          </w:tcPr>
          <w:p>
            <w:r>
              <w:rPr>
                <w:rFonts w:ascii="Meiryo UI" w:hAnsi="Meiryo UI"/>
                <w:sz w:val="18"/>
              </w:rPr>
              <w:t>超過</w:t>
            </w:r>
          </w:p>
        </w:tc>
      </w:tr>
      <w:tr>
        <w:tc>
          <w:tcPr>
            <w:tcW w:type="dxa" w:w="2351"/>
          </w:tcPr>
          <w:p>
            <w:r>
              <w:rPr>
                <w:rFonts w:ascii="Meiryo UI" w:hAnsi="Meiryo UI"/>
                <w:sz w:val="18"/>
              </w:rPr>
              <w:t>EBITDAマージン</w:t>
            </w:r>
          </w:p>
        </w:tc>
        <w:tc>
          <w:tcPr>
            <w:tcW w:type="dxa" w:w="2351"/>
          </w:tcPr>
          <w:p>
            <w:r>
              <w:rPr>
                <w:rFonts w:ascii="Meiryo UI" w:hAnsi="Meiryo UI"/>
                <w:sz w:val="18"/>
              </w:rPr>
              <w:t>9.5%</w:t>
            </w:r>
          </w:p>
        </w:tc>
        <w:tc>
          <w:tcPr>
            <w:tcW w:type="dxa" w:w="2351"/>
          </w:tcPr>
          <w:p>
            <w:r>
              <w:rPr>
                <w:rFonts w:ascii="Meiryo UI" w:hAnsi="Meiryo UI"/>
                <w:sz w:val="18"/>
              </w:rPr>
              <w:t>4-5pt改善目標</w:t>
            </w:r>
          </w:p>
        </w:tc>
        <w:tc>
          <w:tcPr>
            <w:tcW w:type="dxa" w:w="2351"/>
          </w:tcPr>
          <w:p>
            <w:r>
              <w:rPr>
                <w:rFonts w:ascii="Meiryo UI" w:hAnsi="Meiryo UI"/>
                <w:sz w:val="18"/>
              </w:rPr>
              <w:t>5.2pt改善</w:t>
            </w:r>
          </w:p>
        </w:tc>
      </w:tr>
      <w:tr>
        <w:tc>
          <w:tcPr>
            <w:tcW w:type="dxa" w:w="2351"/>
            <w:shd w:val="clear" w:color="auto" w:fill="DDEBF7"/>
          </w:tcPr>
          <w:p>
            <w:r>
              <w:rPr>
                <w:rFonts w:ascii="Meiryo UI" w:hAnsi="Meiryo UI"/>
                <w:sz w:val="18"/>
              </w:rPr>
              <w:t>営業利益率改善</w:t>
            </w:r>
          </w:p>
        </w:tc>
        <w:tc>
          <w:tcPr>
            <w:tcW w:type="dxa" w:w="2351"/>
            <w:shd w:val="clear" w:color="auto" w:fill="DDEBF7"/>
          </w:tcPr>
          <w:p>
            <w:r>
              <w:rPr>
                <w:rFonts w:ascii="Meiryo UI" w:hAnsi="Meiryo UI"/>
                <w:sz w:val="18"/>
              </w:rPr>
              <w:t>+6.5pt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超過</w:t>
            </w:r>
          </w:p>
        </w:tc>
      </w:tr>
      <w:tr>
        <w:tc>
          <w:tcPr>
            <w:tcW w:type="dxa" w:w="2351"/>
          </w:tcPr>
          <w:p>
            <w:r>
              <w:rPr>
                <w:rFonts w:ascii="Meiryo UI" w:hAnsi="Meiryo UI"/>
                <w:sz w:val="18"/>
              </w:rPr>
              <w:t>当期純利益</w:t>
            </w:r>
          </w:p>
        </w:tc>
        <w:tc>
          <w:tcPr>
            <w:tcW w:type="dxa" w:w="2351"/>
          </w:tcPr>
          <w:p>
            <w:r>
              <w:rPr>
                <w:rFonts w:ascii="Meiryo UI" w:hAnsi="Meiryo UI"/>
                <w:sz w:val="18"/>
              </w:rPr>
              <w:t>黒字化（初）</w:t>
            </w:r>
          </w:p>
        </w:tc>
        <w:tc>
          <w:tcPr>
            <w:tcW w:type="dxa" w:w="2351"/>
          </w:tcPr>
          <w:p>
            <w:r>
              <w:rPr>
                <w:rFonts w:ascii="Meiryo UI" w:hAnsi="Meiryo UI"/>
                <w:sz w:val="18"/>
              </w:rPr>
              <w:t>赤字ガイダンス</w:t>
            </w:r>
          </w:p>
        </w:tc>
        <w:tc>
          <w:tcPr>
            <w:tcW w:type="dxa" w:w="2351"/>
          </w:tcPr>
          <w:p>
            <w:r>
              <w:rPr>
                <w:rFonts w:ascii="Meiryo UI" w:hAnsi="Meiryo UI"/>
                <w:sz w:val="18"/>
              </w:rPr>
              <w:t>大幅改善</w:t>
            </w:r>
          </w:p>
        </w:tc>
      </w:tr>
    </w:tbl>
    <w:p/>
    <w:p>
      <w:r>
        <w:rPr>
          <w:rFonts w:ascii="Meiryo UI" w:hAnsi="Meiryo UI"/>
          <w:sz w:val="20"/>
        </w:rPr>
        <w:t>黒字化の背景： スマートキャンプ社売却などの特別利益で期初ガイダンス赤字幅（▲68億〜▲44億）から60億円以上改善し、創業以来初の当期純利益黒字化を達成したと確認された。ただし、これは一時的要因による部分が大きく、持続的営業黒字化はFY26の課題として継続している。</w:t>
      </w:r>
    </w:p>
    <w:p/>
    <w:p>
      <w:r>
        <w:rPr>
          <w:rFonts w:ascii="Meiryo UI" w:hAnsi="Meiryo UI"/>
          <w:sz w:val="20"/>
        </w:rPr>
        <w:t>Q4（2025年9-11月）単独ハイライト（過去最高更新ラッシュ）</w:t>
      </w:r>
    </w:p>
    <w:p>
      <w:pPr>
        <w:pStyle w:val="ListBullet"/>
      </w:pPr>
      <w:r>
        <w:rPr>
          <w:rFonts w:ascii="Meiryo UI" w:hAnsi="Meiryo UI"/>
          <w:sz w:val="20"/>
        </w:rPr>
        <w:t>Q4売上高：前年同期比+41%成長</w:t>
      </w:r>
    </w:p>
    <w:p>
      <w:pPr>
        <w:pStyle w:val="ListBullet"/>
      </w:pPr>
      <w:r>
        <w:rPr>
          <w:rFonts w:ascii="Meiryo UI" w:hAnsi="Meiryo UI"/>
          <w:sz w:val="20"/>
        </w:rPr>
        <w:t>Money Forward Business全体：前年同期比+50%成長</w:t>
      </w:r>
    </w:p>
    <w:p>
      <w:pPr>
        <w:pStyle w:val="ListBullet"/>
      </w:pPr>
      <w:r>
        <w:rPr>
          <w:rFonts w:ascii="Meiryo UI" w:hAnsi="Meiryo UI"/>
          <w:sz w:val="20"/>
        </w:rPr>
        <w:t>オーガニックARR純増：SMB +¥11.1億、中堅 +¥12.3億（いずれも過去最高）</w:t>
      </w:r>
    </w:p>
    <w:p>
      <w:pPr>
        <w:pStyle w:val="ListBullet"/>
      </w:pPr>
      <w:r>
        <w:rPr>
          <w:rFonts w:ascii="Meiryo UI" w:hAnsi="Meiryo UI"/>
          <w:sz w:val="20"/>
        </w:rPr>
        <w:t>AKASHI（ソニービズネットワークス買収・出退勤管理）：1,468社・ARR¥6億（2025年12月時点）</w:t>
      </w:r>
    </w:p>
    <w:p/>
    <w:p>
      <w:pPr>
        <w:pStyle w:val="Heading3"/>
      </w:pPr>
      <w:r>
        <w:rPr>
          <w:rFonts w:ascii="Meiryo UI" w:hAnsi="Meiryo UI"/>
          <w:color w:val="2E74B5"/>
        </w:rPr>
        <w:t>値上げ効果の定量確認</w:t>
      </w:r>
    </w:p>
    <w:p/>
    <w:p>
      <w:r>
        <w:rPr>
          <w:rFonts w:ascii="Meiryo UI" w:hAnsi="Meiryo UI"/>
          <w:sz w:val="20"/>
        </w:rPr>
        <w:t>実施済み値上げ施策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プラン</w:t>
            </w:r>
          </w:p>
        </w:tc>
        <w:tc>
          <w:tcPr>
            <w:tcW w:type="dxa" w:w="1881"/>
            <w:shd w:val="clear" w:color="auto" w:fill="2E74B5"/>
          </w:tcPr>
          <w:p>
            <w:r>
              <w:rPr>
                <w:rFonts w:ascii="Meiryo UI" w:hAnsi="Meiryo UI"/>
                <w:b/>
                <w:color w:val="FFFFFF"/>
                <w:sz w:val="18"/>
              </w:rPr>
              <w:t>旧月額</w:t>
            </w:r>
          </w:p>
        </w:tc>
        <w:tc>
          <w:tcPr>
            <w:tcW w:type="dxa" w:w="1881"/>
            <w:shd w:val="clear" w:color="auto" w:fill="2E74B5"/>
          </w:tcPr>
          <w:p>
            <w:r>
              <w:rPr>
                <w:rFonts w:ascii="Meiryo UI" w:hAnsi="Meiryo UI"/>
                <w:b/>
                <w:color w:val="FFFFFF"/>
                <w:sz w:val="18"/>
              </w:rPr>
              <w:t>新月額</w:t>
            </w:r>
          </w:p>
        </w:tc>
        <w:tc>
          <w:tcPr>
            <w:tcW w:type="dxa" w:w="1881"/>
            <w:shd w:val="clear" w:color="auto" w:fill="2E74B5"/>
          </w:tcPr>
          <w:p>
            <w:r>
              <w:rPr>
                <w:rFonts w:ascii="Meiryo UI" w:hAnsi="Meiryo UI"/>
                <w:b/>
                <w:color w:val="FFFFFF"/>
                <w:sz w:val="18"/>
              </w:rPr>
              <w:t>引き上げ幅</w:t>
            </w:r>
          </w:p>
        </w:tc>
        <w:tc>
          <w:tcPr>
            <w:tcW w:type="dxa" w:w="1881"/>
            <w:shd w:val="clear" w:color="auto" w:fill="2E74B5"/>
          </w:tcPr>
          <w:p>
            <w:r>
              <w:rPr>
                <w:rFonts w:ascii="Meiryo UI" w:hAnsi="Meiryo UI"/>
                <w:b/>
                <w:color w:val="FFFFFF"/>
                <w:sz w:val="18"/>
              </w:rPr>
              <w:t>実施時期</w:t>
            </w:r>
          </w:p>
        </w:tc>
      </w:tr>
      <w:tr>
        <w:tc>
          <w:tcPr>
            <w:tcW w:type="dxa" w:w="1881"/>
          </w:tcPr>
          <w:p>
            <w:r>
              <w:rPr>
                <w:rFonts w:ascii="Meiryo UI" w:hAnsi="Meiryo UI"/>
                <w:sz w:val="18"/>
              </w:rPr>
              <w:t>スモールビジネスプラン</w:t>
            </w:r>
          </w:p>
        </w:tc>
        <w:tc>
          <w:tcPr>
            <w:tcW w:type="dxa" w:w="1881"/>
          </w:tcPr>
          <w:p>
            <w:r>
              <w:rPr>
                <w:rFonts w:ascii="Meiryo UI" w:hAnsi="Meiryo UI"/>
                <w:sz w:val="18"/>
              </w:rPr>
              <w:t>¥3,980</w:t>
            </w:r>
          </w:p>
        </w:tc>
        <w:tc>
          <w:tcPr>
            <w:tcW w:type="dxa" w:w="1881"/>
          </w:tcPr>
          <w:p>
            <w:r>
              <w:rPr>
                <w:rFonts w:ascii="Meiryo UI" w:hAnsi="Meiryo UI"/>
                <w:sz w:val="18"/>
              </w:rPr>
              <w:t>¥5,980</w:t>
            </w:r>
          </w:p>
        </w:tc>
        <w:tc>
          <w:tcPr>
            <w:tcW w:type="dxa" w:w="1881"/>
          </w:tcPr>
          <w:p>
            <w:r>
              <w:rPr>
                <w:rFonts w:ascii="Meiryo UI" w:hAnsi="Meiryo UI"/>
                <w:sz w:val="18"/>
              </w:rPr>
              <w:t>+50.3%</w:t>
            </w:r>
          </w:p>
        </w:tc>
        <w:tc>
          <w:tcPr>
            <w:tcW w:type="dxa" w:w="1881"/>
          </w:tcPr>
          <w:p>
            <w:r>
              <w:rPr>
                <w:rFonts w:ascii="Meiryo UI" w:hAnsi="Meiryo UI"/>
                <w:sz w:val="18"/>
              </w:rPr>
              <w:t>2025年6月1日</w:t>
            </w:r>
          </w:p>
        </w:tc>
      </w:tr>
      <w:tr>
        <w:tc>
          <w:tcPr>
            <w:tcW w:type="dxa" w:w="1881"/>
            <w:shd w:val="clear" w:color="auto" w:fill="DDEBF7"/>
          </w:tcPr>
          <w:p>
            <w:r>
              <w:rPr>
                <w:rFonts w:ascii="Meiryo UI" w:hAnsi="Meiryo UI"/>
                <w:sz w:val="18"/>
              </w:rPr>
              <w:t>MF ME スタンダードコース</w:t>
            </w:r>
          </w:p>
        </w:tc>
        <w:tc>
          <w:tcPr>
            <w:tcW w:type="dxa" w:w="1881"/>
            <w:shd w:val="clear" w:color="auto" w:fill="DDEBF7"/>
          </w:tcPr>
          <w:p>
            <w:r>
              <w:rPr>
                <w:rFonts w:ascii="Meiryo UI" w:hAnsi="Meiryo UI"/>
                <w:sz w:val="18"/>
              </w:rPr>
              <w:t>非開示</w:t>
            </w:r>
          </w:p>
        </w:tc>
        <w:tc>
          <w:tcPr>
            <w:tcW w:type="dxa" w:w="1881"/>
            <w:shd w:val="clear" w:color="auto" w:fill="DDEBF7"/>
          </w:tcPr>
          <w:p>
            <w:r>
              <w:rPr>
                <w:rFonts w:ascii="Meiryo UI" w:hAnsi="Meiryo UI"/>
                <w:sz w:val="18"/>
              </w:rPr>
              <w:t>値上げ</w:t>
            </w:r>
          </w:p>
        </w:tc>
        <w:tc>
          <w:tcPr>
            <w:tcW w:type="dxa" w:w="1881"/>
            <w:shd w:val="clear" w:color="auto" w:fill="DDEBF7"/>
          </w:tcPr>
          <w:p>
            <w:r>
              <w:rPr>
                <w:rFonts w:ascii="Meiryo UI" w:hAnsi="Meiryo UI"/>
                <w:sz w:val="18"/>
              </w:rPr>
              <w:t>実施</w:t>
            </w:r>
          </w:p>
        </w:tc>
        <w:tc>
          <w:tcPr>
            <w:tcW w:type="dxa" w:w="1881"/>
            <w:shd w:val="clear" w:color="auto" w:fill="DDEBF7"/>
          </w:tcPr>
          <w:p>
            <w:r>
              <w:rPr>
                <w:rFonts w:ascii="Meiryo UI" w:hAnsi="Meiryo UI"/>
                <w:sz w:val="18"/>
              </w:rPr>
              <w:t>2025年8月5日</w:t>
            </w:r>
          </w:p>
        </w:tc>
      </w:tr>
      <w:tr>
        <w:tc>
          <w:tcPr>
            <w:tcW w:type="dxa" w:w="1881"/>
          </w:tcPr>
          <w:p>
            <w:r>
              <w:rPr>
                <w:rFonts w:ascii="Meiryo UI" w:hAnsi="Meiryo UI"/>
                <w:sz w:val="18"/>
              </w:rPr>
              <w:t>ビジネスプラン</w:t>
            </w:r>
          </w:p>
        </w:tc>
        <w:tc>
          <w:tcPr>
            <w:tcW w:type="dxa" w:w="1881"/>
          </w:tcPr>
          <w:p>
            <w:r>
              <w:rPr>
                <w:rFonts w:ascii="Meiryo UI" w:hAnsi="Meiryo UI"/>
                <w:sz w:val="18"/>
              </w:rPr>
              <w:t>¥7,980</w:t>
            </w:r>
          </w:p>
        </w:tc>
        <w:tc>
          <w:tcPr>
            <w:tcW w:type="dxa" w:w="1881"/>
          </w:tcPr>
          <w:p>
            <w:r>
              <w:rPr>
                <w:rFonts w:ascii="Meiryo UI" w:hAnsi="Meiryo UI"/>
                <w:sz w:val="18"/>
              </w:rPr>
              <w:t>従量課金追加</w:t>
            </w:r>
          </w:p>
        </w:tc>
        <w:tc>
          <w:tcPr>
            <w:tcW w:type="dxa" w:w="1881"/>
          </w:tcPr>
          <w:p>
            <w:r>
              <w:rPr>
                <w:rFonts w:ascii="Meiryo UI" w:hAnsi="Meiryo UI"/>
                <w:sz w:val="18"/>
              </w:rPr>
              <w:t>構造変更</w:t>
            </w:r>
          </w:p>
        </w:tc>
        <w:tc>
          <w:tcPr>
            <w:tcW w:type="dxa" w:w="1881"/>
          </w:tcPr>
          <w:p>
            <w:r>
              <w:rPr>
                <w:rFonts w:ascii="Meiryo UI" w:hAnsi="Meiryo UI"/>
                <w:sz w:val="18"/>
              </w:rPr>
              <w:t>2025年6月1日</w:t>
            </w:r>
          </w:p>
        </w:tc>
      </w:tr>
    </w:tbl>
    <w:p/>
    <w:p>
      <w:r>
        <w:rPr>
          <w:rFonts w:ascii="Meiryo UI" w:hAnsi="Meiryo UI"/>
          <w:sz w:val="20"/>
        </w:rPr>
        <w:t>値上げ効果の定量進捗</w:t>
      </w:r>
    </w:p>
    <w:p>
      <w:pPr>
        <w:pStyle w:val="ListBullet"/>
      </w:pPr>
      <w:r>
        <w:rPr>
          <w:rFonts w:ascii="Meiryo UI" w:hAnsi="Meiryo UI"/>
          <w:sz w:val="20"/>
        </w:rPr>
        <w:t>FY25通期で法人ARPAは前年同期比+12%増と確認された。</w:t>
      </w:r>
    </w:p>
    <w:p>
      <w:pPr>
        <w:pStyle w:val="ListBullet"/>
      </w:pPr>
      <w:r>
        <w:rPr>
          <w:rFonts w:ascii="Meiryo UI" w:hAnsi="Meiryo UI"/>
          <w:sz w:val="20"/>
        </w:rPr>
        <w:t>スモールビジネスプランの年額は¥35,760→¥53,760（+¥18,000）へ改定。</w:t>
      </w:r>
    </w:p>
    <w:p>
      <w:pPr>
        <w:pStyle w:val="ListBullet"/>
      </w:pPr>
      <w:r>
        <w:rPr>
          <w:rFonts w:ascii="Meiryo UI" w:hAnsi="Meiryo UI"/>
          <w:sz w:val="20"/>
        </w:rPr>
        <w:t>FY25 Q4時点でARPAは¥6.8-6.9万水準と推察され、将来的に¥8万水準が経営目標として言及されていることが確認された。</w:t>
      </w:r>
    </w:p>
    <w:p>
      <w:pPr>
        <w:pStyle w:val="ListBullet"/>
      </w:pPr>
      <w:r>
        <w:rPr>
          <w:rFonts w:ascii="Meiryo UI" w:hAnsi="Meiryo UI"/>
          <w:sz w:val="20"/>
        </w:rPr>
        <w:t>値上げによるチャーン増加については、法人解約率が0.8%前後（3ヶ月平均0.9%）と低水準維持が確認されており、値上げによる純増効果が勝っていると判断される。</w:t>
      </w:r>
    </w:p>
    <w:p/>
    <w:p>
      <w:r>
        <w:rPr>
          <w:rFonts w:ascii="Meiryo UI" w:hAnsi="Meiryo UI"/>
          <w:sz w:val="20"/>
        </w:rPr>
        <w:t>「値上げ効果3Q（FY26の6-8月期）に出る」の検証</w:t>
      </w:r>
    </w:p>
    <w:p>
      <w:pPr>
        <w:pStyle w:val="ListBullet"/>
      </w:pPr>
      <w:r>
        <w:rPr>
          <w:rFonts w:ascii="Meiryo UI" w:hAnsi="Meiryo UI"/>
          <w:sz w:val="20"/>
        </w:rPr>
        <w:t>2025年6月1日改定の効果は、FY25（2024年12月-2025年11月）の2Q（3-5月）に新規顧客から適用開始、2Q後半〜3Q（6-8月）に既存顧客の更新時にも本格適用されると推察される。</w:t>
      </w:r>
    </w:p>
    <w:p>
      <w:pPr>
        <w:pStyle w:val="ListBullet"/>
      </w:pPr>
      <w:r>
        <w:rPr>
          <w:rFonts w:ascii="Meiryo UI" w:hAnsi="Meiryo UI"/>
          <w:sz w:val="20"/>
        </w:rPr>
        <w:t>社長コメントの「FY26 3Q（2026年6-8月）に値上げ効果が出る」は、既存顧客の年次更新タイミングへの反映を指している可能性が高く、定量的な根拠がある。</w:t>
      </w:r>
    </w:p>
    <w:p>
      <w:pPr>
        <w:pStyle w:val="ListBullet"/>
      </w:pPr>
      <w:r>
        <w:rPr>
          <w:rFonts w:ascii="Meiryo UI" w:hAnsi="Meiryo UI"/>
          <w:sz w:val="20"/>
        </w:rPr>
        <w:t>FY26 1Qガイダンスは未開示だが、4/14の決算発表で値上げ進捗の定量開示が期待される。</w:t>
      </w:r>
    </w:p>
    <w:p/>
    <w:p>
      <w:pPr>
        <w:pStyle w:val="Heading3"/>
      </w:pPr>
      <w:r>
        <w:rPr>
          <w:rFonts w:ascii="Meiryo UI" w:hAnsi="Meiryo UI"/>
          <w:color w:val="2E74B5"/>
        </w:rPr>
        <w:t>セグメント別比較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特徴</w:t>
            </w:r>
          </w:p>
        </w:tc>
        <w:tc>
          <w:tcPr>
            <w:tcW w:type="dxa" w:w="3135"/>
            <w:shd w:val="clear" w:color="auto" w:fill="2E74B5"/>
          </w:tcPr>
          <w:p>
            <w:r>
              <w:rPr>
                <w:rFonts w:ascii="Meiryo UI" w:hAnsi="Meiryo UI"/>
                <w:b/>
                <w:color w:val="FFFFFF"/>
                <w:sz w:val="18"/>
              </w:rPr>
              <w:t>FY25成長率</w:t>
            </w:r>
          </w:p>
        </w:tc>
      </w:tr>
      <w:tr>
        <w:tc>
          <w:tcPr>
            <w:tcW w:type="dxa" w:w="3135"/>
          </w:tcPr>
          <w:p>
            <w:r>
              <w:rPr>
                <w:rFonts w:ascii="Meiryo UI" w:hAnsi="Meiryo UI"/>
                <w:sz w:val="18"/>
              </w:rPr>
              <w:t>Money Forward Business</w:t>
            </w:r>
          </w:p>
        </w:tc>
        <w:tc>
          <w:tcPr>
            <w:tcW w:type="dxa" w:w="3135"/>
          </w:tcPr>
          <w:p>
            <w:r>
              <w:rPr>
                <w:rFonts w:ascii="Meiryo UI" w:hAnsi="Meiryo UI"/>
                <w:sz w:val="18"/>
              </w:rPr>
              <w:t>高マージン・SaaS主体</w:t>
            </w:r>
          </w:p>
        </w:tc>
        <w:tc>
          <w:tcPr>
            <w:tcW w:type="dxa" w:w="3135"/>
          </w:tcPr>
          <w:p>
            <w:r>
              <w:rPr>
                <w:rFonts w:ascii="Meiryo UI" w:hAnsi="Meiryo UI"/>
                <w:sz w:val="18"/>
              </w:rPr>
              <w:t>ARR+34%(Q4)</w:t>
            </w:r>
          </w:p>
        </w:tc>
      </w:tr>
      <w:tr>
        <w:tc>
          <w:tcPr>
            <w:tcW w:type="dxa" w:w="3135"/>
            <w:shd w:val="clear" w:color="auto" w:fill="DDEBF7"/>
          </w:tcPr>
          <w:p>
            <w:r>
              <w:rPr>
                <w:rFonts w:ascii="Meiryo UI" w:hAnsi="Meiryo UI"/>
                <w:sz w:val="18"/>
              </w:rPr>
              <w:t>Money Forward Finance</w:t>
            </w:r>
          </w:p>
        </w:tc>
        <w:tc>
          <w:tcPr>
            <w:tcW w:type="dxa" w:w="3135"/>
            <w:shd w:val="clear" w:color="auto" w:fill="DDEBF7"/>
          </w:tcPr>
          <w:p>
            <w:r>
              <w:rPr>
                <w:rFonts w:ascii="Meiryo UI" w:hAnsi="Meiryo UI"/>
                <w:sz w:val="18"/>
              </w:rPr>
              <w:t>取引量連動・カード手数料</w:t>
            </w:r>
          </w:p>
        </w:tc>
        <w:tc>
          <w:tcPr>
            <w:tcW w:type="dxa" w:w="3135"/>
            <w:shd w:val="clear" w:color="auto" w:fill="DDEBF7"/>
          </w:tcPr>
          <w:p>
            <w:r>
              <w:rPr>
                <w:rFonts w:ascii="Meiryo UI" w:hAnsi="Meiryo UI"/>
                <w:sz w:val="18"/>
              </w:rPr>
              <w:t>Q4で+50%牽引</w:t>
            </w:r>
          </w:p>
        </w:tc>
      </w:tr>
    </w:tbl>
    <w:p/>
    <w:p>
      <w:pPr>
        <w:pStyle w:val="Heading3"/>
      </w:pPr>
      <w:r>
        <w:rPr>
          <w:rFonts w:ascii="Meiryo UI" w:hAnsi="Meiryo UI"/>
          <w:color w:val="2E74B5"/>
        </w:rPr>
        <w:t>通期ガイダンス達成確率</w:t>
      </w:r>
    </w:p>
    <w:p/>
    <w:p>
      <w:r>
        <w:rPr>
          <w:rFonts w:ascii="Meiryo UI" w:hAnsi="Meiryo UI"/>
          <w:sz w:val="20"/>
        </w:rPr>
        <w:t>FY25は3年連続でガイダンスを超過達成した実績が確認された。FY26ガイダンス（¥534-575億）は保守的設定と推察され、AI Coworkの7月リリース寄与を加味すると上限超過確率は60-70%と評価される。</w:t>
      </w:r>
    </w:p>
    <w:p/>
    <w:p>
      <w:r>
        <w:t>──────────────────────────────────────────────────</w:t>
      </w:r>
    </w:p>
    <w:p/>
    <w:p>
      <w:pPr>
        <w:pStyle w:val="Heading2"/>
      </w:pPr>
      <w:r>
        <w:rPr>
          <w:rFonts w:ascii="Meiryo UI" w:hAnsi="Meiryo UI"/>
          <w:color w:val="2E74B5"/>
        </w:rPr>
        <w:t>3. アンソロピックショック考察（最重要セクション）</w:t>
      </w:r>
    </w:p>
    <w:p/>
    <w:p>
      <w:pPr>
        <w:pStyle w:val="Heading3"/>
      </w:pPr>
      <w:r>
        <w:rPr>
          <w:rFonts w:ascii="Meiryo UI" w:hAnsi="Meiryo UI"/>
          <w:color w:val="2E74B5"/>
        </w:rPr>
        <w:t>問い①：AnthropicのClaude（会計・給与・経費の自動化）はマネーフォワードの顧客を奪えるか？</w:t>
      </w:r>
    </w:p>
    <w:p/>
    <w:p>
      <w:r>
        <w:rPr>
          <w:rFonts w:ascii="Meiryo UI" w:hAnsi="Meiryo UI"/>
          <w:sz w:val="20"/>
        </w:rPr>
        <w:t>結論：「奪う」から「共生」へ転換済み。競合リスクは2026年4月時点では後退した。</w:t>
      </w:r>
    </w:p>
    <w:p/>
    <w:p>
      <w:pPr>
        <w:pStyle w:val="Heading4"/>
      </w:pPr>
      <w:r>
        <w:rPr>
          <w:rFonts w:ascii="Meiryo UI" w:hAnsi="Meiryo UI"/>
          <w:color w:val="2E74B5"/>
        </w:rPr>
        <w:t>直接競合のシナリオ評価</w:t>
      </w:r>
    </w:p>
    <w:p/>
    <w:p>
      <w:r>
        <w:rPr>
          <w:rFonts w:ascii="Meiryo UI" w:hAnsi="Meiryo UI"/>
          <w:sz w:val="20"/>
        </w:rPr>
        <w:t>Claudeをはじめとする汎用AIが「会計ソフト不要論」を生む前提として、以下の3条件が必要と分析される：</w:t>
      </w:r>
    </w:p>
    <w:p/>
    <w:p>
      <w:pPr>
        <w:pStyle w:val="ListNumber"/>
      </w:pPr>
      <w:r>
        <w:rPr>
          <w:rFonts w:ascii="Meiryo UI" w:hAnsi="Meiryo UI"/>
          <w:sz w:val="20"/>
        </w:rPr>
        <w:t>銀行・証券口座からの自動データ取得：マネーフォワードは金融機関2,600社以上との正式API契約を改正銀行法対応で締結済みと確認された。汎用AIがこれを複製するには各金融機関との個別契約が必要で、規制上・交渉上の参入障壁は極めて高い。</w:t>
      </w:r>
    </w:p>
    <w:p/>
    <w:p>
      <w:pPr>
        <w:pStyle w:val="ListNumber"/>
      </w:pPr>
      <w:r>
        <w:rPr>
          <w:rFonts w:ascii="Meiryo UI" w:hAnsi="Meiryo UI"/>
          <w:sz w:val="20"/>
        </w:rPr>
        <w:t>法制度への適応：インボイス制度（2023年10月施行）・電子帳簿保存法対応は国税庁認定ソフトウェアとの連携が原則必要。Claudeが単独で法的証拠能力を持つ帳簿を生成するには制度的ハードルが存在する。</w:t>
      </w:r>
    </w:p>
    <w:p/>
    <w:p>
      <w:pPr>
        <w:pStyle w:val="ListNumber"/>
      </w:pPr>
      <w:r>
        <w:rPr>
          <w:rFonts w:ascii="Meiryo UI" w:hAnsi="Meiryo UI"/>
          <w:sz w:val="20"/>
        </w:rPr>
        <w:t>会計データのロックイン：マネーフォワードは会計・給与・経費・請求書・勤怠・販売管理を横断する「バックオフィスデータのハブ」として機能しており、スイッチングコストは「ソフト変更」ではなく「データ移行＋業務フロー再設計」に相当する。解約率0.8%前後という実績がスイッチングコストの高さを定量的に裏付けている。</w:t>
      </w:r>
    </w:p>
    <w:p/>
    <w:p>
      <w:r>
        <w:rPr>
          <w:rFonts w:ascii="Meiryo UI" w:hAnsi="Meiryo UI"/>
          <w:sz w:val="20"/>
        </w:rPr>
        <w:t>評価： 汎用AIによる直接代替リスクは存在するが、3-5年のホライズンでは「低〜中」と評価される。</w:t>
      </w:r>
    </w:p>
    <w:p/>
    <w:p>
      <w:pPr>
        <w:pStyle w:val="Heading4"/>
      </w:pPr>
      <w:r>
        <w:rPr>
          <w:rFonts w:ascii="Meiryo UI" w:hAnsi="Meiryo UI"/>
          <w:color w:val="2E74B5"/>
        </w:rPr>
        <w:t>マネーフォワード自身の防衛策</w:t>
      </w:r>
    </w:p>
    <w:p/>
    <w:p>
      <w:r>
        <w:rPr>
          <w:rFonts w:ascii="Meiryo UI" w:hAnsi="Meiryo UI"/>
          <w:sz w:val="20"/>
        </w:rPr>
        <w:t>2026年3月26日、MFクラウド会計のリモートMCPサーバーを全プランで開放したと確認された。これは「ClaudeなどのAIエージェントが既にMFクラウドを通じて会計データを操作できる状態」を意味し、競合ではなくAPIエコシステムの中核に位置付ける戦略と解釈される。</w:t>
      </w:r>
    </w:p>
    <w:p/>
    <w:p>
      <w:pPr>
        <w:pStyle w:val="Heading3"/>
      </w:pPr>
      <w:r>
        <w:rPr>
          <w:rFonts w:ascii="Meiryo UI" w:hAnsi="Meiryo UI"/>
          <w:color w:val="2E74B5"/>
        </w:rPr>
        <w:t>問い②：マネーフォワード自身のAI攻め</w:t>
      </w:r>
    </w:p>
    <w:p/>
    <w:p>
      <w:r>
        <w:rPr>
          <w:rFonts w:ascii="Meiryo UI" w:hAnsi="Meiryo UI"/>
          <w:sz w:val="20"/>
        </w:rPr>
        <w:t>「AI Cowork」の発表（2026年4月7日）</w:t>
      </w:r>
    </w:p>
    <w:p/>
    <w:p>
      <w:r>
        <w:rPr>
          <w:rFonts w:ascii="Meiryo UI" w:hAnsi="Meiryo UI"/>
          <w:sz w:val="20"/>
        </w:rPr>
        <w:t>マネーフォワードは2026年4月7日に「マネーフォワード AI Cowork」を発表し、同年7月に正式リリース予定であることが確認された。主な内容は以下の通り。</w:t>
      </w:r>
    </w:p>
    <w:p/>
    <w:p>
      <w:pPr>
        <w:pStyle w:val="ListBullet"/>
      </w:pPr>
      <w:r>
        <w:rPr>
          <w:rFonts w:ascii="Meiryo UI" w:hAnsi="Meiryo UI"/>
          <w:sz w:val="20"/>
        </w:rPr>
        <w:t>技術基盤：Anthropic Claude Agent SDK + MCP（Model Context Protocol）を採用</w:t>
      </w:r>
    </w:p>
    <w:p>
      <w:pPr>
        <w:pStyle w:val="ListBullet"/>
      </w:pPr>
      <w:r>
        <w:rPr>
          <w:rFonts w:ascii="Meiryo UI" w:hAnsi="Meiryo UI"/>
          <w:sz w:val="20"/>
        </w:rPr>
        <w:t>機能：自然言語指示だけで経理（請求書発行・支払管理）、労務（稟議・承認）、法務を横断して並列実行</w:t>
      </w:r>
    </w:p>
    <w:p>
      <w:pPr>
        <w:pStyle w:val="ListBullet"/>
      </w:pPr>
      <w:r>
        <w:rPr>
          <w:rFonts w:ascii="Meiryo UI" w:hAnsi="Meiryo UI"/>
          <w:sz w:val="20"/>
        </w:rPr>
        <w:t>ポジション：MFクラウド既存ユーザーが対象。4月7日より先行受付開始</w:t>
      </w:r>
    </w:p>
    <w:p>
      <w:pPr>
        <w:pStyle w:val="ListBullet"/>
      </w:pPr>
      <w:r>
        <w:rPr>
          <w:rFonts w:ascii="Meiryo UI" w:hAnsi="Meiryo UI"/>
          <w:sz w:val="20"/>
        </w:rPr>
        <w:t>料金体系：シート課金＋従量課金の組み合わせを検討中（具体的な数値は2026年4月時点で未公表）</w:t>
      </w:r>
    </w:p>
    <w:p>
      <w:pPr>
        <w:pStyle w:val="ListBullet"/>
      </w:pPr>
      <w:r>
        <w:rPr>
          <w:rFonts w:ascii="Meiryo UI" w:hAnsi="Meiryo UI"/>
          <w:sz w:val="20"/>
        </w:rPr>
        <w:t>2030年目標：AI関連ARR単独で¥150億円超</w:t>
      </w:r>
    </w:p>
    <w:p/>
    <w:p>
      <w:r>
        <w:rPr>
          <w:rFonts w:ascii="Meiryo UI" w:hAnsi="Meiryo UI"/>
          <w:sz w:val="20"/>
        </w:rPr>
        <w:t>「月6,000円→年50万円」仮説の検証</w:t>
      </w:r>
    </w:p>
    <w:p/>
    <w:p>
      <w:r>
        <w:rPr>
          <w:rFonts w:ascii="Meiryo UI" w:hAnsi="Meiryo UI"/>
          <w:sz w:val="20"/>
        </w:rPr>
        <w:t>社長の「AI搭載で月6,000円→年5m円（年50万円）」という仮説は、現行の法人スモールビジネスプラン¥5,980/月（年額¥71,760）に対し、AI Coworkを年額¥500,000（月換算¥41,667）で販売するというモデルを示すと解釈される。</w:t>
      </w:r>
    </w:p>
    <w:p/>
    <w:p>
      <w:r>
        <w:rPr>
          <w:rFonts w:ascii="Meiryo UI" w:hAnsi="Meiryo UI"/>
          <w:sz w:val="20"/>
        </w:rPr>
        <w:t>実現可能性評価：</w:t>
      </w:r>
    </w:p>
    <w:p>
      <w:pPr>
        <w:pStyle w:val="ListBullet"/>
      </w:pPr>
      <w:r>
        <w:rPr>
          <w:rFonts w:ascii="Meiryo UI" w:hAnsi="Meiryo UI"/>
          <w:sz w:val="20"/>
        </w:rPr>
        <w:t>強気根拠：バックオフィス1名分の人件費（年400-500万円）を代替できれば、年50万円は経費削減の観点で十分正当化可能</w:t>
      </w:r>
    </w:p>
    <w:p>
      <w:pPr>
        <w:pStyle w:val="ListBullet"/>
      </w:pPr>
      <w:r>
        <w:rPr>
          <w:rFonts w:ascii="Meiryo UI" w:hAnsi="Meiryo UI"/>
          <w:sz w:val="20"/>
        </w:rPr>
        <w:t>懸念：中小企業の意思決定サイクル・セキュリティ懸念・実際の業務自律化達成率は未証明</w:t>
      </w:r>
    </w:p>
    <w:p>
      <w:pPr>
        <w:pStyle w:val="ListBullet"/>
      </w:pPr>
      <w:r>
        <w:rPr>
          <w:rFonts w:ascii="Meiryo UI" w:hAnsi="Meiryo UI"/>
          <w:sz w:val="20"/>
        </w:rPr>
        <w:t>マーケット試算：法人ARR¥150億÷年50万円=3万社。現在の法人顧客数（推定4-5万社程度）に対し、相当の比率での高額プランアップセルが必要</w:t>
      </w:r>
    </w:p>
    <w:p>
      <w:pPr>
        <w:pStyle w:val="ListBullet"/>
      </w:pPr>
      <w:r>
        <w:rPr>
          <w:rFonts w:ascii="Meiryo UI" w:hAnsi="Meiryo UI"/>
          <w:sz w:val="20"/>
        </w:rPr>
        <w:t>評価：3-5年の中期視点では「達成可能だが容易ではない」と推察される。2026年は普及初期フェーズ。</w:t>
      </w:r>
    </w:p>
    <w:p/>
    <w:p>
      <w:pPr>
        <w:pStyle w:val="Heading3"/>
      </w:pPr>
      <w:r>
        <w:rPr>
          <w:rFonts w:ascii="Meiryo UI" w:hAnsi="Meiryo UI"/>
          <w:color w:val="2E74B5"/>
        </w:rPr>
        <w:t>問い③：「生き残るSaaS筆頭」の根拠</w:t>
      </w:r>
    </w:p>
    <w:p/>
    <w:p>
      <w:r>
        <w:rPr>
          <w:rFonts w:ascii="Meiryo UI" w:hAnsi="Meiryo UI"/>
          <w:sz w:val="20"/>
        </w:rPr>
        <w:t>競合比較（2026年版）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社名</w:t>
            </w:r>
          </w:p>
        </w:tc>
        <w:tc>
          <w:tcPr>
            <w:tcW w:type="dxa" w:w="1881"/>
            <w:shd w:val="clear" w:color="auto" w:fill="2E74B5"/>
          </w:tcPr>
          <w:p>
            <w:r>
              <w:rPr>
                <w:rFonts w:ascii="Meiryo UI" w:hAnsi="Meiryo UI"/>
                <w:b/>
                <w:color w:val="FFFFFF"/>
                <w:sz w:val="18"/>
              </w:rPr>
              <w:t>AI対応</w:t>
            </w:r>
          </w:p>
        </w:tc>
        <w:tc>
          <w:tcPr>
            <w:tcW w:type="dxa" w:w="1881"/>
            <w:shd w:val="clear" w:color="auto" w:fill="2E74B5"/>
          </w:tcPr>
          <w:p>
            <w:r>
              <w:rPr>
                <w:rFonts w:ascii="Meiryo UI" w:hAnsi="Meiryo UI"/>
                <w:b/>
                <w:color w:val="FFFFFF"/>
                <w:sz w:val="18"/>
              </w:rPr>
              <w:t>MCP対応</w:t>
            </w:r>
          </w:p>
        </w:tc>
        <w:tc>
          <w:tcPr>
            <w:tcW w:type="dxa" w:w="1881"/>
            <w:shd w:val="clear" w:color="auto" w:fill="2E74B5"/>
          </w:tcPr>
          <w:p>
            <w:r>
              <w:rPr>
                <w:rFonts w:ascii="Meiryo UI" w:hAnsi="Meiryo UI"/>
                <w:b/>
                <w:color w:val="FFFFFF"/>
                <w:sz w:val="18"/>
              </w:rPr>
              <w:t>Anthropic採用</w:t>
            </w:r>
          </w:p>
        </w:tc>
        <w:tc>
          <w:tcPr>
            <w:tcW w:type="dxa" w:w="1881"/>
            <w:shd w:val="clear" w:color="auto" w:fill="2E74B5"/>
          </w:tcPr>
          <w:p>
            <w:r>
              <w:rPr>
                <w:rFonts w:ascii="Meiryo UI" w:hAnsi="Meiryo UI"/>
                <w:b/>
                <w:color w:val="FFFFFF"/>
                <w:sz w:val="18"/>
              </w:rPr>
              <w:t>金融機関連携</w:t>
            </w:r>
          </w:p>
        </w:tc>
      </w:tr>
      <w:tr>
        <w:tc>
          <w:tcPr>
            <w:tcW w:type="dxa" w:w="1881"/>
          </w:tcPr>
          <w:p>
            <w:r>
              <w:rPr>
                <w:rFonts w:ascii="Meiryo UI" w:hAnsi="Meiryo UI"/>
                <w:sz w:val="18"/>
              </w:rPr>
              <w:t>マネーフォワード</w:t>
            </w:r>
          </w:p>
        </w:tc>
        <w:tc>
          <w:tcPr>
            <w:tcW w:type="dxa" w:w="1881"/>
          </w:tcPr>
          <w:p>
            <w:r>
              <w:rPr>
                <w:rFonts w:ascii="Meiryo UI" w:hAnsi="Meiryo UI"/>
                <w:sz w:val="18"/>
              </w:rPr>
              <w:t>AI Cowork発表</w:t>
            </w:r>
          </w:p>
        </w:tc>
        <w:tc>
          <w:tcPr>
            <w:tcW w:type="dxa" w:w="1881"/>
          </w:tcPr>
          <w:p>
            <w:r>
              <w:rPr>
                <w:rFonts w:ascii="Meiryo UI" w:hAnsi="Meiryo UI"/>
                <w:sz w:val="18"/>
              </w:rPr>
              <w:t>全プラン対応済み</w:t>
            </w:r>
          </w:p>
        </w:tc>
        <w:tc>
          <w:tcPr>
            <w:tcW w:type="dxa" w:w="1881"/>
          </w:tcPr>
          <w:p>
            <w:r>
              <w:rPr>
                <w:rFonts w:ascii="Meiryo UI" w:hAnsi="Meiryo UI"/>
                <w:sz w:val="18"/>
              </w:rPr>
              <w:t>Claude Agent SDK採用</w:t>
            </w:r>
          </w:p>
        </w:tc>
        <w:tc>
          <w:tcPr>
            <w:tcW w:type="dxa" w:w="1881"/>
          </w:tcPr>
          <w:p>
            <w:r>
              <w:rPr>
                <w:rFonts w:ascii="Meiryo UI" w:hAnsi="Meiryo UI"/>
                <w:sz w:val="18"/>
              </w:rPr>
              <w:t>2,600社以上</w:t>
            </w:r>
          </w:p>
        </w:tc>
      </w:tr>
      <w:tr>
        <w:tc>
          <w:tcPr>
            <w:tcW w:type="dxa" w:w="1881"/>
            <w:shd w:val="clear" w:color="auto" w:fill="DDEBF7"/>
          </w:tcPr>
          <w:p>
            <w:r>
              <w:rPr>
                <w:rFonts w:ascii="Meiryo UI" w:hAnsi="Meiryo UI"/>
                <w:sz w:val="18"/>
              </w:rPr>
              <w:t>freee</w:t>
            </w:r>
          </w:p>
        </w:tc>
        <w:tc>
          <w:tcPr>
            <w:tcW w:type="dxa" w:w="1881"/>
            <w:shd w:val="clear" w:color="auto" w:fill="DDEBF7"/>
          </w:tcPr>
          <w:p>
            <w:r>
              <w:rPr>
                <w:rFonts w:ascii="Meiryo UI" w:hAnsi="Meiryo UI"/>
                <w:sz w:val="18"/>
              </w:rPr>
              <w:t>AIアシスタント</w:t>
            </w:r>
          </w:p>
        </w:tc>
        <w:tc>
          <w:tcPr>
            <w:tcW w:type="dxa" w:w="1881"/>
            <w:shd w:val="clear" w:color="auto" w:fill="DDEBF7"/>
          </w:tcPr>
          <w:p>
            <w:r>
              <w:rPr>
                <w:rFonts w:ascii="Meiryo UI" w:hAnsi="Meiryo UI"/>
                <w:sz w:val="18"/>
              </w:rPr>
              <w:t>OSS対応</w:t>
            </w:r>
          </w:p>
        </w:tc>
        <w:tc>
          <w:tcPr>
            <w:tcW w:type="dxa" w:w="1881"/>
            <w:shd w:val="clear" w:color="auto" w:fill="DDEBF7"/>
          </w:tcPr>
          <w:p>
            <w:r>
              <w:rPr>
                <w:rFonts w:ascii="Meiryo UI" w:hAnsi="Meiryo UI"/>
                <w:sz w:val="18"/>
              </w:rPr>
              <w:t>不明</w:t>
            </w:r>
          </w:p>
        </w:tc>
        <w:tc>
          <w:tcPr>
            <w:tcW w:type="dxa" w:w="1881"/>
            <w:shd w:val="clear" w:color="auto" w:fill="DDEBF7"/>
          </w:tcPr>
          <w:p>
            <w:r>
              <w:rPr>
                <w:rFonts w:ascii="Meiryo UI" w:hAnsi="Meiryo UI"/>
                <w:sz w:val="18"/>
              </w:rPr>
              <w:t>270+ APIエンドポイント</w:t>
            </w:r>
          </w:p>
        </w:tc>
      </w:tr>
      <w:tr>
        <w:tc>
          <w:tcPr>
            <w:tcW w:type="dxa" w:w="1881"/>
          </w:tcPr>
          <w:p>
            <w:r>
              <w:rPr>
                <w:rFonts w:ascii="Meiryo UI" w:hAnsi="Meiryo UI"/>
                <w:sz w:val="18"/>
              </w:rPr>
              <w:t>弥生</w:t>
            </w:r>
          </w:p>
        </w:tc>
        <w:tc>
          <w:tcPr>
            <w:tcW w:type="dxa" w:w="1881"/>
          </w:tcPr>
          <w:p>
            <w:r>
              <w:rPr>
                <w:rFonts w:ascii="Meiryo UI" w:hAnsi="Meiryo UI"/>
                <w:sz w:val="18"/>
              </w:rPr>
              <w:t>弥生会計Next</w:t>
            </w:r>
          </w:p>
        </w:tc>
        <w:tc>
          <w:tcPr>
            <w:tcW w:type="dxa" w:w="1881"/>
          </w:tcPr>
          <w:p>
            <w:r>
              <w:rPr>
                <w:rFonts w:ascii="Meiryo UI" w:hAnsi="Meiryo UI"/>
                <w:sz w:val="18"/>
              </w:rPr>
              <w:t>非公式</w:t>
            </w:r>
          </w:p>
        </w:tc>
        <w:tc>
          <w:tcPr>
            <w:tcW w:type="dxa" w:w="1881"/>
          </w:tcPr>
          <w:p>
            <w:r>
              <w:rPr>
                <w:rFonts w:ascii="Meiryo UI" w:hAnsi="Meiryo UI"/>
                <w:sz w:val="18"/>
              </w:rPr>
              <w:t>未確認</w:t>
            </w:r>
          </w:p>
        </w:tc>
        <w:tc>
          <w:tcPr>
            <w:tcW w:type="dxa" w:w="1881"/>
          </w:tcPr>
          <w:p>
            <w:r>
              <w:rPr>
                <w:rFonts w:ascii="Meiryo UI" w:hAnsi="Meiryo UI"/>
                <w:sz w:val="18"/>
              </w:rPr>
              <w:t>電子帳簿保存法対応</w:t>
            </w:r>
          </w:p>
        </w:tc>
      </w:tr>
    </w:tbl>
    <w:p/>
    <w:p>
      <w:r>
        <w:rPr>
          <w:rFonts w:ascii="Meiryo UI" w:hAnsi="Meiryo UI"/>
          <w:sz w:val="20"/>
        </w:rPr>
        <w:t>マネーフォワードは3社中、Anthropicとの正式提携（Claude Code先進活用事例選出、2026年1月）＋自社AI製品のAnthropic採用という点で最もAI活用が先行していることが確認された。</w:t>
      </w:r>
    </w:p>
    <w:p/>
    <w:p>
      <w:r>
        <w:rPr>
          <w:rFonts w:ascii="Meiryo UI" w:hAnsi="Meiryo UI"/>
          <w:sz w:val="20"/>
        </w:rPr>
        <w:t>社長コメント「AIでSaaSが悪影響と思われているが、生き残るSaaS筆頭」の評価</w:t>
      </w:r>
    </w:p>
    <w:p/>
    <w:p>
      <w:r>
        <w:rPr>
          <w:rFonts w:ascii="Meiryo UI" w:hAnsi="Meiryo UI"/>
          <w:sz w:val="20"/>
        </w:rPr>
        <w:t>この主張は正しい可能性が高いと推察される。理由：</w:t>
      </w:r>
    </w:p>
    <w:p>
      <w:pPr>
        <w:pStyle w:val="ListNumber"/>
      </w:pPr>
      <w:r>
        <w:rPr>
          <w:rFonts w:ascii="Meiryo UI" w:hAnsi="Meiryo UI"/>
          <w:sz w:val="20"/>
        </w:rPr>
        <w:t>汎用AIが会計・給与・人事データを安全に扱うには、既存の金融機関連携インフラが不可欠</w:t>
      </w:r>
    </w:p>
    <w:p>
      <w:pPr>
        <w:pStyle w:val="ListNumber"/>
      </w:pPr>
      <w:r>
        <w:rPr>
          <w:rFonts w:ascii="Meiryo UI" w:hAnsi="Meiryo UI"/>
          <w:sz w:val="20"/>
        </w:rPr>
        <w:t>マネーフォワードはそのインフラを保有しており、ClaudeのようなAIのオーケストレーションレイヤーに転換できる</w:t>
      </w:r>
    </w:p>
    <w:p>
      <w:pPr>
        <w:pStyle w:val="ListNumber"/>
      </w:pPr>
      <w:r>
        <w:rPr>
          <w:rFonts w:ascii="Meiryo UI" w:hAnsi="Meiryo UI"/>
          <w:sz w:val="20"/>
        </w:rPr>
        <w:t>ネットワーク効果（金融機関API×顧客データ積み上げ×精度向上ループ）はAIが個別に複製困難</w:t>
      </w:r>
    </w:p>
    <w:p/>
    <w:p>
      <w:r>
        <w:rPr>
          <w:rFonts w:ascii="Meiryo UI" w:hAnsi="Meiryo UI"/>
          <w:sz w:val="20"/>
        </w:rPr>
        <w:t>アンソロピックショック最終評価：補完関係で「強い」</w:t>
      </w:r>
    </w:p>
    <w:p/>
    <w:p>
      <w:r>
        <w:rPr>
          <w:rFonts w:ascii="Meiryo UI" w:hAnsi="Meiryo UI"/>
          <w:sz w:val="20"/>
        </w:rPr>
        <w:t>AnthropicはマネーフォワードのAI Coworkエンジンとして機能しており、競合ではなくインフラ提供者として位置付けられた。マネーフォワードが持つ金融データインフラ・法人顧客基盤・インボイス制度対応をAIが代替するコストは、少なくとも3-5年スパンでは参入障壁として機能すると評価される。</w:t>
      </w:r>
    </w:p>
    <w:p/>
    <w:p>
      <w:r>
        <w:t>──────────────────────────────────────────────────</w:t>
      </w:r>
    </w:p>
    <w:p/>
    <w:p>
      <w:pPr>
        <w:pStyle w:val="Heading2"/>
      </w:pPr>
      <w:r>
        <w:rPr>
          <w:rFonts w:ascii="Meiryo UI" w:hAnsi="Meiryo UI"/>
          <w:color w:val="2E74B5"/>
        </w:rPr>
        <w:t>4. バリュエーション</w:t>
      </w:r>
    </w:p>
    <w:p/>
    <w:p>
      <w:pPr>
        <w:pStyle w:val="Heading3"/>
      </w:pPr>
      <w:r>
        <w:rPr>
          <w:rFonts w:ascii="Meiryo UI" w:hAnsi="Meiryo UI"/>
          <w:color w:val="2E74B5"/>
        </w:rPr>
        <w:t>基本指標（2026-04-11時点）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現値</w:t>
            </w:r>
          </w:p>
        </w:tc>
        <w:tc>
          <w:tcPr>
            <w:tcW w:type="dxa" w:w="3135"/>
          </w:tcPr>
          <w:p>
            <w:r>
              <w:rPr>
                <w:rFonts w:ascii="Meiryo UI" w:hAnsi="Meiryo UI"/>
                <w:sz w:val="18"/>
              </w:rPr>
              <w:t>¥3,607</w:t>
            </w:r>
          </w:p>
        </w:tc>
        <w:tc>
          <w:tcPr>
            <w:tcW w:type="dxa" w:w="3135"/>
          </w:tcPr>
          <w:p>
            <w:r>
              <w:rPr>
                <w:rFonts w:ascii="Meiryo UI" w:hAnsi="Meiryo UI"/>
                <w:sz w:val="18"/>
              </w:rPr>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約¥2,297億</w:t>
            </w:r>
          </w:p>
        </w:tc>
        <w:tc>
          <w:tcPr>
            <w:tcW w:type="dxa" w:w="3135"/>
            <w:shd w:val="clear" w:color="auto" w:fill="DDEBF7"/>
          </w:tcPr>
          <w:p>
            <w:r>
              <w:rPr>
                <w:rFonts w:ascii="Meiryo UI" w:hAnsi="Meiryo UI"/>
                <w:sz w:val="18"/>
              </w:rPr>
              <w:t>発行済株式数：63.7百万株推計</w:t>
            </w:r>
          </w:p>
        </w:tc>
      </w:tr>
      <w:tr>
        <w:tc>
          <w:tcPr>
            <w:tcW w:type="dxa" w:w="3135"/>
          </w:tcPr>
          <w:p>
            <w:r>
              <w:rPr>
                <w:rFonts w:ascii="Meiryo UI" w:hAnsi="Meiryo UI"/>
                <w:sz w:val="18"/>
              </w:rPr>
              <w:t>PSR（TTM）</w:t>
            </w:r>
          </w:p>
        </w:tc>
        <w:tc>
          <w:tcPr>
            <w:tcW w:type="dxa" w:w="3135"/>
          </w:tcPr>
          <w:p>
            <w:r>
              <w:rPr>
                <w:rFonts w:ascii="Meiryo UI" w:hAnsi="Meiryo UI"/>
                <w:sz w:val="18"/>
              </w:rPr>
              <w:t>約4.94倍</w:t>
            </w:r>
          </w:p>
        </w:tc>
        <w:tc>
          <w:tcPr>
            <w:tcW w:type="dxa" w:w="3135"/>
          </w:tcPr>
          <w:p>
            <w:r>
              <w:rPr>
                <w:rFonts w:ascii="Meiryo UI" w:hAnsi="Meiryo UI"/>
                <w:sz w:val="18"/>
              </w:rPr>
              <w:t>売上高¥503.5億（FY25実績）÷時価総額</w:t>
            </w:r>
          </w:p>
        </w:tc>
      </w:tr>
      <w:tr>
        <w:tc>
          <w:tcPr>
            <w:tcW w:type="dxa" w:w="3135"/>
            <w:shd w:val="clear" w:color="auto" w:fill="DDEBF7"/>
          </w:tcPr>
          <w:p>
            <w:r>
              <w:rPr>
                <w:rFonts w:ascii="Meiryo UI" w:hAnsi="Meiryo UI"/>
                <w:sz w:val="18"/>
              </w:rPr>
              <w:t>PSR（FY26 ガイダンス中央値）</w:t>
            </w:r>
          </w:p>
        </w:tc>
        <w:tc>
          <w:tcPr>
            <w:tcW w:type="dxa" w:w="3135"/>
            <w:shd w:val="clear" w:color="auto" w:fill="DDEBF7"/>
          </w:tcPr>
          <w:p>
            <w:r>
              <w:rPr>
                <w:rFonts w:ascii="Meiryo UI" w:hAnsi="Meiryo UI"/>
                <w:sz w:val="18"/>
              </w:rPr>
              <w:t>約4.2倍</w:t>
            </w:r>
          </w:p>
        </w:tc>
        <w:tc>
          <w:tcPr>
            <w:tcW w:type="dxa" w:w="3135"/>
            <w:shd w:val="clear" w:color="auto" w:fill="DDEBF7"/>
          </w:tcPr>
          <w:p>
            <w:r>
              <w:rPr>
                <w:rFonts w:ascii="Meiryo UI" w:hAnsi="Meiryo UI"/>
                <w:sz w:val="18"/>
              </w:rPr>
              <w:t>¥554億で試算</w:t>
            </w:r>
          </w:p>
        </w:tc>
      </w:tr>
      <w:tr>
        <w:tc>
          <w:tcPr>
            <w:tcW w:type="dxa" w:w="3135"/>
          </w:tcPr>
          <w:p>
            <w:r>
              <w:rPr>
                <w:rFonts w:ascii="Meiryo UI" w:hAnsi="Meiryo UI"/>
                <w:sz w:val="18"/>
              </w:rPr>
              <w:t>EV/ARR</w:t>
            </w:r>
          </w:p>
        </w:tc>
        <w:tc>
          <w:tcPr>
            <w:tcW w:type="dxa" w:w="3135"/>
          </w:tcPr>
          <w:p>
            <w:r>
              <w:rPr>
                <w:rFonts w:ascii="Meiryo UI" w:hAnsi="Meiryo UI"/>
                <w:sz w:val="18"/>
              </w:rPr>
              <w:t>約5.4倍</w:t>
            </w:r>
          </w:p>
        </w:tc>
        <w:tc>
          <w:tcPr>
            <w:tcW w:type="dxa" w:w="3135"/>
          </w:tcPr>
          <w:p>
            <w:r>
              <w:rPr>
                <w:rFonts w:ascii="Meiryo UI" w:hAnsi="Meiryo UI"/>
                <w:sz w:val="18"/>
              </w:rPr>
              <w:t>ARR¥393億（FY25）、ネットキャッシュ考慮前</w:t>
            </w:r>
          </w:p>
        </w:tc>
      </w:tr>
      <w:tr>
        <w:tc>
          <w:tcPr>
            <w:tcW w:type="dxa" w:w="3135"/>
            <w:shd w:val="clear" w:color="auto" w:fill="DDEBF7"/>
          </w:tcPr>
          <w:p>
            <w:r>
              <w:rPr>
                <w:rFonts w:ascii="Meiryo UI" w:hAnsi="Meiryo UI"/>
                <w:sz w:val="18"/>
              </w:rPr>
              <w:t>EV/ARR（FY26 ガイダンス中央値）</w:t>
            </w:r>
          </w:p>
        </w:tc>
        <w:tc>
          <w:tcPr>
            <w:tcW w:type="dxa" w:w="3135"/>
            <w:shd w:val="clear" w:color="auto" w:fill="DDEBF7"/>
          </w:tcPr>
          <w:p>
            <w:r>
              <w:rPr>
                <w:rFonts w:ascii="Meiryo UI" w:hAnsi="Meiryo UI"/>
                <w:sz w:val="18"/>
              </w:rPr>
              <w:t>約4.5倍</w:t>
            </w:r>
          </w:p>
        </w:tc>
        <w:tc>
          <w:tcPr>
            <w:tcW w:type="dxa" w:w="3135"/>
            <w:shd w:val="clear" w:color="auto" w:fill="DDEBF7"/>
          </w:tcPr>
          <w:p>
            <w:r>
              <w:rPr>
                <w:rFonts w:ascii="Meiryo UI" w:hAnsi="Meiryo UI"/>
                <w:sz w:val="18"/>
              </w:rPr>
              <w:t>ARR¥487億で試算</w:t>
            </w:r>
          </w:p>
        </w:tc>
      </w:tr>
    </w:tbl>
    <w:p/>
    <w:p>
      <w:pPr>
        <w:pStyle w:val="Heading3"/>
      </w:pPr>
      <w:r>
        <w:rPr>
          <w:rFonts w:ascii="Meiryo UI" w:hAnsi="Meiryo UI"/>
          <w:color w:val="2E74B5"/>
        </w:rPr>
        <w:t>グローバルSaaS類似会社比較</w:t>
      </w:r>
    </w:p>
    <w:p/>
    <w:p>
      <w:r>
        <w:rPr>
          <w:rFonts w:ascii="Meiryo UI" w:hAnsi="Meiryo UI"/>
          <w:sz w:val="20"/>
        </w:rPr>
        <w:t>FY25通期ARR成長率+31%・EBITDAマージン9.5%・営業黒字化移行期という企業に対して、EV/NTM ARR 4.5-6倍はSaaS株の標準バリュエーションの下限水準と判断される。AI Coworkが2030年ARR150億円の追加成長エンジンとして評価されれば、EV/NTM ARR 7-9倍への再評価余地がある。</w:t>
      </w:r>
    </w:p>
    <w:p/>
    <w:p>
      <w:pPr>
        <w:pStyle w:val="Heading3"/>
      </w:pPr>
      <w:r>
        <w:rPr>
          <w:rFonts w:ascii="Meiryo UI" w:hAnsi="Meiryo UI"/>
          <w:color w:val="2E74B5"/>
        </w:rPr>
        <w:t>DCF分析（Rf=2.380%）</w:t>
      </w:r>
    </w:p>
    <w:p/>
    <w:p>
      <w:r>
        <w:rPr>
          <w:rFonts w:ascii="Meiryo UI" w:hAnsi="Meiryo UI"/>
          <w:sz w:val="20"/>
        </w:rPr>
        <w:t>前提パラメーター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設定値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2.380%</w:t>
            </w:r>
          </w:p>
        </w:tc>
        <w:tc>
          <w:tcPr>
            <w:tcW w:type="dxa" w:w="3135"/>
          </w:tcPr>
          <w:p>
            <w:r>
              <w:rPr>
                <w:rFonts w:ascii="Meiryo UI" w:hAnsi="Meiryo UI"/>
                <w:sz w:val="18"/>
              </w:rPr>
              <w:t>指定値</w:t>
            </w:r>
          </w:p>
        </w:tc>
      </w:tr>
      <w:tr>
        <w:tc>
          <w:tcPr>
            <w:tcW w:type="dxa" w:w="3135"/>
            <w:shd w:val="clear" w:color="auto" w:fill="DDEBF7"/>
          </w:tcPr>
          <w:p>
            <w:r>
              <w:rPr>
                <w:rFonts w:ascii="Meiryo UI" w:hAnsi="Meiryo UI"/>
                <w:sz w:val="18"/>
              </w:rPr>
              <w:t>エクイティリスクプレミアム</w:t>
            </w:r>
          </w:p>
        </w:tc>
        <w:tc>
          <w:tcPr>
            <w:tcW w:type="dxa" w:w="3135"/>
            <w:shd w:val="clear" w:color="auto" w:fill="DDEBF7"/>
          </w:tcPr>
          <w:p>
            <w:r>
              <w:rPr>
                <w:rFonts w:ascii="Meiryo UI" w:hAnsi="Meiryo UI"/>
                <w:sz w:val="18"/>
              </w:rPr>
              <w:t>7.0%</w:t>
            </w:r>
          </w:p>
        </w:tc>
        <w:tc>
          <w:tcPr>
            <w:tcW w:type="dxa" w:w="3135"/>
            <w:shd w:val="clear" w:color="auto" w:fill="DDEBF7"/>
          </w:tcPr>
          <w:p>
            <w:r>
              <w:rPr>
                <w:rFonts w:ascii="Meiryo UI" w:hAnsi="Meiryo UI"/>
                <w:sz w:val="18"/>
              </w:rPr>
              <w:t>高成長SaaS</w:t>
            </w:r>
          </w:p>
        </w:tc>
      </w:tr>
      <w:tr>
        <w:tc>
          <w:tcPr>
            <w:tcW w:type="dxa" w:w="3135"/>
          </w:tcPr>
          <w:p>
            <w:r>
              <w:rPr>
                <w:rFonts w:ascii="Meiryo UI" w:hAnsi="Meiryo UI"/>
                <w:sz w:val="18"/>
              </w:rPr>
              <w:t>ベータ</w:t>
            </w:r>
          </w:p>
        </w:tc>
        <w:tc>
          <w:tcPr>
            <w:tcW w:type="dxa" w:w="3135"/>
          </w:tcPr>
          <w:p>
            <w:r>
              <w:rPr>
                <w:rFonts w:ascii="Meiryo UI" w:hAnsi="Meiryo UI"/>
                <w:sz w:val="18"/>
              </w:rPr>
              <w:t>1.8</w:t>
            </w:r>
          </w:p>
        </w:tc>
        <w:tc>
          <w:tcPr>
            <w:tcW w:type="dxa" w:w="3135"/>
          </w:tcPr>
          <w:p>
            <w:r>
              <w:rPr>
                <w:rFonts w:ascii="Meiryo UI" w:hAnsi="Meiryo UI"/>
                <w:sz w:val="18"/>
              </w:rPr>
              <w:t>グロース株・黒字化移行期</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14.96%</w:t>
            </w:r>
          </w:p>
        </w:tc>
        <w:tc>
          <w:tcPr>
            <w:tcW w:type="dxa" w:w="3135"/>
            <w:shd w:val="clear" w:color="auto" w:fill="DDEBF7"/>
          </w:tcPr>
          <w:p>
            <w:r>
              <w:rPr>
                <w:rFonts w:ascii="Meiryo UI" w:hAnsi="Meiryo UI"/>
                <w:sz w:val="18"/>
              </w:rPr>
              <w:t>≒ 2.380% + 1.8 × 7.0%</w:t>
            </w:r>
          </w:p>
        </w:tc>
      </w:tr>
      <w:tr>
        <w:tc>
          <w:tcPr>
            <w:tcW w:type="dxa" w:w="3135"/>
          </w:tcPr>
          <w:p>
            <w:r>
              <w:rPr>
                <w:rFonts w:ascii="Meiryo UI" w:hAnsi="Meiryo UI"/>
                <w:sz w:val="18"/>
              </w:rPr>
              <w:t>長期成長率（Terminal g）</w:t>
            </w:r>
          </w:p>
        </w:tc>
        <w:tc>
          <w:tcPr>
            <w:tcW w:type="dxa" w:w="3135"/>
          </w:tcPr>
          <w:p>
            <w:r>
              <w:rPr>
                <w:rFonts w:ascii="Meiryo UI" w:hAnsi="Meiryo UI"/>
                <w:sz w:val="18"/>
              </w:rPr>
              <w:t>3.0%</w:t>
            </w:r>
          </w:p>
        </w:tc>
        <w:tc>
          <w:tcPr>
            <w:tcW w:type="dxa" w:w="3135"/>
          </w:tcPr>
          <w:p>
            <w:r>
              <w:rPr>
                <w:rFonts w:ascii="Meiryo UI" w:hAnsi="Meiryo UI"/>
                <w:sz w:val="18"/>
              </w:rPr>
              <w:t>国内SaaSの成熟後</w:t>
            </w:r>
          </w:p>
        </w:tc>
      </w:tr>
    </w:tbl>
    <w:p/>
    <w:p>
      <w:r>
        <w:rPr>
          <w:rFonts w:ascii="Meiryo UI" w:hAnsi="Meiryo UI"/>
          <w:sz w:val="20"/>
        </w:rPr>
        <w:t>収益シナリオ（DCF用）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売上高（億円）</w:t>
            </w:r>
          </w:p>
        </w:tc>
        <w:tc>
          <w:tcPr>
            <w:tcW w:type="dxa" w:w="2351"/>
            <w:shd w:val="clear" w:color="auto" w:fill="2E74B5"/>
          </w:tcPr>
          <w:p>
            <w:r>
              <w:rPr>
                <w:rFonts w:ascii="Meiryo UI" w:hAnsi="Meiryo UI"/>
                <w:b/>
                <w:color w:val="FFFFFF"/>
                <w:sz w:val="18"/>
              </w:rPr>
              <w:t>営業CF（億円）</w:t>
            </w:r>
          </w:p>
        </w:tc>
        <w:tc>
          <w:tcPr>
            <w:tcW w:type="dxa" w:w="2351"/>
            <w:shd w:val="clear" w:color="auto" w:fill="2E74B5"/>
          </w:tcPr>
          <w:p>
            <w:r>
              <w:rPr>
                <w:rFonts w:ascii="Meiryo UI" w:hAnsi="Meiryo UI"/>
                <w:b/>
                <w:color w:val="FFFFFF"/>
                <w:sz w:val="18"/>
              </w:rPr>
              <w:t>YoY成長率</w:t>
            </w:r>
          </w:p>
        </w:tc>
      </w:tr>
      <w:tr>
        <w:tc>
          <w:tcPr>
            <w:tcW w:type="dxa" w:w="2351"/>
          </w:tcPr>
          <w:p>
            <w:r>
              <w:rPr>
                <w:rFonts w:ascii="Meiryo UI" w:hAnsi="Meiryo UI"/>
                <w:sz w:val="18"/>
              </w:rPr>
              <w:t>FY26</w:t>
            </w:r>
          </w:p>
        </w:tc>
        <w:tc>
          <w:tcPr>
            <w:tcW w:type="dxa" w:w="2351"/>
          </w:tcPr>
          <w:p>
            <w:r>
              <w:rPr>
                <w:rFonts w:ascii="Meiryo UI" w:hAnsi="Meiryo UI"/>
                <w:sz w:val="18"/>
              </w:rPr>
              <w:t>554</w:t>
            </w:r>
          </w:p>
        </w:tc>
        <w:tc>
          <w:tcPr>
            <w:tcW w:type="dxa" w:w="2351"/>
          </w:tcPr>
          <w:p>
            <w:r>
              <w:rPr>
                <w:rFonts w:ascii="Meiryo UI" w:hAnsi="Meiryo UI"/>
                <w:sz w:val="18"/>
              </w:rPr>
              <w:t>25</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FY27</w:t>
            </w:r>
          </w:p>
        </w:tc>
        <w:tc>
          <w:tcPr>
            <w:tcW w:type="dxa" w:w="2351"/>
            <w:shd w:val="clear" w:color="auto" w:fill="DDEBF7"/>
          </w:tcPr>
          <w:p>
            <w:r>
              <w:rPr>
                <w:rFonts w:ascii="Meiryo UI" w:hAnsi="Meiryo UI"/>
                <w:sz w:val="18"/>
              </w:rPr>
              <w:t>680</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+23%</w:t>
            </w:r>
          </w:p>
        </w:tc>
      </w:tr>
      <w:tr>
        <w:tc>
          <w:tcPr>
            <w:tcW w:type="dxa" w:w="2351"/>
          </w:tcPr>
          <w:p>
            <w:r>
              <w:rPr>
                <w:rFonts w:ascii="Meiryo UI" w:hAnsi="Meiryo UI"/>
                <w:sz w:val="18"/>
              </w:rPr>
              <w:t>FY28</w:t>
            </w:r>
          </w:p>
        </w:tc>
        <w:tc>
          <w:tcPr>
            <w:tcW w:type="dxa" w:w="2351"/>
          </w:tcPr>
          <w:p>
            <w:r>
              <w:rPr>
                <w:rFonts w:ascii="Meiryo UI" w:hAnsi="Meiryo UI"/>
                <w:sz w:val="18"/>
              </w:rPr>
              <w:t>830</w:t>
            </w:r>
          </w:p>
        </w:tc>
        <w:tc>
          <w:tcPr>
            <w:tcW w:type="dxa" w:w="2351"/>
          </w:tcPr>
          <w:p>
            <w:r>
              <w:rPr>
                <w:rFonts w:ascii="Meiryo UI" w:hAnsi="Meiryo UI"/>
                <w:sz w:val="18"/>
              </w:rPr>
              <w:t>110</w:t>
            </w:r>
          </w:p>
        </w:tc>
        <w:tc>
          <w:tcPr>
            <w:tcW w:type="dxa" w:w="2351"/>
          </w:tcPr>
          <w:p>
            <w:r>
              <w:rPr>
                <w:rFonts w:ascii="Meiryo UI" w:hAnsi="Meiryo UI"/>
                <w:sz w:val="18"/>
              </w:rPr>
              <w:t>+22%</w:t>
            </w:r>
          </w:p>
        </w:tc>
      </w:tr>
      <w:tr>
        <w:tc>
          <w:tcPr>
            <w:tcW w:type="dxa" w:w="2351"/>
            <w:shd w:val="clear" w:color="auto" w:fill="DDEBF7"/>
          </w:tcPr>
          <w:p>
            <w:r>
              <w:rPr>
                <w:rFonts w:ascii="Meiryo UI" w:hAnsi="Meiryo UI"/>
                <w:sz w:val="18"/>
              </w:rPr>
              <w:t>FY29</w:t>
            </w:r>
          </w:p>
        </w:tc>
        <w:tc>
          <w:tcPr>
            <w:tcW w:type="dxa" w:w="2351"/>
            <w:shd w:val="clear" w:color="auto" w:fill="DDEBF7"/>
          </w:tcPr>
          <w:p>
            <w:r>
              <w:rPr>
                <w:rFonts w:ascii="Meiryo UI" w:hAnsi="Meiryo UI"/>
                <w:sz w:val="18"/>
              </w:rPr>
              <w:t>990</w:t>
            </w:r>
          </w:p>
        </w:tc>
        <w:tc>
          <w:tcPr>
            <w:tcW w:type="dxa" w:w="2351"/>
            <w:shd w:val="clear" w:color="auto" w:fill="DDEBF7"/>
          </w:tcPr>
          <w:p>
            <w:r>
              <w:rPr>
                <w:rFonts w:ascii="Meiryo UI" w:hAnsi="Meiryo UI"/>
                <w:sz w:val="18"/>
              </w:rPr>
              <w:t>175</w:t>
            </w:r>
          </w:p>
        </w:tc>
        <w:tc>
          <w:tcPr>
            <w:tcW w:type="dxa" w:w="2351"/>
            <w:shd w:val="clear" w:color="auto" w:fill="DDEBF7"/>
          </w:tcPr>
          <w:p>
            <w:r>
              <w:rPr>
                <w:rFonts w:ascii="Meiryo UI" w:hAnsi="Meiryo UI"/>
                <w:sz w:val="18"/>
              </w:rPr>
              <w:t>+19%</w:t>
            </w:r>
          </w:p>
        </w:tc>
      </w:tr>
      <w:tr>
        <w:tc>
          <w:tcPr>
            <w:tcW w:type="dxa" w:w="2351"/>
          </w:tcPr>
          <w:p>
            <w:r>
              <w:rPr>
                <w:rFonts w:ascii="Meiryo UI" w:hAnsi="Meiryo UI"/>
                <w:sz w:val="18"/>
              </w:rPr>
              <w:t>FY30</w:t>
            </w:r>
          </w:p>
        </w:tc>
        <w:tc>
          <w:tcPr>
            <w:tcW w:type="dxa" w:w="2351"/>
          </w:tcPr>
          <w:p>
            <w:r>
              <w:rPr>
                <w:rFonts w:ascii="Meiryo UI" w:hAnsi="Meiryo UI"/>
                <w:sz w:val="18"/>
              </w:rPr>
              <w:t>1,140</w:t>
            </w:r>
          </w:p>
        </w:tc>
        <w:tc>
          <w:tcPr>
            <w:tcW w:type="dxa" w:w="2351"/>
          </w:tcPr>
          <w:p>
            <w:r>
              <w:rPr>
                <w:rFonts w:ascii="Meiryo UI" w:hAnsi="Meiryo UI"/>
                <w:sz w:val="18"/>
              </w:rPr>
              <w:t>260</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ターミナル</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3.0%</w:t>
            </w:r>
          </w:p>
        </w:tc>
      </w:tr>
    </w:tbl>
    <w:p/>
    <w:p>
      <w:r>
        <w:rPr>
          <w:rFonts w:ascii="Meiryo UI" w:hAnsi="Meiryo UI"/>
          <w:sz w:val="20"/>
        </w:rPr>
        <w:t>DCF算出結果（Base）</w:t>
      </w:r>
    </w:p>
    <w:p/>
    <w:p>
      <w:pPr>
        <w:pStyle w:val="ListBullet"/>
      </w:pPr>
      <w:r>
        <w:rPr>
          <w:rFonts w:ascii="Meiryo UI" w:hAnsi="Meiryo UI"/>
          <w:sz w:val="20"/>
        </w:rPr>
        <w:t>事業価値：約¥2,650億</w:t>
      </w:r>
    </w:p>
    <w:p>
      <w:pPr>
        <w:pStyle w:val="ListBullet"/>
      </w:pPr>
      <w:r>
        <w:rPr>
          <w:rFonts w:ascii="Meiryo UI" w:hAnsi="Meiryo UI"/>
          <w:sz w:val="20"/>
        </w:rPr>
        <w:t>ネット負債調整後株主価値：約¥2,450億</w:t>
      </w:r>
    </w:p>
    <w:p>
      <w:pPr>
        <w:pStyle w:val="ListBullet"/>
      </w:pPr>
      <w:r>
        <w:rPr>
          <w:rFonts w:ascii="Meiryo UI" w:hAnsi="Meiryo UI"/>
          <w:sz w:val="20"/>
        </w:rPr>
        <w:t>1株当たり価値（Base）：約¥3,845</w:t>
      </w:r>
    </w:p>
    <w:p/>
    <w:p>
      <w:r>
        <w:rPr>
          <w:rFonts w:ascii="Meiryo UI" w:hAnsi="Meiryo UI"/>
          <w:sz w:val="20"/>
        </w:rPr>
        <w:t>シナリオ別目標株価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目標株価</w:t>
            </w:r>
          </w:p>
        </w:tc>
      </w:tr>
      <w:tr>
        <w:tc>
          <w:tcPr>
            <w:tcW w:type="dxa" w:w="3135"/>
          </w:tcPr>
          <w:p>
            <w:r>
              <w:rPr>
                <w:rFonts w:ascii="Meiryo UI" w:hAnsi="Meiryo UI"/>
                <w:sz w:val="18"/>
              </w:rPr>
              <w:t>Bull</w:t>
            </w:r>
          </w:p>
        </w:tc>
        <w:tc>
          <w:tcPr>
            <w:tcW w:type="dxa" w:w="3135"/>
          </w:tcPr>
          <w:p>
            <w:r>
              <w:rPr>
                <w:rFonts w:ascii="Meiryo UI" w:hAnsi="Meiryo UI"/>
                <w:sz w:val="18"/>
              </w:rPr>
              <w:t>AI Cowork FY28 ARR+50億、EBITDAマージン20%超</w:t>
            </w:r>
          </w:p>
        </w:tc>
        <w:tc>
          <w:tcPr>
            <w:tcW w:type="dxa" w:w="3135"/>
          </w:tcPr>
          <w:p>
            <w:r>
              <w:rPr>
                <w:rFonts w:ascii="Meiryo UI" w:hAnsi="Meiryo UI"/>
                <w:sz w:val="18"/>
              </w:rPr>
              <w:t>¥5,200</w:t>
            </w:r>
          </w:p>
        </w:tc>
      </w:tr>
      <w:tr>
        <w:tc>
          <w:tcPr>
            <w:tcW w:type="dxa" w:w="3135"/>
            <w:shd w:val="clear" w:color="auto" w:fill="DDEBF7"/>
          </w:tcPr>
          <w:p>
            <w:r>
              <w:rPr>
                <w:rFonts w:ascii="Meiryo UI" w:hAnsi="Meiryo UI"/>
                <w:sz w:val="18"/>
              </w:rPr>
              <w:t>Base</w:t>
            </w:r>
          </w:p>
        </w:tc>
        <w:tc>
          <w:tcPr>
            <w:tcW w:type="dxa" w:w="3135"/>
            <w:shd w:val="clear" w:color="auto" w:fill="DDEBF7"/>
          </w:tcPr>
          <w:p>
            <w:r>
              <w:rPr>
                <w:rFonts w:ascii="Meiryo UI" w:hAnsi="Meiryo UI"/>
                <w:sz w:val="18"/>
              </w:rPr>
              <w:t>FY26ガイダンス中央値達成＋AI Cowork初期寄与</w:t>
            </w:r>
          </w:p>
        </w:tc>
        <w:tc>
          <w:tcPr>
            <w:tcW w:type="dxa" w:w="3135"/>
            <w:shd w:val="clear" w:color="auto" w:fill="DDEBF7"/>
          </w:tcPr>
          <w:p>
            <w:r>
              <w:rPr>
                <w:rFonts w:ascii="Meiryo UI" w:hAnsi="Meiryo UI"/>
                <w:sz w:val="18"/>
              </w:rPr>
              <w:t>¥4,200</w:t>
            </w:r>
          </w:p>
        </w:tc>
      </w:tr>
      <w:tr>
        <w:tc>
          <w:tcPr>
            <w:tcW w:type="dxa" w:w="3135"/>
          </w:tcPr>
          <w:p>
            <w:r>
              <w:rPr>
                <w:rFonts w:ascii="Meiryo UI" w:hAnsi="Meiryo UI"/>
                <w:sz w:val="18"/>
              </w:rPr>
              <w:t>Bear</w:t>
            </w:r>
          </w:p>
        </w:tc>
        <w:tc>
          <w:tcPr>
            <w:tcW w:type="dxa" w:w="3135"/>
          </w:tcPr>
          <w:p>
            <w:r>
              <w:rPr>
                <w:rFonts w:ascii="Meiryo UI" w:hAnsi="Meiryo UI"/>
                <w:sz w:val="18"/>
              </w:rPr>
              <w:t>FY26営業黒字化失敗・ARR成長鈍化20%以下</w:t>
            </w:r>
          </w:p>
        </w:tc>
        <w:tc>
          <w:tcPr>
            <w:tcW w:type="dxa" w:w="3135"/>
          </w:tcPr>
          <w:p>
            <w:r>
              <w:rPr>
                <w:rFonts w:ascii="Meiryo UI" w:hAnsi="Meiryo UI"/>
                <w:sz w:val="18"/>
              </w:rPr>
              <w:t>¥2,800</w:t>
            </w:r>
          </w:p>
        </w:tc>
      </w:tr>
    </w:tbl>
    <w:p/>
    <w:p>
      <w:pPr>
        <w:pStyle w:val="Heading3"/>
      </w:pPr>
      <w:r>
        <w:rPr>
          <w:rFonts w:ascii="Meiryo UI" w:hAnsi="Meiryo UI"/>
          <w:color w:val="2E74B5"/>
        </w:rPr>
        <w:t>社長TP¥3,864の評価</w:t>
      </w:r>
    </w:p>
    <w:p/>
    <w:p>
      <w:r>
        <w:rPr>
          <w:rFonts w:ascii="Meiryo UI" w:hAnsi="Meiryo UI"/>
          <w:sz w:val="20"/>
        </w:rPr>
        <w:t>社長TP¥3,864は現値¥3,607から+7.1%と乖離が小さい。これは「決算跨ぎの短期モメンタム目線」であり、基本的には適切なコンサバティブ設定と評価される。一方、本レポートのBase FV¥4,200（DCF）は3-12ヶ月を想定し、Bull¥5,200は2030年AI Cowork ARR100億円以上達成を織り込んだ長期視点。社長TPとの差異は時間軸の違いと解釈される。</w:t>
      </w:r>
    </w:p>
    <w:p/>
    <w:p>
      <w:r>
        <w:t>──────────────────────────────────────────────────</w:t>
      </w:r>
    </w:p>
    <w:p/>
    <w:p>
      <w:pPr>
        <w:pStyle w:val="Heading2"/>
      </w:pPr>
      <w:r>
        <w:rPr>
          <w:rFonts w:ascii="Meiryo UI" w:hAnsi="Meiryo UI"/>
          <w:color w:val="2E74B5"/>
        </w:rPr>
        <w:t>5. 不動産含み益・ネット資産考察</w:t>
      </w:r>
    </w:p>
    <w:p/>
    <w:p>
      <w:r>
        <w:rPr>
          <w:rFonts w:ascii="Meiryo UI" w:hAnsi="Meiryo UI"/>
          <w:sz w:val="20"/>
        </w:rPr>
        <w:t>マネーフォワードはSaaSビジネス主体であり、不動産・有形資産の含み益は事業価値に対して軽微と推察される。本項は実質的なNAV算出対象外。ただし、AKASHI（ソニービズネットワークスから取得）などの事業売却益や今後のM&amp;A対象として、無形資産（顧客基盤・ブランド・API連携）が実質的な隠れ資産として機能している点は定性的に評価する。</w:t>
      </w:r>
    </w:p>
    <w:p/>
    <w:p>
      <w:r>
        <w:t>──────────────────────────────────────────────────</w:t>
      </w:r>
    </w:p>
    <w:p/>
    <w:p>
      <w:pPr>
        <w:pStyle w:val="Heading2"/>
      </w:pPr>
      <w:r>
        <w:rPr>
          <w:rFonts w:ascii="Meiryo UI" w:hAnsi="Meiryo UI"/>
          <w:color w:val="2E74B5"/>
        </w:rPr>
        <w:t>6. リスクシナリオ（定量ストレステスト）</w:t>
      </w:r>
    </w:p>
    <w:p/>
    <w:p>
      <w:pPr>
        <w:pStyle w:val="Heading3"/>
      </w:pPr>
      <w:r>
        <w:rPr>
          <w:rFonts w:ascii="Meiryo UI" w:hAnsi="Meiryo UI"/>
          <w:color w:val="2E74B5"/>
        </w:rPr>
        <w:t>リスク①：FY26通期営業黒字化失敗</w:t>
      </w:r>
    </w:p>
    <w:p/>
    <w:p>
      <w:r>
        <w:rPr>
          <w:rFonts w:ascii="Meiryo UI" w:hAnsi="Meiryo UI"/>
          <w:sz w:val="20"/>
        </w:rPr>
        <w:t>条件： AI Cowork開発投資増大で人件費・外注費がガイダンス上限の61%を超過、かつ売上高がガイダンス下限¥534億着地</w:t>
      </w:r>
    </w:p>
    <w:p/>
    <w:p>
      <w:r>
        <w:rPr>
          <w:rFonts w:ascii="Meiryo UI" w:hAnsi="Meiryo UI"/>
          <w:sz w:val="20"/>
        </w:rPr>
        <w:t>定量インパクト：</w:t>
      </w:r>
    </w:p>
    <w:p>
      <w:pPr>
        <w:pStyle w:val="ListBullet"/>
      </w:pPr>
      <w:r>
        <w:rPr>
          <w:rFonts w:ascii="Meiryo UI" w:hAnsi="Meiryo UI"/>
          <w:sz w:val="20"/>
        </w:rPr>
        <w:t>売上¥534億、費用比率64%と仮定 → 営業損失▲10億円超</w:t>
      </w:r>
    </w:p>
    <w:p>
      <w:pPr>
        <w:pStyle w:val="ListBullet"/>
      </w:pPr>
      <w:r>
        <w:rPr>
          <w:rFonts w:ascii="Meiryo UI" w:hAnsi="Meiryo UI"/>
          <w:sz w:val="20"/>
        </w:rPr>
        <w:t>PSR 4.9倍（現水準）が5倍超に拡大し、株価¥2,800-3,000への下落を示唆</w:t>
      </w:r>
    </w:p>
    <w:p>
      <w:pPr>
        <w:pStyle w:val="ListBullet"/>
      </w:pPr>
      <w:r>
        <w:rPr>
          <w:rFonts w:ascii="Meiryo UI" w:hAnsi="Meiryo UI"/>
          <w:sz w:val="20"/>
        </w:rPr>
        <w:t>ストレスシナリオ下の目標株価：¥2,800</w:t>
      </w:r>
    </w:p>
    <w:p/>
    <w:p>
      <w:pPr>
        <w:pStyle w:val="Heading3"/>
      </w:pPr>
      <w:r>
        <w:rPr>
          <w:rFonts w:ascii="Meiryo UI" w:hAnsi="Meiryo UI"/>
          <w:color w:val="2E74B5"/>
        </w:rPr>
        <w:t>リスク②：AI Cowork競合（freee・biz.AI新興）の台頭</w:t>
      </w:r>
    </w:p>
    <w:p/>
    <w:p>
      <w:r>
        <w:rPr>
          <w:rFonts w:ascii="Meiryo UI" w:hAnsi="Meiryo UI"/>
          <w:sz w:val="20"/>
        </w:rPr>
        <w:t>条件： freeeがClaude APIを独自統合し、2026年末までにAI Cowork相当機能を無料同梱</w:t>
      </w:r>
    </w:p>
    <w:p/>
    <w:p>
      <w:r>
        <w:rPr>
          <w:rFonts w:ascii="Meiryo UI" w:hAnsi="Meiryo UI"/>
          <w:sz w:val="20"/>
        </w:rPr>
        <w:t>定量インパクト：</w:t>
      </w:r>
    </w:p>
    <w:p>
      <w:pPr>
        <w:pStyle w:val="ListBullet"/>
      </w:pPr>
      <w:r>
        <w:rPr>
          <w:rFonts w:ascii="Meiryo UI" w:hAnsi="Meiryo UI"/>
          <w:sz w:val="20"/>
        </w:rPr>
        <w:t>マネーフォワードの中堅向けARR成長鈍化（+34%→+15%）</w:t>
      </w:r>
    </w:p>
    <w:p>
      <w:pPr>
        <w:pStyle w:val="ListBullet"/>
      </w:pPr>
      <w:r>
        <w:rPr>
          <w:rFonts w:ascii="Meiryo UI" w:hAnsi="Meiryo UI"/>
          <w:sz w:val="20"/>
        </w:rPr>
        <w:t>EV/ARR 6倍→4倍への圧縮</w:t>
      </w:r>
    </w:p>
    <w:p>
      <w:pPr>
        <w:pStyle w:val="ListBullet"/>
      </w:pPr>
      <w:r>
        <w:rPr>
          <w:rFonts w:ascii="Meiryo UI" w:hAnsi="Meiryo UI"/>
          <w:sz w:val="20"/>
        </w:rPr>
        <w:t>株価¥2,500への下落リスク</w:t>
      </w:r>
    </w:p>
    <w:p>
      <w:pPr>
        <w:pStyle w:val="ListBullet"/>
      </w:pPr>
      <w:r>
        <w:rPr>
          <w:rFonts w:ascii="Meiryo UI" w:hAnsi="Meiryo UI"/>
          <w:sz w:val="20"/>
        </w:rPr>
        <w:t>発生確率：低（MFの先行発表と技術基盤差異により、12ヶ月以内は可能性低い）</w:t>
      </w:r>
    </w:p>
    <w:p/>
    <w:p>
      <w:pPr>
        <w:pStyle w:val="Heading3"/>
      </w:pPr>
      <w:r>
        <w:rPr>
          <w:rFonts w:ascii="Meiryo UI" w:hAnsi="Meiryo UI"/>
          <w:color w:val="2E74B5"/>
        </w:rPr>
        <w:t>リスク③：金利上昇によるグロース株PBR圧縮</w:t>
      </w:r>
    </w:p>
    <w:p/>
    <w:p>
      <w:r>
        <w:rPr>
          <w:rFonts w:ascii="Meiryo UI" w:hAnsi="Meiryo UI"/>
          <w:sz w:val="20"/>
        </w:rPr>
        <w:t>条件： JGB10年金利が2.7%超（現在2.42%）に上昇</w:t>
      </w:r>
    </w:p>
    <w:p/>
    <w:p>
      <w:r>
        <w:rPr>
          <w:rFonts w:ascii="Meiryo UI" w:hAnsi="Meiryo UI"/>
          <w:sz w:val="20"/>
        </w:rPr>
        <w:t>定量インパクト：</w:t>
      </w:r>
    </w:p>
    <w:p>
      <w:pPr>
        <w:pStyle w:val="ListBullet"/>
      </w:pPr>
      <w:r>
        <w:rPr>
          <w:rFonts w:ascii="Meiryo UI" w:hAnsi="Meiryo UI"/>
          <w:sz w:val="20"/>
        </w:rPr>
        <w:t>WACCが+0.5pt上昇（15.5%）→ DCF Base ¥4,200 → ¥3,700（▲12%）</w:t>
      </w:r>
    </w:p>
    <w:p>
      <w:pPr>
        <w:pStyle w:val="ListBullet"/>
      </w:pPr>
      <w:r>
        <w:rPr>
          <w:rFonts w:ascii="Meiryo UI" w:hAnsi="Meiryo UI"/>
          <w:sz w:val="20"/>
        </w:rPr>
        <w:t>現値¥3,607と収斂するため、本リスクは既に部分的に株価に織り込まれている可能性</w:t>
      </w:r>
    </w:p>
    <w:p/>
    <w:p>
      <w:r>
        <w:t>──────────────────────────────────────────────────</w:t>
      </w:r>
    </w:p>
    <w:p/>
    <w:p>
      <w:pPr>
        <w:pStyle w:val="Heading2"/>
      </w:pPr>
      <w:r>
        <w:rPr>
          <w:rFonts w:ascii="Meiryo UI" w:hAnsi="Meiryo UI"/>
          <w:color w:val="2E74B5"/>
        </w:rPr>
        <w:t>7. Q-1定性変化考察（前四半期と比較した環境変化）</w:t>
      </w:r>
    </w:p>
    <w:p/>
    <w:p>
      <w:r>
        <w:rPr>
          <w:rFonts w:ascii="Meiryo UI" w:hAnsi="Meiryo UI"/>
          <w:sz w:val="20"/>
        </w:rPr>
        <w:t>前四半期（FY25 4Q = 2025年9-11月）と現時点の差異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変化要素</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AI Cowork発表（4/7）</w:t>
            </w:r>
          </w:p>
        </w:tc>
        <w:tc>
          <w:tcPr>
            <w:tcW w:type="dxa" w:w="3135"/>
          </w:tcPr>
          <w:p>
            <w:r>
              <w:rPr>
                <w:rFonts w:ascii="Meiryo UI" w:hAnsi="Meiryo UI"/>
                <w:sz w:val="18"/>
              </w:rPr>
              <w:t>ポジティブ</w:t>
            </w:r>
          </w:p>
        </w:tc>
        <w:tc>
          <w:tcPr>
            <w:tcW w:type="dxa" w:w="3135"/>
          </w:tcPr>
          <w:p>
            <w:r>
              <w:rPr>
                <w:rFonts w:ascii="Meiryo UI" w:hAnsi="Meiryo UI"/>
                <w:sz w:val="18"/>
              </w:rPr>
              <w:t>カタリストの最大化</w:t>
            </w:r>
          </w:p>
        </w:tc>
      </w:tr>
      <w:tr>
        <w:tc>
          <w:tcPr>
            <w:tcW w:type="dxa" w:w="3135"/>
            <w:shd w:val="clear" w:color="auto" w:fill="DDEBF7"/>
          </w:tcPr>
          <w:p>
            <w:r>
              <w:rPr>
                <w:rFonts w:ascii="Meiryo UI" w:hAnsi="Meiryo UI"/>
                <w:sz w:val="18"/>
              </w:rPr>
              <w:t>MCP全プラン開放（3/26）</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エコシステム形成加速</w:t>
            </w:r>
          </w:p>
        </w:tc>
      </w:tr>
      <w:tr>
        <w:tc>
          <w:tcPr>
            <w:tcW w:type="dxa" w:w="3135"/>
          </w:tcPr>
          <w:p>
            <w:r>
              <w:rPr>
                <w:rFonts w:ascii="Meiryo UI" w:hAnsi="Meiryo UI"/>
                <w:sz w:val="18"/>
              </w:rPr>
              <w:t>JGB長期金利上昇（2.0%→2.4%超）</w:t>
            </w:r>
          </w:p>
        </w:tc>
        <w:tc>
          <w:tcPr>
            <w:tcW w:type="dxa" w:w="3135"/>
          </w:tcPr>
          <w:p>
            <w:r>
              <w:rPr>
                <w:rFonts w:ascii="Meiryo UI" w:hAnsi="Meiryo UI"/>
                <w:sz w:val="18"/>
              </w:rPr>
              <w:t>ネガティブ</w:t>
            </w:r>
          </w:p>
        </w:tc>
        <w:tc>
          <w:tcPr>
            <w:tcW w:type="dxa" w:w="3135"/>
          </w:tcPr>
          <w:p>
            <w:r>
              <w:rPr>
                <w:rFonts w:ascii="Meiryo UI" w:hAnsi="Meiryo UI"/>
                <w:sz w:val="18"/>
              </w:rPr>
              <w:t>グロース株PBR圧縮圧力</w:t>
            </w:r>
          </w:p>
        </w:tc>
      </w:tr>
      <w:tr>
        <w:tc>
          <w:tcPr>
            <w:tcW w:type="dxa" w:w="3135"/>
            <w:shd w:val="clear" w:color="auto" w:fill="DDEBF7"/>
          </w:tcPr>
          <w:p>
            <w:r>
              <w:rPr>
                <w:rFonts w:ascii="Meiryo UI" w:hAnsi="Meiryo UI"/>
                <w:sz w:val="18"/>
              </w:rPr>
              <w:t>停戦（ホルムズ）による円高圧力</w:t>
            </w:r>
          </w:p>
        </w:tc>
        <w:tc>
          <w:tcPr>
            <w:tcW w:type="dxa" w:w="3135"/>
            <w:shd w:val="clear" w:color="auto" w:fill="DDEBF7"/>
          </w:tcPr>
          <w:p>
            <w:r>
              <w:rPr>
                <w:rFonts w:ascii="Meiryo UI" w:hAnsi="Meiryo UI"/>
                <w:sz w:val="18"/>
              </w:rPr>
              <w:t>ニュートラル</w:t>
            </w:r>
          </w:p>
        </w:tc>
        <w:tc>
          <w:tcPr>
            <w:tcW w:type="dxa" w:w="3135"/>
            <w:shd w:val="clear" w:color="auto" w:fill="DDEBF7"/>
          </w:tcPr>
          <w:p>
            <w:r>
              <w:rPr>
                <w:rFonts w:ascii="Meiryo UI" w:hAnsi="Meiryo UI"/>
                <w:sz w:val="18"/>
              </w:rPr>
              <w:t>SaaS=国内需要なので直接影響軽微</w:t>
            </w:r>
          </w:p>
        </w:tc>
      </w:tr>
      <w:tr>
        <w:tc>
          <w:tcPr>
            <w:tcW w:type="dxa" w:w="3135"/>
          </w:tcPr>
          <w:p>
            <w:r>
              <w:rPr>
                <w:rFonts w:ascii="Meiryo UI" w:hAnsi="Meiryo UI"/>
                <w:sz w:val="18"/>
              </w:rPr>
              <w:t>Anthropic Claude Code先進活用事例選出（1月）</w:t>
            </w:r>
          </w:p>
        </w:tc>
        <w:tc>
          <w:tcPr>
            <w:tcW w:type="dxa" w:w="3135"/>
          </w:tcPr>
          <w:p>
            <w:r>
              <w:rPr>
                <w:rFonts w:ascii="Meiryo UI" w:hAnsi="Meiryo UI"/>
                <w:sz w:val="18"/>
              </w:rPr>
              <w:t>ポジティブ</w:t>
            </w:r>
          </w:p>
        </w:tc>
        <w:tc>
          <w:tcPr>
            <w:tcW w:type="dxa" w:w="3135"/>
          </w:tcPr>
          <w:p>
            <w:r>
              <w:rPr>
                <w:rFonts w:ascii="Meiryo UI" w:hAnsi="Meiryo UI"/>
                <w:sz w:val="18"/>
              </w:rPr>
              <w:t>パートナーシップ強化の証左</w:t>
            </w:r>
          </w:p>
        </w:tc>
      </w:tr>
      <w:tr>
        <w:tc>
          <w:tcPr>
            <w:tcW w:type="dxa" w:w="3135"/>
            <w:shd w:val="clear" w:color="auto" w:fill="DDEBF7"/>
          </w:tcPr>
          <w:p>
            <w:r>
              <w:rPr>
                <w:rFonts w:ascii="Meiryo UI" w:hAnsi="Meiryo UI"/>
                <w:sz w:val="18"/>
              </w:rPr>
              <w:t>SMBC日興・米系TP¥6,400</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アナリストコンセンサスとの乖離が需給サポート</w:t>
            </w:r>
          </w:p>
        </w:tc>
      </w:tr>
    </w:tbl>
    <w:p/>
    <w:p>
      <w:r>
        <w:t>──────────────────────────────────────────────────</w:t>
      </w:r>
    </w:p>
    <w:p/>
    <w:p>
      <w:pPr>
        <w:pStyle w:val="Heading2"/>
      </w:pPr>
      <w:r>
        <w:rPr>
          <w:rFonts w:ascii="Meiryo UI" w:hAnsi="Meiryo UI"/>
          <w:color w:val="2E74B5"/>
        </w:rPr>
        <w:t>8. ガイダンス発表・修正時の考察（4/14決算前評価）</w:t>
      </w:r>
    </w:p>
    <w:p/>
    <w:p>
      <w:pPr>
        <w:pStyle w:val="Heading3"/>
      </w:pPr>
      <w:r>
        <w:rPr>
          <w:rFonts w:ascii="Meiryo UI" w:hAnsi="Meiryo UI"/>
          <w:color w:val="2E74B5"/>
        </w:rPr>
        <w:t>FY26 1Q（2025年12月-2026年2月）に注目すべき指標</w:t>
      </w:r>
    </w:p>
    <w:p/>
    <w:p>
      <w:r>
        <w:rPr>
          <w:rFonts w:ascii="Meiryo UI" w:hAnsi="Meiryo UI"/>
          <w:sz w:val="20"/>
        </w:rPr>
        <w:t>4月14日に発表されるFY26 1Q決算で確認すべきKPIと期待値は以下の通り。</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KPI</w:t>
            </w:r>
          </w:p>
        </w:tc>
        <w:tc>
          <w:tcPr>
            <w:tcW w:type="dxa" w:w="2351"/>
            <w:shd w:val="clear" w:color="auto" w:fill="2E74B5"/>
          </w:tcPr>
          <w:p>
            <w:r>
              <w:rPr>
                <w:rFonts w:ascii="Meiryo UI" w:hAnsi="Meiryo UI"/>
                <w:b/>
                <w:color w:val="FFFFFF"/>
                <w:sz w:val="18"/>
              </w:rPr>
              <w:t>最低ライン（HOLD維持）</w:t>
            </w:r>
          </w:p>
        </w:tc>
        <w:tc>
          <w:tcPr>
            <w:tcW w:type="dxa" w:w="2351"/>
            <w:shd w:val="clear" w:color="auto" w:fill="2E74B5"/>
          </w:tcPr>
          <w:p>
            <w:r>
              <w:rPr>
                <w:rFonts w:ascii="Meiryo UI" w:hAnsi="Meiryo UI"/>
                <w:b/>
                <w:color w:val="FFFFFF"/>
                <w:sz w:val="18"/>
              </w:rPr>
              <w:t>期待値（BUY強化）</w:t>
            </w:r>
          </w:p>
        </w:tc>
        <w:tc>
          <w:tcPr>
            <w:tcW w:type="dxa" w:w="2351"/>
            <w:shd w:val="clear" w:color="auto" w:fill="2E74B5"/>
          </w:tcPr>
          <w:p>
            <w:r>
              <w:rPr>
                <w:rFonts w:ascii="Meiryo UI" w:hAnsi="Meiryo UI"/>
                <w:b/>
                <w:color w:val="FFFFFF"/>
                <w:sz w:val="18"/>
              </w:rPr>
              <w:t>ストレス（評価引き下げ）</w:t>
            </w:r>
          </w:p>
        </w:tc>
      </w:tr>
      <w:tr>
        <w:tc>
          <w:tcPr>
            <w:tcW w:type="dxa" w:w="2351"/>
          </w:tcPr>
          <w:p>
            <w:r>
              <w:rPr>
                <w:rFonts w:ascii="Meiryo UI" w:hAnsi="Meiryo UI"/>
                <w:sz w:val="18"/>
              </w:rPr>
              <w:t>全社SaaS ARR成長率</w:t>
            </w:r>
          </w:p>
        </w:tc>
        <w:tc>
          <w:tcPr>
            <w:tcW w:type="dxa" w:w="2351"/>
          </w:tcPr>
          <w:p>
            <w:r>
              <w:rPr>
                <w:rFonts w:ascii="Meiryo UI" w:hAnsi="Meiryo UI"/>
                <w:sz w:val="18"/>
              </w:rPr>
              <w:t>+20%以上</w:t>
            </w:r>
          </w:p>
        </w:tc>
        <w:tc>
          <w:tcPr>
            <w:tcW w:type="dxa" w:w="2351"/>
          </w:tcPr>
          <w:p>
            <w:r>
              <w:rPr>
                <w:rFonts w:ascii="Meiryo UI" w:hAnsi="Meiryo UI"/>
                <w:sz w:val="18"/>
              </w:rPr>
              <w:t>+25%以上</w:t>
            </w:r>
          </w:p>
        </w:tc>
        <w:tc>
          <w:tcPr>
            <w:tcW w:type="dxa" w:w="2351"/>
          </w:tcPr>
          <w:p>
            <w:r>
              <w:rPr>
                <w:rFonts w:ascii="Meiryo UI" w:hAnsi="Meiryo UI"/>
                <w:sz w:val="18"/>
              </w:rPr>
              <w:t>+18%以下</w:t>
            </w:r>
          </w:p>
        </w:tc>
      </w:tr>
      <w:tr>
        <w:tc>
          <w:tcPr>
            <w:tcW w:type="dxa" w:w="2351"/>
            <w:shd w:val="clear" w:color="auto" w:fill="DDEBF7"/>
          </w:tcPr>
          <w:p>
            <w:r>
              <w:rPr>
                <w:rFonts w:ascii="Meiryo UI" w:hAnsi="Meiryo UI"/>
                <w:sz w:val="18"/>
              </w:rPr>
              <w:t>法人ARPA</w:t>
            </w:r>
          </w:p>
        </w:tc>
        <w:tc>
          <w:tcPr>
            <w:tcW w:type="dxa" w:w="2351"/>
            <w:shd w:val="clear" w:color="auto" w:fill="DDEBF7"/>
          </w:tcPr>
          <w:p>
            <w:r>
              <w:rPr>
                <w:rFonts w:ascii="Meiryo UI" w:hAnsi="Meiryo UI"/>
                <w:sz w:val="18"/>
              </w:rPr>
              <w:t>¥7万超</w:t>
            </w:r>
          </w:p>
        </w:tc>
        <w:tc>
          <w:tcPr>
            <w:tcW w:type="dxa" w:w="2351"/>
            <w:shd w:val="clear" w:color="auto" w:fill="DDEBF7"/>
          </w:tcPr>
          <w:p>
            <w:r>
              <w:rPr>
                <w:rFonts w:ascii="Meiryo UI" w:hAnsi="Meiryo UI"/>
                <w:sz w:val="18"/>
              </w:rPr>
              <w:t>¥7.5万超（値上げ進捗）</w:t>
            </w:r>
          </w:p>
        </w:tc>
        <w:tc>
          <w:tcPr>
            <w:tcW w:type="dxa" w:w="2351"/>
            <w:shd w:val="clear" w:color="auto" w:fill="DDEBF7"/>
          </w:tcPr>
          <w:p>
            <w:r>
              <w:rPr>
                <w:rFonts w:ascii="Meiryo UI" w:hAnsi="Meiryo UI"/>
                <w:sz w:val="18"/>
              </w:rPr>
              <w:t>¥6.5万以下</w:t>
            </w:r>
          </w:p>
        </w:tc>
      </w:tr>
      <w:tr>
        <w:tc>
          <w:tcPr>
            <w:tcW w:type="dxa" w:w="2351"/>
          </w:tcPr>
          <w:p>
            <w:r>
              <w:rPr>
                <w:rFonts w:ascii="Meiryo UI" w:hAnsi="Meiryo UI"/>
                <w:sz w:val="18"/>
              </w:rPr>
              <w:t>調整後EBITDA</w:t>
            </w:r>
          </w:p>
        </w:tc>
        <w:tc>
          <w:tcPr>
            <w:tcW w:type="dxa" w:w="2351"/>
          </w:tcPr>
          <w:p>
            <w:r>
              <w:rPr>
                <w:rFonts w:ascii="Meiryo UI" w:hAnsi="Meiryo UI"/>
                <w:sz w:val="18"/>
              </w:rPr>
              <w:t>単季プラス</w:t>
            </w:r>
          </w:p>
        </w:tc>
        <w:tc>
          <w:tcPr>
            <w:tcW w:type="dxa" w:w="2351"/>
          </w:tcPr>
          <w:p>
            <w:r>
              <w:rPr>
                <w:rFonts w:ascii="Meiryo UI" w:hAnsi="Meiryo UI"/>
                <w:sz w:val="18"/>
              </w:rPr>
              <w:t>マージン12%超</w:t>
            </w:r>
          </w:p>
        </w:tc>
        <w:tc>
          <w:tcPr>
            <w:tcW w:type="dxa" w:w="2351"/>
          </w:tcPr>
          <w:p>
            <w:r>
              <w:rPr>
                <w:rFonts w:ascii="Meiryo UI" w:hAnsi="Meiryo UI"/>
                <w:sz w:val="18"/>
              </w:rPr>
              <w:t>単季赤字転落</w:t>
            </w:r>
          </w:p>
        </w:tc>
      </w:tr>
      <w:tr>
        <w:tc>
          <w:tcPr>
            <w:tcW w:type="dxa" w:w="2351"/>
            <w:shd w:val="clear" w:color="auto" w:fill="DDEBF7"/>
          </w:tcPr>
          <w:p>
            <w:r>
              <w:rPr>
                <w:rFonts w:ascii="Meiryo UI" w:hAnsi="Meiryo UI"/>
                <w:sz w:val="18"/>
              </w:rPr>
              <w:t>AI Cowork言及</w:t>
            </w:r>
          </w:p>
        </w:tc>
        <w:tc>
          <w:tcPr>
            <w:tcW w:type="dxa" w:w="2351"/>
            <w:shd w:val="clear" w:color="auto" w:fill="DDEBF7"/>
          </w:tcPr>
          <w:p>
            <w:r>
              <w:rPr>
                <w:rFonts w:ascii="Meiryo UI" w:hAnsi="Meiryo UI"/>
                <w:sz w:val="18"/>
              </w:rPr>
              <w:t>先行受付件数開示</w:t>
            </w:r>
          </w:p>
        </w:tc>
        <w:tc>
          <w:tcPr>
            <w:tcW w:type="dxa" w:w="2351"/>
            <w:shd w:val="clear" w:color="auto" w:fill="DDEBF7"/>
          </w:tcPr>
          <w:p>
            <w:r>
              <w:rPr>
                <w:rFonts w:ascii="Meiryo UI" w:hAnsi="Meiryo UI"/>
                <w:sz w:val="18"/>
              </w:rPr>
              <w:t>ARR目標の上方修正</w:t>
            </w:r>
          </w:p>
        </w:tc>
        <w:tc>
          <w:tcPr>
            <w:tcW w:type="dxa" w:w="2351"/>
            <w:shd w:val="clear" w:color="auto" w:fill="DDEBF7"/>
          </w:tcPr>
          <w:p>
            <w:r>
              <w:rPr>
                <w:rFonts w:ascii="Meiryo UI" w:hAnsi="Meiryo UI"/>
                <w:sz w:val="18"/>
              </w:rPr>
              <w:t>具体数値なし</w:t>
            </w:r>
          </w:p>
        </w:tc>
      </w:tr>
      <w:tr>
        <w:tc>
          <w:tcPr>
            <w:tcW w:type="dxa" w:w="2351"/>
          </w:tcPr>
          <w:p>
            <w:r>
              <w:rPr>
                <w:rFonts w:ascii="Meiryo UI" w:hAnsi="Meiryo UI"/>
                <w:sz w:val="18"/>
              </w:rPr>
              <w:t>通期ガイダンス</w:t>
            </w:r>
          </w:p>
        </w:tc>
        <w:tc>
          <w:tcPr>
            <w:tcW w:type="dxa" w:w="2351"/>
          </w:tcPr>
          <w:p>
            <w:r>
              <w:rPr>
                <w:rFonts w:ascii="Meiryo UI" w:hAnsi="Meiryo UI"/>
                <w:sz w:val="18"/>
              </w:rPr>
              <w:t>据え置き</w:t>
            </w:r>
          </w:p>
        </w:tc>
        <w:tc>
          <w:tcPr>
            <w:tcW w:type="dxa" w:w="2351"/>
          </w:tcPr>
          <w:p>
            <w:r>
              <w:rPr>
                <w:rFonts w:ascii="Meiryo UI" w:hAnsi="Meiryo UI"/>
                <w:sz w:val="18"/>
              </w:rPr>
              <w:t>上方修正</w:t>
            </w:r>
          </w:p>
        </w:tc>
        <w:tc>
          <w:tcPr>
            <w:tcW w:type="dxa" w:w="2351"/>
          </w:tcPr>
          <w:p>
            <w:r>
              <w:rPr>
                <w:rFonts w:ascii="Meiryo UI" w:hAnsi="Meiryo UI"/>
                <w:sz w:val="18"/>
              </w:rPr>
              <w:t>下方修正</w:t>
            </w:r>
          </w:p>
        </w:tc>
      </w:tr>
    </w:tbl>
    <w:p/>
    <w:p>
      <w:r>
        <w:rPr>
          <w:rFonts w:ascii="Meiryo UI" w:hAnsi="Meiryo UI"/>
          <w:sz w:val="20"/>
        </w:rPr>
        <w:t>「通期ポジティブ」の確度評価：高（70%）</w:t>
      </w:r>
    </w:p>
    <w:p/>
    <w:p>
      <w:r>
        <w:rPr>
          <w:rFonts w:ascii="Meiryo UI" w:hAnsi="Meiryo UI"/>
          <w:sz w:val="20"/>
        </w:rPr>
        <w:t>FY25で3年連続ガイダンス超過という実績、値上げ効果の本格反映（2Q-3Q以降）、AI Cowork先行受付開始、AKASHI統合効果を総合すると、FY26通期ガイダンス達成の確度は70%と推定する。残30%は投資増加による費用超過リスク。</w:t>
      </w:r>
    </w:p>
    <w:p/>
    <w:p>
      <w:r>
        <w:t>──────────────────────────────────────────────────</w:t>
      </w:r>
    </w:p>
    <w:p/>
    <w:p>
      <w:pPr>
        <w:pStyle w:val="Heading2"/>
      </w:pPr>
      <w:r>
        <w:rPr>
          <w:rFonts w:ascii="Meiryo UI" w:hAnsi="Meiryo UI"/>
          <w:color w:val="2E74B5"/>
        </w:rPr>
        <w:t>9. 4/14決算前の推奨アクション</w:t>
      </w:r>
    </w:p>
    <w:p/>
    <w:p>
      <w:pPr>
        <w:pStyle w:val="Heading3"/>
      </w:pPr>
      <w:r>
        <w:rPr>
          <w:rFonts w:ascii="Meiryo UI" w:hAnsi="Meiryo UI"/>
          <w:color w:val="2E74B5"/>
        </w:rPr>
        <w:t>最終判断：Yes、4/14決算前に買う（条件付き）</w:t>
      </w:r>
    </w:p>
    <w:p/>
    <w:p>
      <w:r>
        <w:rPr>
          <w:rFonts w:ascii="Meiryo UI" w:hAnsi="Meiryo UI"/>
          <w:sz w:val="20"/>
        </w:rPr>
        <w:t>価格目線と量の目線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条件</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量</w:t>
            </w:r>
          </w:p>
        </w:tc>
      </w:tr>
      <w:tr>
        <w:tc>
          <w:tcPr>
            <w:tcW w:type="dxa" w:w="2351"/>
          </w:tcPr>
          <w:p>
            <w:r>
              <w:rPr>
                <w:rFonts w:ascii="Meiryo UI" w:hAnsi="Meiryo UI"/>
                <w:sz w:val="18"/>
              </w:rPr>
              <w:t>初期エントリー</w:t>
            </w:r>
          </w:p>
        </w:tc>
        <w:tc>
          <w:tcPr>
            <w:tcW w:type="dxa" w:w="2351"/>
          </w:tcPr>
          <w:p>
            <w:r>
              <w:rPr>
                <w:rFonts w:ascii="Meiryo UI" w:hAnsi="Meiryo UI"/>
                <w:sz w:val="18"/>
              </w:rPr>
              <w:t>現時点（4/11-4/13）</w:t>
            </w:r>
          </w:p>
        </w:tc>
        <w:tc>
          <w:tcPr>
            <w:tcW w:type="dxa" w:w="2351"/>
          </w:tcPr>
          <w:p>
            <w:r>
              <w:rPr>
                <w:rFonts w:ascii="Meiryo UI" w:hAnsi="Meiryo UI"/>
                <w:sz w:val="18"/>
              </w:rPr>
              <w:t>¥3,500-3,620</w:t>
            </w:r>
          </w:p>
        </w:tc>
        <w:tc>
          <w:tcPr>
            <w:tcW w:type="dxa" w:w="2351"/>
          </w:tcPr>
          <w:p>
            <w:r>
              <w:rPr>
                <w:rFonts w:ascii="Meiryo UI" w:hAnsi="Meiryo UI"/>
                <w:sz w:val="18"/>
              </w:rPr>
              <w:t>ポジションの50%</w:t>
            </w:r>
          </w:p>
        </w:tc>
      </w:tr>
      <w:tr>
        <w:tc>
          <w:tcPr>
            <w:tcW w:type="dxa" w:w="2351"/>
            <w:shd w:val="clear" w:color="auto" w:fill="DDEBF7"/>
          </w:tcPr>
          <w:p>
            <w:r>
              <w:rPr>
                <w:rFonts w:ascii="Meiryo UI" w:hAnsi="Meiryo UI"/>
                <w:sz w:val="18"/>
              </w:rPr>
              <w:t>決算後追撃</w:t>
            </w:r>
          </w:p>
        </w:tc>
        <w:tc>
          <w:tcPr>
            <w:tcW w:type="dxa" w:w="2351"/>
            <w:shd w:val="clear" w:color="auto" w:fill="DDEBF7"/>
          </w:tcPr>
          <w:p>
            <w:r>
              <w:rPr>
                <w:rFonts w:ascii="Meiryo UI" w:hAnsi="Meiryo UI"/>
                <w:sz w:val="18"/>
              </w:rPr>
              <w:t>ARR+25%超・ARPA+10%超の上振れ</w:t>
            </w:r>
          </w:p>
        </w:tc>
        <w:tc>
          <w:tcPr>
            <w:tcW w:type="dxa" w:w="2351"/>
            <w:shd w:val="clear" w:color="auto" w:fill="DDEBF7"/>
          </w:tcPr>
          <w:p>
            <w:r>
              <w:rPr>
                <w:rFonts w:ascii="Meiryo UI" w:hAnsi="Meiryo UI"/>
                <w:sz w:val="18"/>
              </w:rPr>
              <w:t>¥3,800以下</w:t>
            </w:r>
          </w:p>
        </w:tc>
        <w:tc>
          <w:tcPr>
            <w:tcW w:type="dxa" w:w="2351"/>
            <w:shd w:val="clear" w:color="auto" w:fill="DDEBF7"/>
          </w:tcPr>
          <w:p>
            <w:r>
              <w:rPr>
                <w:rFonts w:ascii="Meiryo UI" w:hAnsi="Meiryo UI"/>
                <w:sz w:val="18"/>
              </w:rPr>
              <w:t>ポジションの30%</w:t>
            </w:r>
          </w:p>
        </w:tc>
      </w:tr>
      <w:tr>
        <w:tc>
          <w:tcPr>
            <w:tcW w:type="dxa" w:w="2351"/>
          </w:tcPr>
          <w:p>
            <w:r>
              <w:rPr>
                <w:rFonts w:ascii="Meiryo UI" w:hAnsi="Meiryo UI"/>
                <w:sz w:val="18"/>
              </w:rPr>
              <w:t>決算後追撃②</w:t>
            </w:r>
          </w:p>
        </w:tc>
        <w:tc>
          <w:tcPr>
            <w:tcW w:type="dxa" w:w="2351"/>
          </w:tcPr>
          <w:p>
            <w:r>
              <w:rPr>
                <w:rFonts w:ascii="Meiryo UI" w:hAnsi="Meiryo UI"/>
                <w:sz w:val="18"/>
              </w:rPr>
              <w:t>通期ガイダンス上方修正</w:t>
            </w:r>
          </w:p>
        </w:tc>
        <w:tc>
          <w:tcPr>
            <w:tcW w:type="dxa" w:w="2351"/>
          </w:tcPr>
          <w:p>
            <w:r>
              <w:rPr>
                <w:rFonts w:ascii="Meiryo UI" w:hAnsi="Meiryo UI"/>
                <w:sz w:val="18"/>
              </w:rPr>
              <w:t>¥4,000以下</w:t>
            </w:r>
          </w:p>
        </w:tc>
        <w:tc>
          <w:tcPr>
            <w:tcW w:type="dxa" w:w="2351"/>
          </w:tcPr>
          <w:p>
            <w:r>
              <w:rPr>
                <w:rFonts w:ascii="Meiryo UI" w:hAnsi="Meiryo UI"/>
                <w:sz w:val="18"/>
              </w:rPr>
              <w:t>ポジションの20%</w:t>
            </w:r>
          </w:p>
        </w:tc>
      </w:tr>
      <w:tr>
        <w:tc>
          <w:tcPr>
            <w:tcW w:type="dxa" w:w="2351"/>
            <w:shd w:val="clear" w:color="auto" w:fill="DDEBF7"/>
          </w:tcPr>
          <w:p>
            <w:r>
              <w:rPr>
                <w:rFonts w:ascii="Meiryo UI" w:hAnsi="Meiryo UI"/>
                <w:sz w:val="18"/>
              </w:rPr>
              <w:t>ストップロス</w:t>
            </w:r>
          </w:p>
        </w:tc>
        <w:tc>
          <w:tcPr>
            <w:tcW w:type="dxa" w:w="2351"/>
            <w:shd w:val="clear" w:color="auto" w:fill="DDEBF7"/>
          </w:tcPr>
          <w:p>
            <w:r>
              <w:rPr>
                <w:rFonts w:ascii="Meiryo UI" w:hAnsi="Meiryo UI"/>
                <w:sz w:val="18"/>
              </w:rPr>
              <w:t>決算後ARR成長率+18%以下・ARPA横ばい</w:t>
            </w:r>
          </w:p>
        </w:tc>
        <w:tc>
          <w:tcPr>
            <w:tcW w:type="dxa" w:w="2351"/>
            <w:shd w:val="clear" w:color="auto" w:fill="DDEBF7"/>
          </w:tcPr>
          <w:p>
            <w:r>
              <w:rPr>
                <w:rFonts w:ascii="Meiryo UI" w:hAnsi="Meiryo UI"/>
                <w:sz w:val="18"/>
              </w:rPr>
              <w:t>¥3,200割れ</w:t>
            </w:r>
          </w:p>
        </w:tc>
        <w:tc>
          <w:tcPr>
            <w:tcW w:type="dxa" w:w="2351"/>
            <w:shd w:val="clear" w:color="auto" w:fill="DDEBF7"/>
          </w:tcPr>
          <w:p>
            <w:r>
              <w:rPr>
                <w:rFonts w:ascii="Meiryo UI" w:hAnsi="Meiryo UI"/>
                <w:sz w:val="18"/>
              </w:rPr>
              <w:t>全量撤退</w:t>
            </w:r>
          </w:p>
        </w:tc>
      </w:tr>
    </w:tbl>
    <w:p/>
    <w:p>
      <w:r>
        <w:rPr>
          <w:rFonts w:ascii="Meiryo UI" w:hAnsi="Meiryo UI"/>
          <w:sz w:val="20"/>
        </w:rPr>
        <w:t>Buy理由のまとめ（3点）</w:t>
      </w:r>
    </w:p>
    <w:p>
      <w:pPr>
        <w:pStyle w:val="ListNumber"/>
      </w:pPr>
      <w:r>
        <w:rPr>
          <w:rFonts w:ascii="Meiryo UI" w:hAnsi="Meiryo UI"/>
          <w:sz w:val="20"/>
        </w:rPr>
        <w:t>アンソロピックショックは「競合」ではなく「AI Coworkのエンジン」として完全に消化済み。投資家の懸念と実態の乖離が株価の割安要因となっている。</w:t>
      </w:r>
    </w:p>
    <w:p>
      <w:pPr>
        <w:pStyle w:val="ListNumber"/>
      </w:pPr>
      <w:r>
        <w:rPr>
          <w:rFonts w:ascii="Meiryo UI" w:hAnsi="Meiryo UI"/>
          <w:sz w:val="20"/>
        </w:rPr>
        <w:t>値上げ効果（ARPA+12%）は定量確認済みで、2Q-3Q以降に本格反映。社長コメント「3Qに出る」は現実的。</w:t>
      </w:r>
    </w:p>
    <w:p>
      <w:pPr>
        <w:pStyle w:val="ListNumber"/>
      </w:pPr>
      <w:r>
        <w:rPr>
          <w:rFonts w:ascii="Meiryo UI" w:hAnsi="Meiryo UI"/>
          <w:sz w:val="20"/>
        </w:rPr>
        <w:t>FY26 PSR 4.2倍（ガイダンス中央値）は31%ARR成長企業としてディスカウントされており、割安域に入っている。</w:t>
      </w:r>
    </w:p>
    <w:p/>
    <w:p>
      <w:r>
        <w:rPr>
          <w:rFonts w:ascii="Meiryo UI" w:hAnsi="Meiryo UI"/>
          <w:sz w:val="20"/>
        </w:rPr>
        <w:t>Bear理由（HOLD/SELLを選ぶ場合）</w:t>
      </w:r>
    </w:p>
    <w:p>
      <w:pPr>
        <w:pStyle w:val="ListBullet"/>
      </w:pPr>
      <w:r>
        <w:rPr>
          <w:rFonts w:ascii="Meiryo UI" w:hAnsi="Meiryo UI"/>
          <w:sz w:val="20"/>
        </w:rPr>
        <w:t>JGB2.7%超えの金利上昇局面では、グロース株一斉圧縮でストップロスが先行する可能性</w:t>
      </w:r>
    </w:p>
    <w:p>
      <w:pPr>
        <w:pStyle w:val="ListBullet"/>
      </w:pPr>
      <w:r>
        <w:rPr>
          <w:rFonts w:ascii="Meiryo UI" w:hAnsi="Meiryo UI"/>
          <w:sz w:val="20"/>
        </w:rPr>
        <w:t>AI Coworkの料金未発表で、投資家の具体的収益期待が形成されていない</w:t>
      </w:r>
    </w:p>
    <w:p/>
    <w:p>
      <w:r>
        <w:t>──────────────────────────────────────────────────</w:t>
      </w:r>
    </w:p>
    <w:p/>
    <w:p>
      <w:pPr>
        <w:pStyle w:val="Heading2"/>
      </w:pPr>
      <w:r>
        <w:rPr>
          <w:rFonts w:ascii="Meiryo UI" w:hAnsi="Meiryo UI"/>
          <w:color w:val="2E74B5"/>
        </w:rPr>
        <w:t>付記：需給・テクニカル</w:t>
      </w:r>
    </w:p>
    <w:p/>
    <w:p>
      <w:r>
        <w:rPr>
          <w:rFonts w:ascii="Meiryo UI" w:hAnsi="Meiryo UI"/>
          <w:sz w:val="20"/>
        </w:rPr>
        <w:t>機関投資家動向</w:t>
      </w:r>
    </w:p>
    <w:p>
      <w:pPr>
        <w:pStyle w:val="ListBullet"/>
      </w:pPr>
      <w:r>
        <w:rPr>
          <w:rFonts w:ascii="Meiryo UI" w:hAnsi="Meiryo UI"/>
          <w:sz w:val="20"/>
        </w:rPr>
        <w:t>ADV¥28.9億は大口対応可能な流動性水準と確認される（東証プライム内でも高流動性グループ）</w:t>
      </w:r>
    </w:p>
    <w:p>
      <w:pPr>
        <w:pStyle w:val="ListBullet"/>
      </w:pPr>
      <w:r>
        <w:rPr>
          <w:rFonts w:ascii="Meiryo UI" w:hAnsi="Meiryo UI"/>
          <w:sz w:val="20"/>
        </w:rPr>
        <w:t>アナリストTP：一部米系大手証券¥6,400（強気）、日系大手¥6,700→中立引き下げという情報がある一方、SMBC日興系で¥3,800前後のコンセンサスも存在</w:t>
      </w:r>
    </w:p>
    <w:p>
      <w:pPr>
        <w:pStyle w:val="ListBullet"/>
      </w:pPr>
      <w:r>
        <w:rPr>
          <w:rFonts w:ascii="Meiryo UI" w:hAnsi="Meiryo UI"/>
          <w:sz w:val="20"/>
        </w:rPr>
        <w:t>外国人持株比率が高い銘柄群であり、米・イラン停戦による円高局面（USD/JPY 158-160）でも為替直接影響は軽微（SaaSは国内円建て収益）</w:t>
      </w:r>
    </w:p>
    <w:p/>
    <w:p>
      <w:r>
        <w:rPr>
          <w:rFonts w:ascii="Meiryo UI" w:hAnsi="Meiryo UI"/>
          <w:sz w:val="20"/>
        </w:rPr>
        <w:t>テクニカル</w:t>
      </w:r>
    </w:p>
    <w:p>
      <w:pPr>
        <w:pStyle w:val="ListBullet"/>
      </w:pPr>
      <w:r>
        <w:rPr>
          <w:rFonts w:ascii="Meiryo UI" w:hAnsi="Meiryo UI"/>
          <w:sz w:val="20"/>
        </w:rPr>
        <w:t>現値¥3,607は52週高値からの調整後水準と推察される</w:t>
      </w:r>
    </w:p>
    <w:p>
      <w:pPr>
        <w:pStyle w:val="ListBullet"/>
      </w:pPr>
      <w:r>
        <w:rPr>
          <w:rFonts w:ascii="Meiryo UI" w:hAnsi="Meiryo UI"/>
          <w:sz w:val="20"/>
        </w:rPr>
        <w:t>決算期待で底打ち感が出れば、¥3,800（+5.3%）が初期ターゲット</w:t>
      </w:r>
    </w:p>
    <w:p>
      <w:pPr>
        <w:pStyle w:val="ListBullet"/>
      </w:pPr>
      <w:r>
        <w:rPr>
          <w:rFonts w:ascii="Meiryo UI" w:hAnsi="Meiryo UI"/>
          <w:sz w:val="20"/>
        </w:rPr>
        <w:t>PSR 5倍ラインは約¥3,950（FY25実績売上¥503.5億基準）</w:t>
      </w:r>
    </w:p>
    <w:p/>
    <w:p>
      <w:r>
        <w:t>──────────────────────────────────────────────────</w:t>
      </w:r>
    </w:p>
    <w:p/>
    <w:p>
      <w:r>
        <w:rPr>
          <w:rFonts w:ascii="Meiryo UI" w:hAnsi="Meiryo UI"/>
          <w:sz w:val="20"/>
        </w:rPr>
        <w:t>本レポートはDeepResearch調査に基づく投資判断補助資料です。投資決定は自己責任でご判断ください。</w:t>
      </w:r>
    </w:p>
    <w:p>
      <w:r>
        <w:rPr>
          <w:rFonts w:ascii="Meiryo UI" w:hAnsi="Meiryo UI"/>
          <w:sz w:val="20"/>
        </w:rPr>
        <w:t>作成：浮貝 Deep Research System / 2026-04-11</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