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[4031] 片倉コープアグリ</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[4031] 片倉コープアグリ</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片倉コープアグリ（4031.T）DeepResearch レポート</w:t>
      </w:r>
    </w:p>
    <w:p>
      <w:pPr>
        <w:pStyle w:val="Heading2"/>
      </w:pPr>
      <w:r>
        <w:rPr>
          <w:rFonts w:ascii="Meiryo UI" w:hAnsi="Meiryo UI"/>
          <w:color w:val="2E74B5"/>
        </w:rPr>
        <w:t>竹村トレードカンパニー／深井アナリスト作成</w:t>
      </w:r>
    </w:p>
    <w:p>
      <w:pPr>
        <w:pStyle w:val="Heading3"/>
      </w:pPr>
      <w:r>
        <w:rPr>
          <w:rFonts w:ascii="Meiryo UI" w:hAnsi="Meiryo UI"/>
          <w:color w:val="2E74B5"/>
        </w:rPr>
        <w:t>分析日: 2026-04-07 | 現在株価: ¥1,383 | 評価: 買い（BUY）</w:t>
      </w:r>
    </w:p>
    <w:p/>
    <w:p>
      <w:r>
        <w:t>──────────────────────────────────────────────────</w:t>
      </w:r>
    </w:p>
    <w:p/>
    <w:p>
      <w:r>
        <w:rPr>
          <w:rFonts w:ascii="Meiryo UI" w:hAnsi="Meiryo UI"/>
          <w:sz w:val="20"/>
        </w:rPr>
        <w:t>&gt; ⚠️ 財務指標確認済み（yfinanceリアルタイム取得）</w:t>
      </w:r>
    </w:p>
    <w:p>
      <w:r>
        <w:rPr>
          <w:rFonts w:ascii="Meiryo UI" w:hAnsi="Meiryo UI"/>
          <w:sz w:val="20"/>
        </w:rPr>
        <w:t>&gt; PBR: 0.55倍 / BPS: ¥2,519 / ROE: -3.6% / EPS: ¥-88</w:t>
      </w:r>
    </w:p>
    <w:p>
      <w:r>
        <w:rPr>
          <w:rFonts w:ascii="Meiryo UI" w:hAnsi="Meiryo UI"/>
          <w:sz w:val="20"/>
        </w:rPr>
        <w:t>&gt; PER: 取得失敗（赤字のため算出不可）</w:t>
      </w:r>
    </w:p>
    <w:p>
      <w:r>
        <w:rPr>
          <w:rFonts w:ascii="Meiryo UI" w:hAnsi="Meiryo UI"/>
          <w:sz w:val="20"/>
        </w:rPr>
        <w:t>&gt; 上記yfinance取得値を唯一の正解として全分析に使用。学習データ・独自推計による上書き禁止。</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ティッカー</w:t>
            </w:r>
          </w:p>
        </w:tc>
        <w:tc>
          <w:tcPr>
            <w:tcW w:type="dxa" w:w="4703"/>
          </w:tcPr>
          <w:p>
            <w:r>
              <w:rPr>
                <w:rFonts w:ascii="Meiryo UI" w:hAnsi="Meiryo UI"/>
                <w:sz w:val="18"/>
              </w:rPr>
              <w:t>4031.T（東証プライム）</w:t>
            </w:r>
          </w:p>
        </w:tc>
      </w:tr>
      <w:tr>
        <w:tc>
          <w:tcPr>
            <w:tcW w:type="dxa" w:w="4703"/>
            <w:shd w:val="clear" w:color="auto" w:fill="DDEBF7"/>
          </w:tcPr>
          <w:p>
            <w:r>
              <w:rPr>
                <w:rFonts w:ascii="Meiryo UI" w:hAnsi="Meiryo UI"/>
                <w:sz w:val="18"/>
              </w:rPr>
              <w:t>銘柄名</w:t>
            </w:r>
          </w:p>
        </w:tc>
        <w:tc>
          <w:tcPr>
            <w:tcW w:type="dxa" w:w="4703"/>
            <w:shd w:val="clear" w:color="auto" w:fill="DDEBF7"/>
          </w:tcPr>
          <w:p>
            <w:r>
              <w:rPr>
                <w:rFonts w:ascii="Meiryo UI" w:hAnsi="Meiryo UI"/>
                <w:sz w:val="18"/>
              </w:rPr>
              <w:t>片倉コープアグリ株式会社</w:t>
            </w:r>
          </w:p>
        </w:tc>
      </w:tr>
      <w:tr>
        <w:tc>
          <w:tcPr>
            <w:tcW w:type="dxa" w:w="4703"/>
          </w:tcPr>
          <w:p>
            <w:r>
              <w:rPr>
                <w:rFonts w:ascii="Meiryo UI" w:hAnsi="Meiryo UI"/>
                <w:sz w:val="18"/>
              </w:rPr>
              <w:t>現在株価</w:t>
            </w:r>
          </w:p>
        </w:tc>
        <w:tc>
          <w:tcPr>
            <w:tcW w:type="dxa" w:w="4703"/>
          </w:tcPr>
          <w:p>
            <w:r>
              <w:rPr>
                <w:rFonts w:ascii="Meiryo UI" w:hAnsi="Meiryo UI"/>
                <w:sz w:val="18"/>
              </w:rPr>
              <w:t>¥1,383（2026-04-07 12:25 JST）</w:t>
            </w:r>
          </w:p>
        </w:tc>
      </w:tr>
      <w:tr>
        <w:tc>
          <w:tcPr>
            <w:tcW w:type="dxa" w:w="4703"/>
            <w:shd w:val="clear" w:color="auto" w:fill="DDEBF7"/>
          </w:tcPr>
          <w:p>
            <w:r>
              <w:rPr>
                <w:rFonts w:ascii="Meiryo UI" w:hAnsi="Meiryo UI"/>
                <w:sz w:val="18"/>
              </w:rPr>
              <w:t>52週レンジ（参考）</w:t>
            </w:r>
          </w:p>
        </w:tc>
        <w:tc>
          <w:tcPr>
            <w:tcW w:type="dxa" w:w="4703"/>
            <w:shd w:val="clear" w:color="auto" w:fill="DDEBF7"/>
          </w:tcPr>
          <w:p>
            <w:r>
              <w:rPr>
                <w:rFonts w:ascii="Meiryo UI" w:hAnsi="Meiryo UI"/>
                <w:sz w:val="18"/>
              </w:rPr>
              <w:t>約¥1,100〜¥1,600</w:t>
            </w:r>
          </w:p>
        </w:tc>
      </w:tr>
      <w:tr>
        <w:tc>
          <w:tcPr>
            <w:tcW w:type="dxa" w:w="4703"/>
          </w:tcPr>
          <w:p>
            <w:r>
              <w:rPr>
                <w:rFonts w:ascii="Meiryo UI" w:hAnsi="Meiryo UI"/>
                <w:sz w:val="18"/>
              </w:rPr>
              <w:t>DCF理論株価（基本）</w:t>
            </w:r>
          </w:p>
        </w:tc>
        <w:tc>
          <w:tcPr>
            <w:tcW w:type="dxa" w:w="4703"/>
          </w:tcPr>
          <w:p>
            <w:r>
              <w:rPr>
                <w:rFonts w:ascii="Meiryo UI" w:hAnsi="Meiryo UI"/>
                <w:sz w:val="18"/>
              </w:rPr>
              <w:t>¥1,750〜¥2,050</w:t>
            </w:r>
          </w:p>
        </w:tc>
      </w:tr>
      <w:tr>
        <w:tc>
          <w:tcPr>
            <w:tcW w:type="dxa" w:w="4703"/>
            <w:shd w:val="clear" w:color="auto" w:fill="DDEBF7"/>
          </w:tcPr>
          <w:p>
            <w:r>
              <w:rPr>
                <w:rFonts w:ascii="Meiryo UI" w:hAnsi="Meiryo UI"/>
                <w:sz w:val="18"/>
              </w:rPr>
              <w:t>安全域考慮後エントリー目安</w:t>
            </w:r>
          </w:p>
        </w:tc>
        <w:tc>
          <w:tcPr>
            <w:tcW w:type="dxa" w:w="4703"/>
            <w:shd w:val="clear" w:color="auto" w:fill="DDEBF7"/>
          </w:tcPr>
          <w:p>
            <w:r>
              <w:rPr>
                <w:rFonts w:ascii="Meiryo UI" w:hAnsi="Meiryo UI"/>
                <w:sz w:val="18"/>
              </w:rPr>
              <w:t>¥1,300〜¥1,450</w:t>
            </w:r>
          </w:p>
        </w:tc>
      </w:tr>
      <w:tr>
        <w:tc>
          <w:tcPr>
            <w:tcW w:type="dxa" w:w="4703"/>
          </w:tcPr>
          <w:p>
            <w:r>
              <w:rPr>
                <w:rFonts w:ascii="Meiryo UI" w:hAnsi="Meiryo UI"/>
                <w:sz w:val="18"/>
              </w:rPr>
              <w:t>投資判断</w:t>
            </w:r>
          </w:p>
        </w:tc>
        <w:tc>
          <w:tcPr>
            <w:tcW w:type="dxa" w:w="4703"/>
          </w:tcPr>
          <w:p>
            <w:r>
              <w:rPr>
                <w:rFonts w:ascii="Meiryo UI" w:hAnsi="Meiryo UI"/>
                <w:sz w:val="18"/>
              </w:rPr>
              <w:t>BUY（買い）</w:t>
            </w:r>
          </w:p>
        </w:tc>
      </w:tr>
      <w:tr>
        <w:tc>
          <w:tcPr>
            <w:tcW w:type="dxa" w:w="4703"/>
            <w:shd w:val="clear" w:color="auto" w:fill="DDEBF7"/>
          </w:tcPr>
          <w:p>
            <w:r>
              <w:rPr>
                <w:rFonts w:ascii="Meiryo UI" w:hAnsi="Meiryo UI"/>
                <w:sz w:val="18"/>
              </w:rPr>
              <w:t>タイムライン</w:t>
            </w:r>
          </w:p>
        </w:tc>
        <w:tc>
          <w:tcPr>
            <w:tcW w:type="dxa" w:w="4703"/>
            <w:shd w:val="clear" w:color="auto" w:fill="DDEBF7"/>
          </w:tcPr>
          <w:p>
            <w:r>
              <w:rPr>
                <w:rFonts w:ascii="Meiryo UI" w:hAnsi="Meiryo UI"/>
                <w:sz w:val="18"/>
              </w:rPr>
              <w:t>6〜18ヶ月</w:t>
            </w:r>
          </w:p>
        </w:tc>
      </w:tr>
      <w:tr>
        <w:tc>
          <w:tcPr>
            <w:tcW w:type="dxa" w:w="4703"/>
          </w:tcPr>
          <w:p>
            <w:r>
              <w:rPr>
                <w:rFonts w:ascii="Meiryo UI" w:hAnsi="Meiryo UI"/>
                <w:sz w:val="18"/>
              </w:rPr>
              <w:t>最大リスク</w:t>
            </w:r>
          </w:p>
        </w:tc>
        <w:tc>
          <w:tcPr>
            <w:tcW w:type="dxa" w:w="4703"/>
          </w:tcPr>
          <w:p>
            <w:r>
              <w:rPr>
                <w:rFonts w:ascii="Meiryo UI" w:hAnsi="Meiryo UI"/>
                <w:sz w:val="18"/>
              </w:rPr>
              <w:t>ホルムズ早期解決・全農内製化強化</w:t>
            </w:r>
          </w:p>
        </w:tc>
      </w:tr>
    </w:tbl>
    <w:p/>
    <w:p>
      <w:r>
        <w:rPr>
          <w:rFonts w:ascii="Meiryo UI" w:hAnsi="Meiryo UI"/>
          <w:sz w:val="20"/>
        </w:rPr>
        <w:t>投資テーゼ（3行サマリー）:</w:t>
      </w:r>
    </w:p>
    <w:p>
      <w:pPr>
        <w:pStyle w:val="ListNumber"/>
      </w:pPr>
      <w:r>
        <w:rPr>
          <w:rFonts w:ascii="Meiryo UI" w:hAnsi="Meiryo UI"/>
          <w:sz w:val="20"/>
        </w:rPr>
        <w:t>PBR0.55倍（BPS¥2,519対株価¥1,383）という深刻な割安水準に、ホルムズ海峡ショック×世界肥料価格急騰（尿素+54%・$726/t）というコモディティ正方向テールリスクが重なった。</w:t>
      </w:r>
    </w:p>
    <w:p>
      <w:pPr>
        <w:pStyle w:val="ListNumber"/>
      </w:pPr>
      <w:r>
        <w:rPr>
          <w:rFonts w:ascii="Meiryo UI" w:hAnsi="Meiryo UI"/>
          <w:sz w:val="20"/>
        </w:rPr>
        <w:t>日本の農業資材調達サイクル（夏の秋冬作向け調達ピーク）が接近し、国際価格の国内転嫁が現実化するタイムラインが明確に見えている。</w:t>
      </w:r>
    </w:p>
    <w:p>
      <w:pPr>
        <w:pStyle w:val="ListNumber"/>
      </w:pPr>
      <w:r>
        <w:rPr>
          <w:rFonts w:ascii="Meiryo UI" w:hAnsi="Meiryo UI"/>
          <w:sz w:val="20"/>
        </w:rPr>
        <w:t>CGコード改訂（2026年6月）による低PBR企業への構造的圧力と食料安全保障政策の制度化が中長期的な株価再評価のアンカーとなる。バリュートラップではなく、複数カタリストが集積した「仕込み場」と判定。</w:t>
      </w:r>
    </w:p>
    <w:p/>
    <w:p>
      <w:r>
        <w:t>──────────────────────────────────────────────────</w:t>
      </w:r>
    </w:p>
    <w:p/>
    <w:p>
      <w:pPr>
        <w:pStyle w:val="Heading2"/>
      </w:pPr>
      <w:r>
        <w:rPr>
          <w:rFonts w:ascii="Meiryo UI" w:hAnsi="Meiryo UI"/>
          <w:color w:val="2E74B5"/>
        </w:rPr>
        <w:t>第1章：企業概要・事業分析</w:t>
      </w:r>
    </w:p>
    <w:p/>
    <w:p>
      <w:pPr>
        <w:pStyle w:val="Heading3"/>
      </w:pPr>
      <w:r>
        <w:rPr>
          <w:rFonts w:ascii="Meiryo UI" w:hAnsi="Meiryo UI"/>
          <w:color w:val="2E74B5"/>
        </w:rPr>
        <w:t>1-1. 企業プロフィール</w:t>
      </w:r>
    </w:p>
    <w:p/>
    <w:p>
      <w:r>
        <w:rPr>
          <w:rFonts w:ascii="Meiryo UI" w:hAnsi="Meiryo UI"/>
          <w:sz w:val="20"/>
        </w:rPr>
        <w:t>片倉コープアグリは、2016年に片倉チッカリン（チッソ系）とコープケミカル（農協系）が統合して誕生した国内最大規模の複合農業資材メーカーである。本社は東京都千代田区、主要生産拠点は千葉・新潟・山形・北海道等に分散。東証プライム上場。従業員数は連結約2,200名（推定）。</w:t>
      </w:r>
    </w:p>
    <w:p/>
    <w:p>
      <w:r>
        <w:rPr>
          <w:rFonts w:ascii="Meiryo UI" w:hAnsi="Meiryo UI"/>
          <w:sz w:val="20"/>
        </w:rPr>
        <w:t>統合の戦略的意義：</w:t>
      </w:r>
    </w:p>
    <w:p>
      <w:pPr>
        <w:pStyle w:val="ListBullet"/>
      </w:pPr>
      <w:r>
        <w:rPr>
          <w:rFonts w:ascii="Meiryo UI" w:hAnsi="Meiryo UI"/>
          <w:sz w:val="20"/>
        </w:rPr>
        <w:t>チッカリン：肥料製造の技術力（特殊複合肥料・緩効性肥料）</w:t>
      </w:r>
    </w:p>
    <w:p>
      <w:pPr>
        <w:pStyle w:val="ListBullet"/>
      </w:pPr>
      <w:r>
        <w:rPr>
          <w:rFonts w:ascii="Meiryo UI" w:hAnsi="Meiryo UI"/>
          <w:sz w:val="20"/>
        </w:rPr>
        <w:t>コープケミカル：農協ネットワーク（JA全農との深い販売チャネル）</w:t>
      </w:r>
    </w:p>
    <w:p>
      <w:pPr>
        <w:pStyle w:val="ListBullet"/>
      </w:pPr>
      <w:r>
        <w:rPr>
          <w:rFonts w:ascii="Meiryo UI" w:hAnsi="Meiryo UI"/>
          <w:sz w:val="20"/>
        </w:rPr>
        <w:t>統合後：国内肥料市場シェア約15〜20%（推定）、農薬・農業資材との複合提案力</w:t>
      </w:r>
    </w:p>
    <w:p/>
    <w:p>
      <w:pPr>
        <w:pStyle w:val="Heading3"/>
      </w:pPr>
      <w:r>
        <w:rPr>
          <w:rFonts w:ascii="Meiryo UI" w:hAnsi="Meiryo UI"/>
          <w:color w:val="2E74B5"/>
        </w:rPr>
        <w:t>1-2. セグメント・プロダクト構成</w:t>
      </w:r>
    </w:p>
    <w:p/>
    <w:p>
      <w:pPr>
        <w:shd w:val="clear" w:color="auto" w:fill="F2F2F2"/>
      </w:pPr>
      <w:r>
        <w:rPr>
          <w:rFonts w:ascii="Courier New" w:hAnsi="Courier New"/>
          <w:sz w:val="16"/>
        </w:rPr>
        <w:t>売上構成（推定・公開情報ベース）</w:t>
        <w:br/>
        <w:t>━━━━━━━━━━━━━━━━━━━━━━━━━━━━━━━━</w:t>
        <w:br/>
        <w:t>セグメント            売上比率   営業利益率（推定）</w:t>
        <w:br/>
        <w:t>━━━━━━━━━━━━━━━━━━━━━━━━━━━━━━━━</w:t>
        <w:br/>
        <w:t>肥料事業              約55%     ▲0.5〜+1.5%（原料価格連動で変動大）</w:t>
        <w:br/>
        <w:t>農薬・農業資材事業    約30%     +3〜5%（相対的に安定）</w:t>
        <w:br/>
        <w:t>その他（不動産等）    約15%     +5〜8%（安定収益源）</w:t>
        <w:br/>
        <w:t>━━━━━━━━━━━━━━━━━━━━━━━━━━━━━━━━</w:t>
      </w:r>
    </w:p>
    <w:p/>
    <w:p>
      <w:r>
        <w:rPr>
          <w:rFonts w:ascii="Meiryo UI" w:hAnsi="Meiryo UI"/>
          <w:sz w:val="20"/>
        </w:rPr>
        <w:t>肥料事業の製品ライン：</w:t>
      </w:r>
    </w:p>
    <w:p>
      <w:pPr>
        <w:pStyle w:val="ListBullet"/>
      </w:pPr>
      <w:r>
        <w:rPr>
          <w:rFonts w:ascii="Meiryo UI" w:hAnsi="Meiryo UI"/>
          <w:sz w:val="20"/>
        </w:rPr>
        <w:t>化成肥料（主力：BB肥料＝バルク混合肥料）</w:t>
      </w:r>
    </w:p>
    <w:p>
      <w:pPr>
        <w:pStyle w:val="ListBullet"/>
      </w:pPr>
      <w:r>
        <w:rPr>
          <w:rFonts w:ascii="Meiryo UI" w:hAnsi="Meiryo UI"/>
          <w:sz w:val="20"/>
        </w:rPr>
        <w:t>有機質肥料・複合肥料</w:t>
      </w:r>
    </w:p>
    <w:p>
      <w:pPr>
        <w:pStyle w:val="ListBullet"/>
      </w:pPr>
      <w:r>
        <w:rPr>
          <w:rFonts w:ascii="Meiryo UI" w:hAnsi="Meiryo UI"/>
          <w:sz w:val="20"/>
        </w:rPr>
        <w:t>緩効性肥料（エコロング等の高付加価値品）</w:t>
      </w:r>
    </w:p>
    <w:p>
      <w:pPr>
        <w:pStyle w:val="ListBullet"/>
      </w:pPr>
      <w:r>
        <w:rPr>
          <w:rFonts w:ascii="Meiryo UI" w:hAnsi="Meiryo UI"/>
          <w:sz w:val="20"/>
        </w:rPr>
        <w:t>石灰質肥料（土壌改良材）</w:t>
      </w:r>
    </w:p>
    <w:p/>
    <w:p>
      <w:r>
        <w:rPr>
          <w:rFonts w:ascii="Meiryo UI" w:hAnsi="Meiryo UI"/>
          <w:sz w:val="20"/>
        </w:rPr>
        <w:t>農薬・農業資材：</w:t>
      </w:r>
    </w:p>
    <w:p>
      <w:pPr>
        <w:pStyle w:val="ListBullet"/>
      </w:pPr>
      <w:r>
        <w:rPr>
          <w:rFonts w:ascii="Meiryo UI" w:hAnsi="Meiryo UI"/>
          <w:sz w:val="20"/>
        </w:rPr>
        <w:t>殺虫剤・殺菌剤・除草剤（自社ブランド＋受託販売）</w:t>
      </w:r>
    </w:p>
    <w:p>
      <w:pPr>
        <w:pStyle w:val="ListBullet"/>
      </w:pPr>
      <w:r>
        <w:rPr>
          <w:rFonts w:ascii="Meiryo UI" w:hAnsi="Meiryo UI"/>
          <w:sz w:val="20"/>
        </w:rPr>
        <w:t>土壌改良剤</w:t>
      </w:r>
    </w:p>
    <w:p>
      <w:pPr>
        <w:pStyle w:val="ListBullet"/>
      </w:pPr>
      <w:r>
        <w:rPr>
          <w:rFonts w:ascii="Meiryo UI" w:hAnsi="Meiryo UI"/>
          <w:sz w:val="20"/>
        </w:rPr>
        <w:t>農業用フィルム・資材</w:t>
      </w:r>
    </w:p>
    <w:p/>
    <w:p>
      <w:pPr>
        <w:pStyle w:val="Heading3"/>
      </w:pPr>
      <w:r>
        <w:rPr>
          <w:rFonts w:ascii="Meiryo UI" w:hAnsi="Meiryo UI"/>
          <w:color w:val="2E74B5"/>
        </w:rPr>
        <w:t>1-3. 競合マッピングと差別化優位性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片倉コープアグリとの比較</w:t>
            </w:r>
          </w:p>
        </w:tc>
      </w:tr>
      <w:tr>
        <w:tc>
          <w:tcPr>
            <w:tcW w:type="dxa" w:w="3135"/>
          </w:tcPr>
          <w:p>
            <w:r>
              <w:rPr>
                <w:rFonts w:ascii="Meiryo UI" w:hAnsi="Meiryo UI"/>
                <w:sz w:val="18"/>
              </w:rPr>
              <w:t>JA全農（直販強化）</w:t>
            </w:r>
          </w:p>
        </w:tc>
        <w:tc>
          <w:tcPr>
            <w:tcW w:type="dxa" w:w="3135"/>
          </w:tcPr>
          <w:p>
            <w:r>
              <w:rPr>
                <w:rFonts w:ascii="Meiryo UI" w:hAnsi="Meiryo UI"/>
                <w:sz w:val="18"/>
              </w:rPr>
              <w:t>販売チャネル独占的優位</w:t>
            </w:r>
          </w:p>
        </w:tc>
        <w:tc>
          <w:tcPr>
            <w:tcW w:type="dxa" w:w="3135"/>
          </w:tcPr>
          <w:p>
            <w:r>
              <w:rPr>
                <w:rFonts w:ascii="Meiryo UI" w:hAnsi="Meiryo UI"/>
                <w:sz w:val="18"/>
              </w:rPr>
              <w:t>最大取引先かつ最大競合リスク</w:t>
            </w:r>
          </w:p>
        </w:tc>
      </w:tr>
      <w:tr>
        <w:tc>
          <w:tcPr>
            <w:tcW w:type="dxa" w:w="3135"/>
            <w:shd w:val="clear" w:color="auto" w:fill="DDEBF7"/>
          </w:tcPr>
          <w:p>
            <w:r>
              <w:rPr>
                <w:rFonts w:ascii="Meiryo UI" w:hAnsi="Meiryo UI"/>
                <w:sz w:val="18"/>
              </w:rPr>
              <w:t>住友化学農業化学部門</w:t>
            </w:r>
          </w:p>
        </w:tc>
        <w:tc>
          <w:tcPr>
            <w:tcW w:type="dxa" w:w="3135"/>
            <w:shd w:val="clear" w:color="auto" w:fill="DDEBF7"/>
          </w:tcPr>
          <w:p>
            <w:r>
              <w:rPr>
                <w:rFonts w:ascii="Meiryo UI" w:hAnsi="Meiryo UI"/>
                <w:sz w:val="18"/>
              </w:rPr>
              <w:t>農薬技術・グローバル展開</w:t>
            </w:r>
          </w:p>
        </w:tc>
        <w:tc>
          <w:tcPr>
            <w:tcW w:type="dxa" w:w="3135"/>
            <w:shd w:val="clear" w:color="auto" w:fill="DDEBF7"/>
          </w:tcPr>
          <w:p>
            <w:r>
              <w:rPr>
                <w:rFonts w:ascii="Meiryo UI" w:hAnsi="Meiryo UI"/>
                <w:sz w:val="18"/>
              </w:rPr>
              <w:t>農薬では劣位、肥料では競合少</w:t>
            </w:r>
          </w:p>
        </w:tc>
      </w:tr>
      <w:tr>
        <w:tc>
          <w:tcPr>
            <w:tcW w:type="dxa" w:w="3135"/>
          </w:tcPr>
          <w:p>
            <w:r>
              <w:rPr>
                <w:rFonts w:ascii="Meiryo UI" w:hAnsi="Meiryo UI"/>
                <w:sz w:val="18"/>
              </w:rPr>
              <w:t>日本農薬（2862）</w:t>
            </w:r>
          </w:p>
        </w:tc>
        <w:tc>
          <w:tcPr>
            <w:tcW w:type="dxa" w:w="3135"/>
          </w:tcPr>
          <w:p>
            <w:r>
              <w:rPr>
                <w:rFonts w:ascii="Meiryo UI" w:hAnsi="Meiryo UI"/>
                <w:sz w:val="18"/>
              </w:rPr>
              <w:t>農薬特化・技術力</w:t>
            </w:r>
          </w:p>
        </w:tc>
        <w:tc>
          <w:tcPr>
            <w:tcW w:type="dxa" w:w="3135"/>
          </w:tcPr>
          <w:p>
            <w:r>
              <w:rPr>
                <w:rFonts w:ascii="Meiryo UI" w:hAnsi="Meiryo UI"/>
                <w:sz w:val="18"/>
              </w:rPr>
              <w:t>セグメントが異なり直接競合低</w:t>
            </w:r>
          </w:p>
        </w:tc>
      </w:tr>
      <w:tr>
        <w:tc>
          <w:tcPr>
            <w:tcW w:type="dxa" w:w="3135"/>
            <w:shd w:val="clear" w:color="auto" w:fill="DDEBF7"/>
          </w:tcPr>
          <w:p>
            <w:r>
              <w:rPr>
                <w:rFonts w:ascii="Meiryo UI" w:hAnsi="Meiryo UI"/>
                <w:sz w:val="18"/>
              </w:rPr>
              <w:t>北海道肥料（地域系）</w:t>
            </w:r>
          </w:p>
        </w:tc>
        <w:tc>
          <w:tcPr>
            <w:tcW w:type="dxa" w:w="3135"/>
            <w:shd w:val="clear" w:color="auto" w:fill="DDEBF7"/>
          </w:tcPr>
          <w:p>
            <w:r>
              <w:rPr>
                <w:rFonts w:ascii="Meiryo UI" w:hAnsi="Meiryo UI"/>
                <w:sz w:val="18"/>
              </w:rPr>
              <w:t>北海道農業への密着</w:t>
            </w:r>
          </w:p>
        </w:tc>
        <w:tc>
          <w:tcPr>
            <w:tcW w:type="dxa" w:w="3135"/>
            <w:shd w:val="clear" w:color="auto" w:fill="DDEBF7"/>
          </w:tcPr>
          <w:p>
            <w:r>
              <w:rPr>
                <w:rFonts w:ascii="Meiryo UI" w:hAnsi="Meiryo UI"/>
                <w:sz w:val="18"/>
              </w:rPr>
              <w:t>地域特化だが全国展開では劣位</w:t>
            </w:r>
          </w:p>
        </w:tc>
      </w:tr>
      <w:tr>
        <w:tc>
          <w:tcPr>
            <w:tcW w:type="dxa" w:w="3135"/>
          </w:tcPr>
          <w:p>
            <w:r>
              <w:rPr>
                <w:rFonts w:ascii="Meiryo UI" w:hAnsi="Meiryo UI"/>
                <w:sz w:val="18"/>
              </w:rPr>
              <w:t>OATアグリオ</w:t>
            </w:r>
          </w:p>
        </w:tc>
        <w:tc>
          <w:tcPr>
            <w:tcW w:type="dxa" w:w="3135"/>
          </w:tcPr>
          <w:p>
            <w:r>
              <w:rPr>
                <w:rFonts w:ascii="Meiryo UI" w:hAnsi="Meiryo UI"/>
                <w:sz w:val="18"/>
              </w:rPr>
              <w:t>水耕・施設園芸特化</w:t>
            </w:r>
          </w:p>
        </w:tc>
        <w:tc>
          <w:tcPr>
            <w:tcW w:type="dxa" w:w="3135"/>
          </w:tcPr>
          <w:p>
            <w:r>
              <w:rPr>
                <w:rFonts w:ascii="Meiryo UI" w:hAnsi="Meiryo UI"/>
                <w:sz w:val="18"/>
              </w:rPr>
              <w:t>ニッチ市場、競合低い</w:t>
            </w:r>
          </w:p>
        </w:tc>
      </w:tr>
    </w:tbl>
    <w:p/>
    <w:p>
      <w:r>
        <w:rPr>
          <w:rFonts w:ascii="Meiryo UI" w:hAnsi="Meiryo UI"/>
          <w:sz w:val="20"/>
        </w:rPr>
        <w:t>片倉コープアグリの差別化優位性：</w:t>
      </w:r>
    </w:p>
    <w:p>
      <w:pPr>
        <w:pStyle w:val="ListNumber"/>
      </w:pPr>
      <w:r>
        <w:rPr>
          <w:rFonts w:ascii="Meiryo UI" w:hAnsi="Meiryo UI"/>
          <w:sz w:val="20"/>
        </w:rPr>
        <w:t>スケールメリット：国内最大級の生産能力→原料一括調達による交渉力</w:t>
      </w:r>
    </w:p>
    <w:p>
      <w:pPr>
        <w:pStyle w:val="ListNumber"/>
      </w:pPr>
      <w:r>
        <w:rPr>
          <w:rFonts w:ascii="Meiryo UI" w:hAnsi="Meiryo UI"/>
          <w:sz w:val="20"/>
        </w:rPr>
        <w:t>JA全農との歴史的紐帯：コープケミカル統合由来の協同組合ネットワーク（売上の推定40〜50%がJA経由）</w:t>
      </w:r>
    </w:p>
    <w:p>
      <w:pPr>
        <w:pStyle w:val="ListNumber"/>
      </w:pPr>
      <w:r>
        <w:rPr>
          <w:rFonts w:ascii="Meiryo UI" w:hAnsi="Meiryo UI"/>
          <w:sz w:val="20"/>
        </w:rPr>
        <w:t>複合提案力：肥料+農薬+土壌改良のワンストップ提案→農家・JA営農指導員への差別化</w:t>
      </w:r>
    </w:p>
    <w:p>
      <w:pPr>
        <w:pStyle w:val="ListNumber"/>
      </w:pPr>
      <w:r>
        <w:rPr>
          <w:rFonts w:ascii="Meiryo UI" w:hAnsi="Meiryo UI"/>
          <w:sz w:val="20"/>
        </w:rPr>
        <w:t>緩効性肥料の技術蓄積：高付加価値製品は単純な価格競争から免れる</w:t>
      </w:r>
    </w:p>
    <w:p/>
    <w:p>
      <w:pPr>
        <w:pStyle w:val="Heading3"/>
      </w:pPr>
      <w:r>
        <w:rPr>
          <w:rFonts w:ascii="Meiryo UI" w:hAnsi="Meiryo UI"/>
          <w:color w:val="2E74B5"/>
        </w:rPr>
        <w:t>1-4. 直近カタリスト整理</w:t>
      </w:r>
    </w:p>
    <w:p/>
    <w:p>
      <w:pPr>
        <w:shd w:val="clear" w:color="auto" w:fill="F2F2F2"/>
      </w:pPr>
      <w:r>
        <w:rPr>
          <w:rFonts w:ascii="Courier New" w:hAnsi="Courier New"/>
          <w:sz w:val="16"/>
        </w:rPr>
        <w:t>カタリスト時系列マップ（2026年）</w:t>
        <w:br/>
        <w:t>━━━━━━━━━━━━━━━━━━━━━━━━━━━━━━━━━━━━━</w:t>
        <w:br/>
        <w:t>4月  ← 今ここ</w:t>
        <w:br/>
        <w:t>│    ホルムズ封鎖継続・尿素$726/t（+54%）</w:t>
        <w:br/>
        <w:t>│    ⬆ 国際肥料価格高止まり局面</w:t>
        <w:br/>
        <w:t>│</w:t>
        <w:br/>
        <w:t>5月  夏季肥料受注期間開始（秋冬作付け向け先行受注）</w:t>
        <w:br/>
        <w:t>│    → 国内販売価格への転嫁議論が本格化</w:t>
        <w:br/>
        <w:t>│    → 1Q決算発表（業績動向の最初の確認ポイント）</w:t>
        <w:br/>
        <w:t>│</w:t>
        <w:br/>
        <w:t>6月  CGコード改訂公表（低PBR企業への資本効率改善要請）</w:t>
        <w:br/>
        <w:t>│    → PBR0.55倍への株主・機関投資家からの圧力増大</w:t>
        <w:br/>
        <w:t>│    → 自社株買い・増配等のアナウンスメント期待</w:t>
        <w:br/>
        <w:t>│</w:t>
        <w:br/>
        <w:t>7-8月 夏季肥料出荷ピーク</w:t>
        <w:br/>
        <w:t>│    → 転嫁価格が実績として業績に反映開始</w:t>
        <w:br/>
        <w:t>│    → 2Q業績上振れ確認</w:t>
        <w:br/>
        <w:t>│</w:t>
        <w:br/>
        <w:t>9-10月 中間決算発表</w:t>
        <w:br/>
        <w:t>│    → ホルムズ長期化シナリオの業績影響数値化</w:t>
        <w:br/>
        <w:t>│</w:t>
        <w:br/>
        <w:t>12月  通期見通し修正（上方修正期待）</w:t>
        <w:br/>
        <w:t>━━━━━━━━━━━━━━━━━━━━━━━━━━━━━━━━━━━━━</w:t>
      </w:r>
    </w:p>
    <w:p/>
    <w:p>
      <w:r>
        <w:t>──────────────────────────────────────────────────</w:t>
      </w:r>
    </w:p>
    <w:p/>
    <w:p>
      <w:pPr>
        <w:pStyle w:val="Heading2"/>
      </w:pPr>
      <w:r>
        <w:rPr>
          <w:rFonts w:ascii="Meiryo UI" w:hAnsi="Meiryo UI"/>
          <w:color w:val="2E74B5"/>
        </w:rPr>
        <w:t>第2章：社長指示重点分析（最優先）</w:t>
      </w:r>
    </w:p>
    <w:p/>
    <w:p>
      <w:pPr>
        <w:pStyle w:val="Heading3"/>
      </w:pPr>
      <w:r>
        <w:rPr>
          <w:rFonts w:ascii="Meiryo UI" w:hAnsi="Meiryo UI"/>
          <w:color w:val="2E74B5"/>
        </w:rPr>
        <w:t>① 事業構造の精査</w:t>
      </w:r>
    </w:p>
    <w:p/>
    <w:p>
      <w:pPr>
        <w:pStyle w:val="Heading4"/>
      </w:pPr>
      <w:r>
        <w:rPr>
          <w:rFonts w:ascii="Meiryo UI" w:hAnsi="Meiryo UI"/>
          <w:color w:val="2E74B5"/>
        </w:rPr>
        <w:t>肥料・農薬・農業資材の売上構成比と収益性</w:t>
      </w:r>
    </w:p>
    <w:p/>
    <w:p>
      <w:r>
        <w:rPr>
          <w:rFonts w:ascii="Meiryo UI" w:hAnsi="Meiryo UI"/>
          <w:sz w:val="20"/>
        </w:rPr>
        <w:t>肥料事業（売上比率約55%）の収益構造の特殊性：</w:t>
      </w:r>
    </w:p>
    <w:p/>
    <w:p>
      <w:r>
        <w:rPr>
          <w:rFonts w:ascii="Meiryo UI" w:hAnsi="Meiryo UI"/>
          <w:sz w:val="20"/>
        </w:rPr>
        <w:t>肥料事業は「原料価格連動型低マージンビジネス」が基本構造である。主原料（尿素・アンモニア・リン酸・カリ）を輸入し、加工・混合して販売するため、原料価格上昇局面では一時的にマージンが圧縮される。しかし、今回のホルムズショックは構造的に異なる。</w:t>
      </w:r>
    </w:p>
    <w:p/>
    <w:p>
      <w:pPr>
        <w:shd w:val="clear" w:color="auto" w:fill="F2F2F2"/>
      </w:pPr>
      <w:r>
        <w:rPr>
          <w:rFonts w:ascii="Courier New" w:hAnsi="Courier New"/>
          <w:sz w:val="16"/>
        </w:rPr>
        <w:t>肥料事業のP&amp;L構造（推定）</w:t>
        <w:br/>
        <w:t>━━━━━━━━━━━━━━━━━━━━━━━━━━━━━━━━</w:t>
        <w:br/>
        <w:t>売上高（肥料）        100%</w:t>
        <w:br/>
        <w:t>原料費               約65〜70%  ← 尿素・アンモニア・リン鉱石等</w:t>
        <w:br/>
        <w:t>加工費・物流費        約15%</w:t>
        <w:br/>
        <w:t>粗利                 約15〜20%</w:t>
        <w:br/>
        <w:t>SGA                  約12〜15%</w:t>
        <w:br/>
        <w:t>営業利益             約0〜5%（通常時）</w:t>
        <w:br/>
        <w:t>━━━━━━━━━━━━━━━━━━━━━━━━━━━━━━━━</w:t>
      </w:r>
    </w:p>
    <w:p/>
    <w:p>
      <w:r>
        <w:rPr>
          <w:rFonts w:ascii="Meiryo UI" w:hAnsi="Meiryo UI"/>
          <w:sz w:val="20"/>
        </w:rPr>
        <w:t>農薬・農業資材事業（売上比率約30%）：</w:t>
      </w:r>
    </w:p>
    <w:p>
      <w:r>
        <w:rPr>
          <w:rFonts w:ascii="Meiryo UI" w:hAnsi="Meiryo UI"/>
          <w:sz w:val="20"/>
        </w:rPr>
        <w:t>農薬事業は肥料より高マージン（営業利益率3〜5%推定）。原料はほぼ国内・アジア系調達で中東依存は限定的。ホルムズショックの直接影響は小さく、農家の所得向上（肥料高→食料価格高→農業収益増）による購買力向上という間接正影響が期待される。</w:t>
      </w:r>
    </w:p>
    <w:p/>
    <w:p>
      <w:pPr>
        <w:pStyle w:val="Heading4"/>
      </w:pPr>
      <w:r>
        <w:rPr>
          <w:rFonts w:ascii="Meiryo UI" w:hAnsi="Meiryo UI"/>
          <w:color w:val="2E74B5"/>
        </w:rPr>
        <w:t>JA全農との関係性</w:t>
      </w:r>
    </w:p>
    <w:p/>
    <w:p>
      <w:r>
        <w:rPr>
          <w:rFonts w:ascii="Meiryo UI" w:hAnsi="Meiryo UI"/>
          <w:sz w:val="20"/>
        </w:rPr>
        <w:t>JA全農はこの会社にとって「最大の顧客であり、最大のリスク源」という二重性を持つ。</w:t>
      </w:r>
    </w:p>
    <w:p/>
    <w:p>
      <w:pPr>
        <w:pStyle w:val="ListBullet"/>
      </w:pPr>
      <w:r>
        <w:rPr>
          <w:rFonts w:ascii="Meiryo UI" w:hAnsi="Meiryo UI"/>
          <w:sz w:val="20"/>
        </w:rPr>
        <w:t>取引依存度： 売上の推定40〜50%がJA全農・系統農協経由</w:t>
      </w:r>
    </w:p>
    <w:p>
      <w:pPr>
        <w:pStyle w:val="ListBullet"/>
      </w:pPr>
      <w:r>
        <w:rPr>
          <w:rFonts w:ascii="Meiryo UI" w:hAnsi="Meiryo UI"/>
          <w:sz w:val="20"/>
        </w:rPr>
        <w:t>協定・長期契約： コープケミカル由来の歴史的関係により安定的な発注基盤</w:t>
      </w:r>
    </w:p>
    <w:p>
      <w:pPr>
        <w:pStyle w:val="ListBullet"/>
      </w:pPr>
      <w:r>
        <w:rPr>
          <w:rFonts w:ascii="Meiryo UI" w:hAnsi="Meiryo UI"/>
          <w:sz w:val="20"/>
        </w:rPr>
        <w:t>リスク： 全農が内製化・直接輸入を強化した場合の取引減少（⑧で詳述）</w:t>
      </w:r>
    </w:p>
    <w:p>
      <w:pPr>
        <w:pStyle w:val="ListBullet"/>
      </w:pPr>
      <w:r>
        <w:rPr>
          <w:rFonts w:ascii="Meiryo UI" w:hAnsi="Meiryo UI"/>
          <w:sz w:val="20"/>
        </w:rPr>
        <w:t>強み： 系統農協の営農指導員との深い関係→現場での製品推奨力</w:t>
      </w:r>
    </w:p>
    <w:p/>
    <w:p>
      <w:r>
        <w:t>──────────────────────────────────────────────────</w:t>
      </w:r>
    </w:p>
    <w:p/>
    <w:p>
      <w:pPr>
        <w:pStyle w:val="Heading3"/>
      </w:pPr>
      <w:r>
        <w:rPr>
          <w:rFonts w:ascii="Meiryo UI" w:hAnsi="Meiryo UI"/>
          <w:color w:val="2E74B5"/>
        </w:rPr>
        <w:t>② ホルムズショックの業績インパクト試算</w:t>
      </w:r>
    </w:p>
    <w:p/>
    <w:p>
      <w:pPr>
        <w:pStyle w:val="Heading4"/>
      </w:pPr>
      <w:r>
        <w:rPr>
          <w:rFonts w:ascii="Meiryo UI" w:hAnsi="Meiryo UI"/>
          <w:color w:val="2E74B5"/>
        </w:rPr>
        <w:t>（A）原料調達コストと中東依存度</w:t>
      </w:r>
    </w:p>
    <w:p/>
    <w:p>
      <w:r>
        <w:rPr>
          <w:rFonts w:ascii="Meiryo UI" w:hAnsi="Meiryo UI"/>
          <w:sz w:val="20"/>
        </w:rPr>
        <w:t>原料調達の地理的分散（推定）：</w:t>
      </w:r>
    </w:p>
    <w:p/>
    <w:p>
      <w:pPr>
        <w:shd w:val="clear" w:color="auto" w:fill="F2F2F2"/>
      </w:pPr>
      <w:r>
        <w:rPr>
          <w:rFonts w:ascii="Courier New" w:hAnsi="Courier New"/>
          <w:sz w:val="16"/>
        </w:rPr>
        <w:t>原料別調達先マトリクス（推定）</w:t>
        <w:br/>
        <w:t>━━━━━━━━━━━━━━━━━━━━━━━━━━━━━━━━━━━━</w:t>
        <w:br/>
        <w:t>原料      調達量比  主要調達先        ホルムズ依存度</w:t>
        <w:br/>
        <w:t>━━━━━━━━━━━━━━━━━━━━━━━━━━━━━━━━━━━━</w:t>
        <w:br/>
        <w:t>尿素      約30%    中国・マレーシア   低（中東10%以下推定）</w:t>
        <w:br/>
        <w:t>アンモニア 約20%    中東・ロシア・中国  中（中東20〜30%推定）</w:t>
        <w:br/>
        <w:t>リン酸塩  約20%    モロッコ・中国     低（中東依存なし）</w:t>
        <w:br/>
        <w:t>塩化カリ  約15%    カナダ・ベラルーシ  低（中東依存なし）</w:t>
        <w:br/>
        <w:t>その他    約15%    国内・多様         ―</w:t>
        <w:br/>
        <w:t>━━━━━━━━━━━━━━━━━━━━━━━━━━━━━━━━━━━━</w:t>
      </w:r>
    </w:p>
    <w:p/>
    <w:p>
      <w:r>
        <w:rPr>
          <w:rFonts w:ascii="Meiryo UI" w:hAnsi="Meiryo UI"/>
          <w:sz w:val="20"/>
        </w:rPr>
        <w:t>重要な構造的ポイント：</w:t>
      </w:r>
    </w:p>
    <w:p>
      <w:r>
        <w:rPr>
          <w:rFonts w:ascii="Meiryo UI" w:hAnsi="Meiryo UI"/>
          <w:sz w:val="20"/>
        </w:rPr>
        <w:t>日本の農業資材業界は、2022年ウクライナ戦争後の教訓から調達先多様化を進めており、中東依存度は従来比で低下している。カタール産尿素への直接依存は業界全体で5〜10%程度に留まると推定。</w:t>
      </w:r>
    </w:p>
    <w:p/>
    <w:p>
      <w:r>
        <w:rPr>
          <w:rFonts w:ascii="Meiryo UI" w:hAnsi="Meiryo UI"/>
          <w:sz w:val="20"/>
        </w:rPr>
        <w:t>しかし、国際市場での尿素価格そのものが$726/t（+54%）に跳ね上がっているため、代替調達先（中国・マレーシア等）からの調達コストも連動して上昇する。これが問題の本質である。</w:t>
      </w:r>
    </w:p>
    <w:p/>
    <w:p>
      <w:r>
        <w:rPr>
          <w:rFonts w:ascii="Meiryo UI" w:hAnsi="Meiryo UI"/>
          <w:sz w:val="20"/>
        </w:rPr>
        <w:t>在庫効果（ポジティブ）：</w:t>
      </w:r>
    </w:p>
    <w:p>
      <w:r>
        <w:rPr>
          <w:rFonts w:ascii="Meiryo UI" w:hAnsi="Meiryo UI"/>
          <w:sz w:val="20"/>
        </w:rPr>
        <w:t>政府・業界の3ヶ月備蓄政策の下、片倉コープアグリが保有する既調達在庫（現時点で低コストで積み上げた分）の帳簿外含み益が発生している可能性がある。後述のNAV分析で試算する。</w:t>
      </w:r>
    </w:p>
    <w:p/>
    <w:p>
      <w:pPr>
        <w:pStyle w:val="Heading4"/>
      </w:pPr>
      <w:r>
        <w:rPr>
          <w:rFonts w:ascii="Meiryo UI" w:hAnsi="Meiryo UI"/>
          <w:color w:val="2E74B5"/>
        </w:rPr>
        <w:t>（B）販売価格への転嫁力</w:t>
      </w:r>
    </w:p>
    <w:p/>
    <w:p>
      <w:r>
        <w:rPr>
          <w:rFonts w:ascii="Meiryo UI" w:hAnsi="Meiryo UI"/>
          <w:sz w:val="20"/>
        </w:rPr>
        <w:t>転嫁メカニズムの解剖：</w:t>
      </w:r>
    </w:p>
    <w:p/>
    <w:p>
      <w:pPr>
        <w:shd w:val="clear" w:color="auto" w:fill="F2F2F2"/>
      </w:pPr>
      <w:r>
        <w:rPr>
          <w:rFonts w:ascii="Courier New" w:hAnsi="Courier New"/>
          <w:sz w:val="16"/>
        </w:rPr>
        <w:t>国内肥料価格の決定プロセス</w:t>
        <w:br/>
        <w:t>━━━━━━━━━━━━━━━━━━━━━━━━━━━━━━━━━━━━</w:t>
        <w:br/>
        <w:t>国際市場価格（FOB）</w:t>
        <w:br/>
        <w:t xml:space="preserve">    ↓ 海上運賃・港湾コスト加算</w:t>
        <w:br/>
        <w:t>日本CIF価格</w:t>
        <w:br/>
        <w:t xml:space="preserve">    ↓ 業界団体（日本肥料アンモニア協会等）での価格調整</w:t>
        <w:br/>
        <w:t>JA全農への卸売価格（半年〜1年ラグ）</w:t>
        <w:br/>
        <w:t xml:space="preserve">    ↓ 系統農協マージン</w:t>
        <w:br/>
        <w:t>農家への販売価格</w:t>
        <w:br/>
        <w:t>━━━━━━━━━━━━━━━━━━━━━━━━━━━━━━━━━━━━</w:t>
      </w:r>
    </w:p>
    <w:p/>
    <w:p>
      <w:r>
        <w:rPr>
          <w:rFonts w:ascii="Meiryo UI" w:hAnsi="Meiryo UI"/>
          <w:sz w:val="20"/>
        </w:rPr>
        <w:t>転嫁力の評価：</w:t>
      </w:r>
    </w:p>
    <w:p>
      <w:pPr>
        <w:pStyle w:val="ListBullet"/>
      </w:pPr>
      <w:r>
        <w:rPr>
          <w:rFonts w:ascii="Meiryo UI" w:hAnsi="Meiryo UI"/>
          <w:sz w:val="20"/>
        </w:rPr>
        <w:t>転嫁可能性：中〜高。2022年ウクライナ戦争時に業界全体で大幅値上げを実施した前例あり。農水省も「肥料コスト緊急対策」を通じて価格転嫁を政策的に後押し。</w:t>
      </w:r>
    </w:p>
    <w:p>
      <w:pPr>
        <w:pStyle w:val="ListBullet"/>
      </w:pPr>
      <w:r>
        <w:rPr>
          <w:rFonts w:ascii="Meiryo UI" w:hAnsi="Meiryo UI"/>
          <w:sz w:val="20"/>
        </w:rPr>
        <w:t>農家の購買力： 食料安全保障の観点から政府補助金（肥料コスト低減緊急対策等）の発動実績がある。農家が購入できない状況→補助金発動→業者の売上は守られる構造。</w:t>
      </w:r>
    </w:p>
    <w:p>
      <w:pPr>
        <w:pStyle w:val="ListBullet"/>
      </w:pPr>
      <w:r>
        <w:rPr>
          <w:rFonts w:ascii="Meiryo UI" w:hAnsi="Meiryo UI"/>
          <w:sz w:val="20"/>
        </w:rPr>
        <w:t>ラグリスク： 国際価格→国内転嫁には6〜12ヶ月のラグが発生することが多い。今回ホルムズショックが4月→夏季受注期間（5〜6月）→秋冬出荷（7〜9月）と農業カレンダーに絶妙に重なるため、ラグが短縮される可能性が高い。</w:t>
      </w:r>
    </w:p>
    <w:p/>
    <w:p>
      <w:r>
        <w:rPr>
          <w:rFonts w:ascii="Meiryo UI" w:hAnsi="Meiryo UI"/>
          <w:sz w:val="20"/>
        </w:rPr>
        <w:t>業績インパクト試算（転嫁シナリオ）：</w:t>
      </w:r>
    </w:p>
    <w:p/>
    <w:p>
      <w:pPr>
        <w:shd w:val="clear" w:color="auto" w:fill="F2F2F2"/>
      </w:pPr>
      <w:r>
        <w:rPr>
          <w:rFonts w:ascii="Courier New" w:hAnsi="Courier New"/>
          <w:sz w:val="16"/>
        </w:rPr>
        <w:t>シナリオA：50%転嫁（保守的）</w:t>
        <w:br/>
        <w:t xml:space="preserve">  原料コスト増加（尿素+54%×調達比率30%×売上55%）≒ +8〜9%コスト増</w:t>
        <w:br/>
        <w:t xml:space="preserve">  うち転嫁分（50%）≒ 売上+4〜4.5%</w:t>
        <w:br/>
        <w:t xml:space="preserve">  マージン影響：▲4〜4.5%相当のコスト残留</w:t>
        <w:br/>
        <w:t xml:space="preserve">  → 営業利益への影響：▲3〜4億円程度</w:t>
        <w:br/>
        <w:br/>
        <w:t>シナリオB：80%転嫁（標準的）</w:t>
        <w:br/>
        <w:t xml:space="preserve">  転嫁分≒ 売上+7〜8%</w:t>
        <w:br/>
        <w:t xml:space="preserve">  マージン影響：残留コスト▲1〜2%</w:t>
        <w:br/>
        <w:t xml:space="preserve">  → 営業利益への影響：約ニュートラル〜微プラス</w:t>
        <w:br/>
        <w:br/>
        <w:t>シナリオC：100%超転嫁＋在庫含み益実現（強気）</w:t>
        <w:br/>
        <w:t xml:space="preserve">  在庫の値上がり益（低コスト在庫×高価格販売）</w:t>
        <w:br/>
        <w:t xml:space="preserve">  → 営業利益：前年比+5〜10億円の押し上げ効果</w:t>
      </w:r>
    </w:p>
    <w:p/>
    <w:p>
      <w:pPr>
        <w:pStyle w:val="Heading4"/>
      </w:pPr>
      <w:r>
        <w:rPr>
          <w:rFonts w:ascii="Meiryo UI" w:hAnsi="Meiryo UI"/>
          <w:color w:val="2E74B5"/>
        </w:rPr>
        <w:t>（C）在庫・備蓄の恩恵</w:t>
      </w:r>
    </w:p>
    <w:p/>
    <w:p>
      <w:r>
        <w:rPr>
          <w:rFonts w:ascii="Meiryo UI" w:hAnsi="Meiryo UI"/>
          <w:sz w:val="20"/>
        </w:rPr>
        <w:t>在庫含み益の試算（重要）：</w:t>
      </w:r>
    </w:p>
    <w:p/>
    <w:p>
      <w:r>
        <w:rPr>
          <w:rFonts w:ascii="Meiryo UI" w:hAnsi="Meiryo UI"/>
          <w:sz w:val="20"/>
        </w:rPr>
        <w:t>政府の業界備蓄義務（3ヶ月相当）をベースとした試算：</w:t>
      </w:r>
    </w:p>
    <w:p/>
    <w:p>
      <w:pPr>
        <w:shd w:val="clear" w:color="auto" w:fill="F2F2F2"/>
      </w:pPr>
      <w:r>
        <w:rPr>
          <w:rFonts w:ascii="Courier New" w:hAnsi="Courier New"/>
          <w:sz w:val="16"/>
        </w:rPr>
        <w:t>在庫含み益の試算</w:t>
        <w:br/>
        <w:t>━━━━━━━━━━━━━━━━━━━━━━━━━━━━━━━━━━━━</w:t>
        <w:br/>
        <w:t>前提：</w:t>
        <w:br/>
        <w:t xml:space="preserve">  年間尿素調達量（推定）：約5〜8万トン</w:t>
        <w:br/>
        <w:t xml:space="preserve">  3ヶ月備蓄：約1.5〜2万トン</w:t>
        <w:br/>
        <w:t xml:space="preserve">  調達時価格（仮定）：$400〜470/t（2025年末〜2026年初）</w:t>
        <w:br/>
        <w:t xml:space="preserve">  現在価格：$726/t（+54%）</w:t>
        <w:br/>
        <w:t xml:space="preserve">  為替（USD/JPY）：約150円で換算</w:t>
        <w:br/>
        <w:br/>
        <w:t>含み益試算：</w:t>
        <w:br/>
        <w:t xml:space="preserve">  数量：約15,000〜20,000トン</w:t>
        <w:br/>
        <w:t xml:space="preserve">  価格差：$726 - $450（平均取得想定）= $276/t</w:t>
        <w:br/>
        <w:t xml:space="preserve">  含み益：$276 × 17,500トン ≈ $4.83M ≈ 約7.2億円</w:t>
        <w:br/>
        <w:br/>
        <w:t>（注）アンモニア・その他原料を含む場合、含み益総計は10〜15億円規模に達する可能性</w:t>
        <w:br/>
        <w:t>━━━━━━━━━━━━━━━━━━━━━━━━━━━━━━━━━━━━</w:t>
      </w:r>
    </w:p>
    <w:p/>
    <w:p>
      <w:r>
        <w:rPr>
          <w:rFonts w:ascii="Meiryo UI" w:hAnsi="Meiryo UI"/>
          <w:sz w:val="20"/>
        </w:rPr>
        <w:t>結論： 在庫含み益が実現益として計上されるタイミング（夏季出荷期）に業績上振れが発生する可能性が高い。</w:t>
      </w:r>
    </w:p>
    <w:p/>
    <w:p>
      <w:r>
        <w:t>──────────────────────────────────────────────────</w:t>
      </w:r>
    </w:p>
    <w:p/>
    <w:p>
      <w:pPr>
        <w:pStyle w:val="Heading3"/>
      </w:pPr>
      <w:r>
        <w:rPr>
          <w:rFonts w:ascii="Meiryo UI" w:hAnsi="Meiryo UI"/>
          <w:color w:val="2E74B5"/>
        </w:rPr>
        <w:t>③ カタリストのタイムライン分析</w:t>
      </w:r>
    </w:p>
    <w:p/>
    <w:p>
      <w:pPr>
        <w:pStyle w:val="Heading4"/>
      </w:pPr>
      <w:r>
        <w:rPr>
          <w:rFonts w:ascii="Meiryo UI" w:hAnsi="Meiryo UI"/>
          <w:color w:val="2E74B5"/>
        </w:rPr>
        <w:t>（A）短期カタリスト（1〜3ヶ月）</w:t>
      </w:r>
    </w:p>
    <w:p/>
    <w:p>
      <w:r>
        <w:rPr>
          <w:rFonts w:ascii="Meiryo UI" w:hAnsi="Meiryo UI"/>
          <w:sz w:val="20"/>
        </w:rPr>
        <w:t>夏季受注シーズンの国際価格波及：</w:t>
      </w:r>
    </w:p>
    <w:p/>
    <w:p>
      <w:r>
        <w:rPr>
          <w:rFonts w:ascii="Meiryo UI" w:hAnsi="Meiryo UI"/>
          <w:sz w:val="20"/>
        </w:rPr>
        <w:t>日本の農業カレンダーにおいて、秋冬作（水稲追肥・麦・野菜等）向けの肥料受注は5〜7月に集中する。この時期の発注価格が2026年夏〜秋の業績を決定する。</w:t>
      </w:r>
    </w:p>
    <w:p/>
    <w:p>
      <w:pPr>
        <w:pStyle w:val="ListBullet"/>
      </w:pPr>
      <w:r>
        <w:rPr>
          <w:rFonts w:ascii="Meiryo UI" w:hAnsi="Meiryo UI"/>
          <w:sz w:val="20"/>
        </w:rPr>
        <w:t>現状（4月）： 尿素$726/t→業界内で値上げ交渉が既に開始されているとみられる</w:t>
      </w:r>
    </w:p>
    <w:p>
      <w:pPr>
        <w:pStyle w:val="ListBullet"/>
      </w:pPr>
      <w:r>
        <w:rPr>
          <w:rFonts w:ascii="Meiryo UI" w:hAnsi="Meiryo UI"/>
          <w:sz w:val="20"/>
        </w:rPr>
        <w:t>5月（1ヶ月後）： JA全農への新価格提示→業界の値上げ方向性確定</w:t>
      </w:r>
    </w:p>
    <w:p>
      <w:pPr>
        <w:pStyle w:val="ListBullet"/>
      </w:pPr>
      <w:r>
        <w:rPr>
          <w:rFonts w:ascii="Meiryo UI" w:hAnsi="Meiryo UI"/>
          <w:sz w:val="20"/>
        </w:rPr>
        <w:t>6月（2ヶ月後）： 夏季受注本格化→転嫁率が数値として確認可能</w:t>
      </w:r>
    </w:p>
    <w:p>
      <w:pPr>
        <w:pStyle w:val="ListBullet"/>
      </w:pPr>
      <w:r>
        <w:rPr>
          <w:rFonts w:ascii="Meiryo UI" w:hAnsi="Meiryo UI"/>
          <w:sz w:val="20"/>
        </w:rPr>
        <w:t>7月（3ヶ月後）： 1Q決算→在庫含み益の一部計上確認</w:t>
      </w:r>
    </w:p>
    <w:p/>
    <w:p>
      <w:r>
        <w:rPr>
          <w:rFonts w:ascii="Meiryo UI" w:hAnsi="Meiryo UI"/>
          <w:sz w:val="20"/>
        </w:rPr>
        <w:t>株価トリガー確認ポイント：</w:t>
      </w:r>
    </w:p>
    <w:p>
      <w:r>
        <w:rPr>
          <w:rFonts w:ascii="Meiryo UI" w:hAnsi="Meiryo UI"/>
          <w:sz w:val="20"/>
        </w:rPr>
        <w:t>①業界団体の肥料価格改定アナウンス ②農水省の肥料コスト対策補助金発表 ③片倉コープアグリの1Q決算サプライズ</w:t>
      </w:r>
    </w:p>
    <w:p/>
    <w:p>
      <w:pPr>
        <w:pStyle w:val="Heading4"/>
      </w:pPr>
      <w:r>
        <w:rPr>
          <w:rFonts w:ascii="Meiryo UI" w:hAnsi="Meiryo UI"/>
          <w:color w:val="2E74B5"/>
        </w:rPr>
        <w:t>（B）中期カタリスト（3〜6ヶ月）</w:t>
      </w:r>
    </w:p>
    <w:p/>
    <w:p>
      <w:r>
        <w:rPr>
          <w:rFonts w:ascii="Meiryo UI" w:hAnsi="Meiryo UI"/>
          <w:sz w:val="20"/>
        </w:rPr>
        <w:t>CGコード改訂（2026年6月公表）：</w:t>
      </w:r>
    </w:p>
    <w:p/>
    <w:p>
      <w:r>
        <w:rPr>
          <w:rFonts w:ascii="Meiryo UI" w:hAnsi="Meiryo UI"/>
          <w:sz w:val="20"/>
        </w:rPr>
        <w:t>東京証券取引所のコーポレートガバナンス・コード改訂において、PBR1.0倍以下の企業に対する具体的な資本効率改善計画の策定・開示義務化が盛り込まれると予想されている（2023年プライム市場改革の延長線上）。</w:t>
      </w:r>
    </w:p>
    <w:p/>
    <w:p>
      <w:r>
        <w:rPr>
          <w:rFonts w:ascii="Meiryo UI" w:hAnsi="Meiryo UI"/>
          <w:sz w:val="20"/>
        </w:rPr>
        <w:t>PBR0.55倍という極端な割安水準は、コード改訂後に以下のアクションを強制する：</w:t>
      </w:r>
    </w:p>
    <w:p/>
    <w:p>
      <w:pPr>
        <w:shd w:val="clear" w:color="auto" w:fill="F2F2F2"/>
      </w:pPr>
      <w:r>
        <w:rPr>
          <w:rFonts w:ascii="Courier New" w:hAnsi="Courier New"/>
          <w:sz w:val="16"/>
        </w:rPr>
        <w:t>資本効率改善オプションの効果試算</w:t>
        <w:br/>
        <w:t>━━━━━━━━━━━━━━━━━━━━━━━━━━━━━━━━━━━━━━━</w:t>
        <w:br/>
        <w:t>オプション       規模想定      PBR改善効果    深井評価</w:t>
        <w:br/>
        <w:t>━━━━━━━━━━━━━━━━━━━━━━━━━━━━━━━━━━━━━━━</w:t>
        <w:br/>
        <w:t>自社株買い      30〜50億円    +0.05〜0.10倍  最も即効性あり★</w:t>
        <w:br/>
        <w:t>増配（配当利回り強化）  配当30〜40円/株  PER改善効果  中期的★★</w:t>
        <w:br/>
        <w:t>保有株式売却（政策保有）  推定50〜100億円  BPS向上     中期★</w:t>
        <w:br/>
        <w:t>M&amp;A（農業IoT等）  100億円規模   ROE改善      長期△</w:t>
        <w:br/>
        <w:t>不採算事業売却   50〜80億円    ROE改善      中期★★</w:t>
        <w:br/>
        <w:t>━━━━━━━━━━━━━━━━━━━━━━━━━━━━━━━━━━━━━━━</w:t>
      </w:r>
    </w:p>
    <w:p/>
    <w:p>
      <w:r>
        <w:rPr>
          <w:rFonts w:ascii="Meiryo UI" w:hAnsi="Meiryo UI"/>
          <w:sz w:val="20"/>
        </w:rPr>
        <w:t>深井見解： 最も効果的なのは「自社株買い＋増配の同時実施」。自己資本剰余金は潤沢（BPS¥2,519×発行株数→純資産が株価時価総額の約1.8倍）であり、財務的余力は存在する。CGコード改訂が具体的なアクション発表の引き金になる可能性が高い。</w:t>
      </w:r>
    </w:p>
    <w:p/>
    <w:p>
      <w:r>
        <w:rPr>
          <w:rFonts w:ascii="Meiryo UI" w:hAnsi="Meiryo UI"/>
          <w:sz w:val="20"/>
        </w:rPr>
        <w:t>カタリスト確認ポイント： 6月の取締役会での資本政策見直し発表→アナウンスメント効果で+10〜20%の株価上昇余地</w:t>
      </w:r>
    </w:p>
    <w:p/>
    <w:p>
      <w:pPr>
        <w:pStyle w:val="Heading4"/>
      </w:pPr>
      <w:r>
        <w:rPr>
          <w:rFonts w:ascii="Meiryo UI" w:hAnsi="Meiryo UI"/>
          <w:color w:val="2E74B5"/>
        </w:rPr>
        <w:t>（C）長期カタリスト（6ヶ月〜）</w:t>
      </w:r>
    </w:p>
    <w:p/>
    <w:p>
      <w:r>
        <w:rPr>
          <w:rFonts w:ascii="Meiryo UI" w:hAnsi="Meiryo UI"/>
          <w:sz w:val="20"/>
        </w:rPr>
        <w:t>食料安全保障の制度的強化：</w:t>
      </w:r>
    </w:p>
    <w:p/>
    <w:p>
      <w:r>
        <w:rPr>
          <w:rFonts w:ascii="Meiryo UI" w:hAnsi="Meiryo UI"/>
          <w:sz w:val="20"/>
        </w:rPr>
        <w:t>2022年の食料安全保障強化政策大綱以降、農業資材の国産化・安定供給は政府の重要政策課題となっている。</w:t>
      </w:r>
    </w:p>
    <w:p/>
    <w:p>
      <w:pPr>
        <w:pStyle w:val="ListBullet"/>
      </w:pPr>
      <w:r>
        <w:rPr>
          <w:rFonts w:ascii="Meiryo UI" w:hAnsi="Meiryo UI"/>
          <w:sz w:val="20"/>
        </w:rPr>
        <w:t>農業資材国産化補助金： 国産肥料原料（家畜ふん堆肥・下水汚泥資源）の活用促進に国補助金</w:t>
      </w:r>
    </w:p>
    <w:p>
      <w:pPr>
        <w:pStyle w:val="ListBullet"/>
      </w:pPr>
      <w:r>
        <w:rPr>
          <w:rFonts w:ascii="Meiryo UI" w:hAnsi="Meiryo UI"/>
          <w:sz w:val="20"/>
        </w:rPr>
        <w:t>戦略的備蓄の法制化： 3ヶ月備蓄が法定化される可能性→片倉の備蓄在庫価値向上</w:t>
      </w:r>
    </w:p>
    <w:p>
      <w:pPr>
        <w:pStyle w:val="ListBullet"/>
      </w:pPr>
      <w:r>
        <w:rPr>
          <w:rFonts w:ascii="Meiryo UI" w:hAnsi="Meiryo UI"/>
          <w:sz w:val="20"/>
        </w:rPr>
        <w:t>輸入代替需要の恩恵： 中東依存からの脱却政策→国内製造・加工への資本投下促進</w:t>
      </w:r>
    </w:p>
    <w:p/>
    <w:p>
      <w:r>
        <w:rPr>
          <w:rFonts w:ascii="Meiryo UI" w:hAnsi="Meiryo UI"/>
          <w:sz w:val="20"/>
        </w:rPr>
        <w:t>最大の長期変数： 食料安全保障法制の具体化（農水省の2026年度予算配分）が2026年秋〜2027年度にかけて判明する。</w:t>
      </w:r>
    </w:p>
    <w:p/>
    <w:p>
      <w:r>
        <w:t>──────────────────────────────────────────────────</w:t>
      </w:r>
    </w:p>
    <w:p/>
    <w:p>
      <w:pPr>
        <w:pStyle w:val="Heading3"/>
      </w:pPr>
      <w:r>
        <w:rPr>
          <w:rFonts w:ascii="Meiryo UI" w:hAnsi="Meiryo UI"/>
          <w:color w:val="2E74B5"/>
        </w:rPr>
        <w:t>④ 財務状況の定量把握（yfinance確認値）</w:t>
      </w:r>
    </w:p>
    <w:p/>
    <w:p>
      <w:pPr>
        <w:pStyle w:val="Heading4"/>
      </w:pPr>
      <w:r>
        <w:rPr>
          <w:rFonts w:ascii="Meiryo UI" w:hAnsi="Meiryo UI"/>
          <w:color w:val="2E74B5"/>
        </w:rPr>
        <w:t>yfinanceリアルタイム取得値（厳守）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出典</w:t>
            </w:r>
          </w:p>
        </w:tc>
      </w:tr>
      <w:tr>
        <w:tc>
          <w:tcPr>
            <w:tcW w:type="dxa" w:w="3135"/>
          </w:tcPr>
          <w:p>
            <w:r>
              <w:rPr>
                <w:rFonts w:ascii="Meiryo UI" w:hAnsi="Meiryo UI"/>
                <w:sz w:val="18"/>
              </w:rPr>
              <w:t>現在株価</w:t>
            </w:r>
          </w:p>
        </w:tc>
        <w:tc>
          <w:tcPr>
            <w:tcW w:type="dxa" w:w="3135"/>
          </w:tcPr>
          <w:p>
            <w:r>
              <w:rPr>
                <w:rFonts w:ascii="Meiryo UI" w:hAnsi="Meiryo UI"/>
                <w:sz w:val="18"/>
              </w:rPr>
              <w:t>¥1,383</w:t>
            </w:r>
          </w:p>
        </w:tc>
        <w:tc>
          <w:tcPr>
            <w:tcW w:type="dxa" w:w="3135"/>
          </w:tcPr>
          <w:p>
            <w:r>
              <w:rPr>
                <w:rFonts w:ascii="Meiryo UI" w:hAnsi="Meiryo UI"/>
                <w:sz w:val="18"/>
              </w:rPr>
              <w:t>Yahoo Finance 2026-04-07</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0.55倍</w:t>
            </w:r>
          </w:p>
        </w:tc>
        <w:tc>
          <w:tcPr>
            <w:tcW w:type="dxa" w:w="3135"/>
            <w:shd w:val="clear" w:color="auto" w:fill="DDEBF7"/>
          </w:tcPr>
          <w:p>
            <w:r>
              <w:rPr>
                <w:rFonts w:ascii="Meiryo UI" w:hAnsi="Meiryo UI"/>
                <w:sz w:val="18"/>
              </w:rPr>
              <w:t>yfinance確認値</w:t>
            </w:r>
          </w:p>
        </w:tc>
      </w:tr>
      <w:tr>
        <w:tc>
          <w:tcPr>
            <w:tcW w:type="dxa" w:w="3135"/>
          </w:tcPr>
          <w:p>
            <w:r>
              <w:rPr>
                <w:rFonts w:ascii="Meiryo UI" w:hAnsi="Meiryo UI"/>
                <w:sz w:val="18"/>
              </w:rPr>
              <w:t>BPS</w:t>
            </w:r>
          </w:p>
        </w:tc>
        <w:tc>
          <w:tcPr>
            <w:tcW w:type="dxa" w:w="3135"/>
          </w:tcPr>
          <w:p>
            <w:r>
              <w:rPr>
                <w:rFonts w:ascii="Meiryo UI" w:hAnsi="Meiryo UI"/>
                <w:sz w:val="18"/>
              </w:rPr>
              <w:t>¥2,519</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-3.6%</w:t>
            </w:r>
          </w:p>
        </w:tc>
        <w:tc>
          <w:tcPr>
            <w:tcW w:type="dxa" w:w="3135"/>
            <w:shd w:val="clear" w:color="auto" w:fill="DDEBF7"/>
          </w:tcPr>
          <w:p>
            <w:r>
              <w:rPr>
                <w:rFonts w:ascii="Meiryo UI" w:hAnsi="Meiryo UI"/>
                <w:sz w:val="18"/>
              </w:rPr>
              <w:t>yfinance確認値</w:t>
            </w:r>
          </w:p>
        </w:tc>
      </w:tr>
      <w:tr>
        <w:tc>
          <w:tcPr>
            <w:tcW w:type="dxa" w:w="3135"/>
          </w:tcPr>
          <w:p>
            <w:r>
              <w:rPr>
                <w:rFonts w:ascii="Meiryo UI" w:hAnsi="Meiryo UI"/>
                <w:sz w:val="18"/>
              </w:rPr>
              <w:t>EPS</w:t>
            </w:r>
          </w:p>
        </w:tc>
        <w:tc>
          <w:tcPr>
            <w:tcW w:type="dxa" w:w="3135"/>
          </w:tcPr>
          <w:p>
            <w:r>
              <w:rPr>
                <w:rFonts w:ascii="Meiryo UI" w:hAnsi="Meiryo UI"/>
                <w:sz w:val="18"/>
              </w:rPr>
              <w:t>¥-88</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取得失敗（赤字）</w:t>
            </w:r>
          </w:p>
        </w:tc>
        <w:tc>
          <w:tcPr>
            <w:tcW w:type="dxa" w:w="3135"/>
            <w:shd w:val="clear" w:color="auto" w:fill="DDEBF7"/>
          </w:tcPr>
          <w:p>
            <w:r>
              <w:rPr>
                <w:rFonts w:ascii="Meiryo UI" w:hAnsi="Meiryo UI"/>
                <w:sz w:val="18"/>
              </w:rPr>
              <w:t>—</w:t>
            </w:r>
          </w:p>
        </w:tc>
      </w:tr>
    </w:tbl>
    <w:p/>
    <w:p>
      <w:pPr>
        <w:pStyle w:val="Heading4"/>
      </w:pPr>
      <w:r>
        <w:rPr>
          <w:rFonts w:ascii="Meiryo UI" w:hAnsi="Meiryo UI"/>
          <w:color w:val="2E74B5"/>
        </w:rPr>
        <w:t>整合性チェック</w:t>
      </w:r>
    </w:p>
    <w:p/>
    <w:p>
      <w:pPr>
        <w:shd w:val="clear" w:color="auto" w:fill="F2F2F2"/>
      </w:pPr>
      <w:r>
        <w:rPr>
          <w:rFonts w:ascii="Courier New" w:hAnsi="Courier New"/>
          <w:sz w:val="16"/>
        </w:rPr>
        <w:t>理論チェック：</w:t>
        <w:br/>
        <w:t xml:space="preserve">  PBR = 株価 ÷ BPS = ¥1,383 ÷ ¥2,519 = 0.549倍 ✓（取得値0.55倍と整合）</w:t>
        <w:br/>
        <w:t xml:space="preserve">  EPS÷BPS = ROE = ¥-88 ÷ ¥2,519 = -3.5% ≈ -3.6% ✓（整合）</w:t>
        <w:br/>
        <w:t xml:space="preserve">  → yfinance取得値は相互に整合しており、信頼性確認済み</w:t>
      </w:r>
    </w:p>
    <w:p/>
    <w:p>
      <w:pPr>
        <w:pStyle w:val="Heading4"/>
      </w:pPr>
      <w:r>
        <w:rPr>
          <w:rFonts w:ascii="Meiryo UI" w:hAnsi="Meiryo UI"/>
          <w:color w:val="2E74B5"/>
        </w:rPr>
        <w:t>推計財務指標（公開情報・IRベース）</w:t>
      </w:r>
    </w:p>
    <w:p/>
    <w:p>
      <w:pPr>
        <w:shd w:val="clear" w:color="auto" w:fill="F2F2F2"/>
      </w:pPr>
      <w:r>
        <w:rPr>
          <w:rFonts w:ascii="Courier New" w:hAnsi="Courier New"/>
          <w:sz w:val="16"/>
        </w:rPr>
        <w:t>財務ハイライト（推定・公開情報ベース）</w:t>
        <w:br/>
        <w:t>━━━━━━━━━━━━━━━━━━━━━━━━━━━━━━━━━━━</w:t>
        <w:br/>
        <w:t>発行済株式数（推定）       約3,000万株</w:t>
        <w:br/>
        <w:t>時価総額                  約415億円（¥1,383×3,000万株）</w:t>
        <w:br/>
        <w:t>推定純資産（BPS×株数）    約756億円（¥2,519×3,000万株）</w:t>
        <w:br/>
        <w:t>推定売上高（FY2025）      約1,100〜1,200億円</w:t>
        <w:br/>
        <w:t>推定営業利益（FY2025）    ▲3〜+3億円（赤字〜微黒字）</w:t>
        <w:br/>
        <w:t>自己資本比率（推定）      約30〜35%</w:t>
        <w:br/>
        <w:t>有利子負債（推定）        約200〜250億円</w:t>
        <w:br/>
        <w:t>ネットキャッシュ（推定）  ▲50〜100億円（ネットデット状態）</w:t>
        <w:br/>
        <w:t>━━━━━━━━━━━━━━━━━━━━━━━━━━━━━━━━━━━</w:t>
      </w:r>
    </w:p>
    <w:p/>
    <w:p>
      <w:pPr>
        <w:pStyle w:val="Heading4"/>
      </w:pPr>
      <w:r>
        <w:rPr>
          <w:rFonts w:ascii="Meiryo UI" w:hAnsi="Meiryo UI"/>
          <w:color w:val="2E74B5"/>
        </w:rPr>
        <w:t>PBR0.55倍の原因分析</w:t>
      </w:r>
    </w:p>
    <w:p/>
    <w:p>
      <w:pPr>
        <w:shd w:val="clear" w:color="auto" w:fill="F2F2F2"/>
      </w:pPr>
      <w:r>
        <w:rPr>
          <w:rFonts w:ascii="Courier New" w:hAnsi="Courier New"/>
          <w:sz w:val="16"/>
        </w:rPr>
        <w:t>PBRディスカウント要因の分解</w:t>
        <w:br/>
        <w:t>━━━━━━━━━━━━━━━━━━━━━━━━━━━━━━━━━━━━━━</w:t>
        <w:br/>
        <w:t>要因                          寄与度    説明</w:t>
        <w:br/>
        <w:t>━━━━━━━━━━━━━━━━━━━━━━━━━━━━━━━━━━━━━━</w:t>
        <w:br/>
        <w:t>① 低ROE（▲3.6%）            大★★★   株主資本コスト（推定5〜6%）</w:t>
        <w:br/>
        <w:t xml:space="preserve">                                        を大幅に下回る収益力</w:t>
        <w:br/>
        <w:t>② 原料コスト変動への脆弱性   中★★    肥料ビジネスの構造的低マージン</w:t>
        <w:br/>
        <w:t>③ 政策保有株・過剰資本       中★★    ROE分母（純資産）が大きい</w:t>
        <w:br/>
        <w:t>④ 流動性プレミアム           小★     時価総額400億円台の小型株</w:t>
        <w:br/>
        <w:t>⑤ JA依存リスク              小★     単一顧客集中リスク</w:t>
        <w:br/>
        <w:t>━━━━━━━━━━━━━━━━━━━━━━━━━━━━━━━━━━━━━━</w:t>
      </w:r>
    </w:p>
    <w:p/>
    <w:p>
      <w:r>
        <w:rPr>
          <w:rFonts w:ascii="Meiryo UI" w:hAnsi="Meiryo UI"/>
          <w:sz w:val="20"/>
        </w:rPr>
        <w:t>深井診断： PBR0.55倍の主因は「ROEが継続的に株主資本コストを下回ってきたこと」。これはバリュートラップの定義そのものだが、今回のホルムズショック×転嫁実現×CGコード対応というトリプル要因がROEの反転（赤字→黒字転換）を引き起こすカタリストになりうる。ROEが+2〜3%に改善するだけでPBRは0.7〜0.8倍（株価+30〜45%）への切り上がりが理論的に正当化される。</w:t>
      </w:r>
    </w:p>
    <w:p/>
    <w:p>
      <w:r>
        <w:t>──────────────────────────────────────────────────</w:t>
      </w:r>
    </w:p>
    <w:p/>
    <w:p>
      <w:pPr>
        <w:pStyle w:val="Heading3"/>
      </w:pPr>
      <w:r>
        <w:rPr>
          <w:rFonts w:ascii="Meiryo UI" w:hAnsi="Meiryo UI"/>
          <w:color w:val="2E74B5"/>
        </w:rPr>
        <w:t>⑤ 不動産含み益NAV算出</w:t>
      </w:r>
    </w:p>
    <w:p/>
    <w:p>
      <w:r>
        <w:rPr>
          <w:rFonts w:ascii="Meiryo UI" w:hAnsi="Meiryo UI"/>
          <w:sz w:val="20"/>
        </w:rPr>
        <w:t>保有資産の把握（公開情報・IR推定）：</w:t>
      </w:r>
    </w:p>
    <w:p/>
    <w:p>
      <w:r>
        <w:rPr>
          <w:rFonts w:ascii="Meiryo UI" w:hAnsi="Meiryo UI"/>
          <w:sz w:val="20"/>
        </w:rPr>
        <w:t>片倉コープアグリは旧チッカリン・旧コープケミカルの統合によって複数の工場・倉庫・農地関連施設・研究所を保有している。</w:t>
      </w:r>
    </w:p>
    <w:p/>
    <w:p>
      <w:pPr>
        <w:shd w:val="clear" w:color="auto" w:fill="F2F2F2"/>
      </w:pPr>
      <w:r>
        <w:rPr>
          <w:rFonts w:ascii="Courier New" w:hAnsi="Courier New"/>
          <w:sz w:val="16"/>
        </w:rPr>
        <w:t>不動産・固定資産NAV試算</w:t>
        <w:br/>
        <w:t>━━━━━━━━━━━━━━━━━━━━━━━━━━━━━━━━━━━━━━━━</w:t>
        <w:br/>
        <w:t>資産カテゴリ       帳簿価額推定  時価評価推定  含み益推定</w:t>
        <w:br/>
        <w:t>━━━━━━━━━━━━━━━━━━━━━━━━━━━━━━━━━━━━━━━━</w:t>
        <w:br/>
        <w:t>製造工場用地・建物</w:t>
        <w:br/>
        <w:t xml:space="preserve">  （千葉・新潟・山形等主要4拠点）</w:t>
        <w:br/>
        <w:t xml:space="preserve">  土地帳簿価額       約30億円    約50〜70億円  +20〜40億円</w:t>
        <w:br/>
        <w:t xml:space="preserve">  建物・設備         約40億円    約30〜40億円  ±0億円（設備老朽化）</w:t>
        <w:br/>
        <w:br/>
        <w:t>研究所・試験農場</w:t>
        <w:br/>
        <w:t xml:space="preserve">  土地               約8億円     約15〜20億円  +7〜12億円</w:t>
        <w:br/>
        <w:t xml:space="preserve">  建物               約5億円     約3〜5億円   ▲0〜2億円</w:t>
        <w:br/>
        <w:br/>
        <w:t>倉庫・物流施設（全国）</w:t>
        <w:br/>
        <w:t xml:space="preserve">  土地               約10億円    約15〜25億円  +5〜15億円</w:t>
        <w:br/>
        <w:t xml:space="preserve">  建物               約8億円     約5〜8億円   ▲0〜3億円</w:t>
        <w:br/>
        <w:br/>
        <w:t>政策保有株式（上場株）</w:t>
        <w:br/>
        <w:t xml:space="preserve">  推定簿価           約20〜30億円 約30〜50億円  +10〜20億円</w:t>
        <w:br/>
        <w:br/>
        <w:t>━━━━━━━━━━━━━━━━━━━━━━━━━━━━━━━━━━━━━━━━</w:t>
        <w:br/>
        <w:t>含み益合計（推定レンジ）：         +42〜82億円</w:t>
        <w:br/>
        <w:t>一株当たり含み益：                 +140〜273円/株</w:t>
        <w:br/>
        <w:t>━━━━━━━━━━━━━━━━━━━━━━━━━━━━━━━━━━━━━━━━</w:t>
      </w:r>
    </w:p>
    <w:p/>
    <w:p>
      <w:r>
        <w:rPr>
          <w:rFonts w:ascii="Meiryo UI" w:hAnsi="Meiryo UI"/>
          <w:sz w:val="20"/>
        </w:rPr>
        <w:t>NAV（解散価値）の算出：</w:t>
      </w:r>
    </w:p>
    <w:p/>
    <w:p>
      <w:pPr>
        <w:shd w:val="clear" w:color="auto" w:fill="F2F2F2"/>
      </w:pPr>
      <w:r>
        <w:rPr>
          <w:rFonts w:ascii="Courier New" w:hAnsi="Courier New"/>
          <w:sz w:val="16"/>
        </w:rPr>
        <w:t>NAVベースの理論株価</w:t>
        <w:br/>
        <w:t>━━━━━━━━━━━━━━━━━━━━━━━━━━━━━━━━━━━━━━━</w:t>
        <w:br/>
        <w:t>BPS（yfinance）：         ¥2,519</w:t>
        <w:br/>
        <w:t>不動産・資産含み益/株：   ¥140〜273</w:t>
        <w:br/>
        <w:t>NAV/株（控えめ）：        ¥2,659〜2,792</w:t>
        <w:br/>
        <w:br/>
        <w:t>現在株価（¥1,383）はNAVの約50〜52%水準</w:t>
        <w:br/>
        <w:t>→ 解散価値対比で約48〜50%ディスカウントで取引中</w:t>
        <w:br/>
        <w:br/>
        <w:t>在庫含み益（備蓄分・前述）：¥240/株（≈7.2億円÷3,000万株）</w:t>
        <w:br/>
        <w:br/>
        <w:t>総NAV合計（保守シナリオ）：¥2,799/株</w:t>
        <w:br/>
        <w:t>総NAV合計（楽観シナリオ）：¥3,032/株</w:t>
        <w:br/>
        <w:t>━━━━━━━━━━━━━━━━━━━━━━━━━━━━━━━━━━━━━━━</w:t>
      </w:r>
    </w:p>
    <w:p/>
    <w:p>
      <w:r>
        <w:rPr>
          <w:rFonts w:ascii="Meiryo UI" w:hAnsi="Meiryo UI"/>
          <w:sz w:val="20"/>
        </w:rPr>
        <w:t>深井コメント： 解散価値（NAV）の約半値という超割安水準。これだけでも下値余地は限定的であり、カタリスト実現時のアップサイドは大きい。</w:t>
      </w:r>
    </w:p>
    <w:p/>
    <w:p>
      <w:r>
        <w:t>──────────────────────────────────────────────────</w:t>
      </w:r>
    </w:p>
    <w:p/>
    <w:p>
      <w:pPr>
        <w:pStyle w:val="Heading3"/>
      </w:pPr>
      <w:r>
        <w:rPr>
          <w:rFonts w:ascii="Meiryo UI" w:hAnsi="Meiryo UI"/>
          <w:color w:val="2E74B5"/>
        </w:rPr>
        <w:t>⑥ DCF FairValue算出</w:t>
      </w:r>
    </w:p>
    <w:p/>
    <w:p>
      <w:pPr>
        <w:pStyle w:val="Heading4"/>
      </w:pPr>
      <w:r>
        <w:rPr>
          <w:rFonts w:ascii="Meiryo UI" w:hAnsi="Meiryo UI"/>
          <w:color w:val="2E74B5"/>
        </w:rPr>
        <w:t>WACC前提の設定</w:t>
      </w:r>
    </w:p>
    <w:p/>
    <w:p>
      <w:pPr>
        <w:shd w:val="clear" w:color="auto" w:fill="F2F2F2"/>
      </w:pPr>
      <w:r>
        <w:rPr>
          <w:rFonts w:ascii="Courier New" w:hAnsi="Courier New"/>
          <w:sz w:val="16"/>
        </w:rPr>
        <w:t>WACC計算シート</w:t>
        <w:br/>
        <w:t>━━━━━━━━━━━━━━━━━━━━━━━━━━━━━━━━━━━━━━━</w:t>
        <w:br/>
        <w:t>■ 株主資本コスト（Re）</w:t>
        <w:br/>
        <w:t xml:space="preserve">  Rf（JGB10Y）：   2.429%（厳守・財務省R8.4.6）</w:t>
        <w:br/>
        <w:t xml:space="preserve">  β：              0.85（農業資材・食料関連の低β推定）</w:t>
        <w:br/>
        <w:t xml:space="preserve">              ※ディフェンシブ性あるが財務不安定でやや上方調整</w:t>
        <w:br/>
        <w:t xml:space="preserve">  ERP：            5.5%（日本株式市場プレミアム標準推計）</w:t>
        <w:br/>
        <w:t xml:space="preserve">  Re = 2.429% + 0.85 × 5.5% = 2.429% + 4.675% = 7.10%</w:t>
        <w:br/>
        <w:br/>
        <w:t>■ 負債コスト（Rd）</w:t>
        <w:br/>
        <w:t xml:space="preserve">  有利子負債（推定）：200〜250億円</w:t>
        <w:br/>
        <w:t xml:space="preserve">  平均借入金利（推定）：約1.2〜1.5%</w:t>
        <w:br/>
        <w:t xml:space="preserve">  Rd = 1.3%（税引前）</w:t>
        <w:br/>
        <w:br/>
        <w:t>■ 実効税率（Tc）：30%</w:t>
        <w:br/>
        <w:t xml:space="preserve">  Rd×(1-Tc) = 1.3% × 0.70 = 0.91%</w:t>
        <w:br/>
        <w:br/>
        <w:t>■ 資本構成（推定）</w:t>
        <w:br/>
        <w:t xml:space="preserve">  純資産（E）：756億円（BPS×3,000万株）</w:t>
        <w:br/>
        <w:t xml:space="preserve">  有利子負債（D）：225億円（中間値）</w:t>
        <w:br/>
        <w:t xml:space="preserve">  D+E = 981億円</w:t>
        <w:br/>
        <w:t xml:space="preserve">  E/(D+E) = 77.1%</w:t>
        <w:br/>
        <w:t xml:space="preserve">  D/(D+E) = 22.9%</w:t>
        <w:br/>
        <w:br/>
        <w:t>■ WACC</w:t>
        <w:br/>
        <w:t xml:space="preserve">  WACC = 0.771 × 7.10% + 0.229 × 0.91%</w:t>
        <w:br/>
        <w:t xml:space="preserve">       = 5.474% + 0.208%</w:t>
        <w:br/>
        <w:t xml:space="preserve">       = 5.68%（≈ 5.7%）</w:t>
        <w:br/>
        <w:t>━━━━━━━━━━━━━━━━━━━━━━━━━━━━━━━━━━━━━━━</w:t>
      </w:r>
    </w:p>
    <w:p/>
    <w:p>
      <w:pPr>
        <w:pStyle w:val="Heading4"/>
      </w:pPr>
      <w:r>
        <w:rPr>
          <w:rFonts w:ascii="Meiryo UI" w:hAnsi="Meiryo UI"/>
          <w:color w:val="2E74B5"/>
        </w:rPr>
        <w:t>シナリオ別FCF予測</w:t>
      </w:r>
    </w:p>
    <w:p/>
    <w:p>
      <w:r>
        <w:rPr>
          <w:rFonts w:ascii="Meiryo UI" w:hAnsi="Meiryo UI"/>
          <w:sz w:val="20"/>
        </w:rPr>
        <w:t>FCFの出発点（FY2025 ベース）：</w:t>
      </w:r>
    </w:p>
    <w:p/>
    <w:p>
      <w:pPr>
        <w:shd w:val="clear" w:color="auto" w:fill="F2F2F2"/>
      </w:pPr>
      <w:r>
        <w:rPr>
          <w:rFonts w:ascii="Courier New" w:hAnsi="Courier New"/>
          <w:sz w:val="16"/>
        </w:rPr>
        <w:t>FY2025 推計P&amp;L（ベースライン）</w:t>
        <w:br/>
        <w:t>━━━━━━━━━━━━━━━━━━━━━━━━━━━━━━━━━━━━━━━</w:t>
        <w:br/>
        <w:t>売上高：             ¥1,150億円</w:t>
        <w:br/>
        <w:t>EBITDA：            ¥5〜10億円（営業赤字+減価償却）</w:t>
        <w:br/>
        <w:t>EBIT：              ▲3〜+3億円（ほぼ収支均衡）</w:t>
        <w:br/>
        <w:t>→ EPS ¥-88から逆算：純損失≈ ¥-26億円（3,000万株×¥88）</w:t>
        <w:br/>
        <w:t xml:space="preserve">  → 特別損失・税調整後の純利益がEPSに反映</w:t>
        <w:br/>
        <w:t xml:space="preserve">  → EBITDA水準は約10〜15億円と推定</w:t>
        <w:br/>
        <w:br/>
        <w:t>設備投資（CapEx）：  約15〜20億円/年</w:t>
        <w:br/>
        <w:t>D&amp;A：               約15〜20億円/年</w:t>
        <w:br/>
        <w:t>運転資本変動：       ±5億円</w:t>
        <w:br/>
        <w:br/>
        <w:t>FY2025 FCF = EBITDA - CapEx - 運転資本 = 10〜15 - 17.5 - 0 = ▲2.5〜▲7.5億円</w:t>
        <w:br/>
        <w:t>（直近FYはほぼゼロ〜マイナスFCF。今後の転換が投資テーゼの核心）</w:t>
        <w:br/>
        <w:t>━━━━━━━━━━━━━━━━━━━━━━━━━━━━━━━━━━━━━━━</w:t>
      </w:r>
    </w:p>
    <w:p/>
    <w:p>
      <w:pPr>
        <w:pStyle w:val="Heading4"/>
      </w:pPr>
      <w:r>
        <w:rPr>
          <w:rFonts w:ascii="Meiryo UI" w:hAnsi="Meiryo UI"/>
          <w:color w:val="2E74B5"/>
        </w:rPr>
        <w:t>3シナリオのFCF予測とDCF算出</w:t>
      </w:r>
    </w:p>
    <w:p/>
    <w:p>
      <w:pPr>
        <w:shd w:val="clear" w:color="auto" w:fill="F2F2F2"/>
      </w:pPr>
      <w:r>
        <w:rPr>
          <w:rFonts w:ascii="Courier New" w:hAnsi="Courier New"/>
          <w:sz w:val="16"/>
        </w:rPr>
        <w:t>━━━━━━━━━━━━━━━━━━━━━━━━━━━━━━━━━━━━━━━━━━━━━</w:t>
        <w:br/>
        <w:t>シナリオ設定</w:t>
        <w:br/>
        <w:t>━━━━━━━━━━━━━━━━━━━━━━━━━━━━━━━━━━━━━━━━━━━━━</w:t>
        <w:br/>
        <w:br/>
        <w:t>【ケースA：ホルムズ封鎖6ヶ月（基本シナリオ）】</w:t>
        <w:br/>
        <w:t>前提：</w:t>
        <w:br/>
        <w:t xml:space="preserve">  ・ホルムズ封鎖6ヶ月→2026年10月頃に一部緩和</w:t>
        <w:br/>
        <w:t xml:space="preserve">  ・尿素価格：$726/t → 夏季ピーク$800/t → 2H緩和$600/t → FY2026末$500/t</w:t>
        <w:br/>
        <w:t xml:space="preserve">  ・転嫁率：70〜80%</w:t>
        <w:br/>
        <w:t xml:space="preserve">  ・在庫含み益：7〜10億円をFY2026 1Q〜2Qに実現</w:t>
        <w:br/>
        <w:t xml:space="preserve">  ・CGコード対応：自社株買い30億円（6〜9月）</w:t>
        <w:br/>
        <w:br/>
        <w:t xml:space="preserve">  FCF予測：</w:t>
        <w:br/>
        <w:t xml:space="preserve">  FY2026: ¥15〜25億円（転嫁+含み益実現）</w:t>
        <w:br/>
        <w:t xml:space="preserve">  FY2027: ¥20〜30億円（転嫁定着・コスト安定化）</w:t>
        <w:br/>
        <w:t xml:space="preserve">  FY2028: ¥25〜35億円（ROE改善・資本効率化）</w:t>
        <w:br/>
        <w:t xml:space="preserve">  FY2029以降：¥30億円/年（安定成長）</w:t>
        <w:br/>
        <w:t xml:space="preserve">  成長率（g）：1.5%</w:t>
        <w:br/>
        <w:br/>
        <w:t xml:space="preserve">  DCF計算（WACC 5.68%）：</w:t>
        <w:br/>
        <w:t xml:space="preserve">  PV(FY2026) = ¥20億 ÷ 1.0568 = ¥18.9億</w:t>
        <w:br/>
        <w:t xml:space="preserve">  PV(FY2027) = ¥25億 ÷ 1.0568² = ¥22.4億</w:t>
        <w:br/>
        <w:t xml:space="preserve">  PV(FY2028) = ¥30億 ÷ 1.0568³ = ¥25.5億</w:t>
        <w:br/>
        <w:t xml:space="preserve">  Terminal Value = ¥30億 × 1.015 ÷ (0.0568 - 0.015) = ¥30.45 ÷ 0.0418 = ¥728.5億</w:t>
        <w:br/>
        <w:t xml:space="preserve">  PV(TV) = ¥728.5億 ÷ 1.0568³ = ¥619.8億</w:t>
        <w:br/>
        <w:t xml:space="preserve">  Enterprise Value = 18.9 + 22.4 + 25.5 + 619.8 = ¥686.6億</w:t>
        <w:br/>
        <w:br/>
        <w:t xml:space="preserve">  Equity Value = EV - 有利子負債(225億) + 現金(125億) = ¥586.6億</w:t>
        <w:br/>
        <w:t xml:space="preserve">  理論株価（基本）= ¥586.6億 ÷ 3,000万株 = ¥1,955/株</w:t>
        <w:br/>
        <w:br/>
        <w:t>━━━━━━━━━━━━━━━━━━━━━━━━━━━━━━━━━━━━━━━━━━━━━</w:t>
        <w:br/>
        <w:t>【ケースB：ホルムズ封鎖1年（強気シナリオ）】</w:t>
        <w:br/>
        <w:t>前提：</w:t>
        <w:br/>
        <w:t xml:space="preserve">  ・封鎖1年継続→尿素$900/t超を視野</w:t>
        <w:br/>
        <w:t xml:space="preserve">  ・転嫁率：90%以上（政府補助金後押し）</w:t>
        <w:br/>
        <w:t xml:space="preserve">  ・在庫含み益：15〜20億円</w:t>
        <w:br/>
        <w:t xml:space="preserve">  ・CGコード対応：自社株買い50億円＋増配</w:t>
        <w:br/>
        <w:br/>
        <w:t xml:space="preserve">  FCF予測：</w:t>
        <w:br/>
        <w:t xml:space="preserve">  FY2026: ¥30〜45億円</w:t>
        <w:br/>
        <w:t xml:space="preserve">  FY2027: ¥40〜55億円</w:t>
        <w:br/>
        <w:t xml:space="preserve">  FY2028: ¥45〜55億円</w:t>
        <w:br/>
        <w:t xml:space="preserve">  成長率（g）：2.0%</w:t>
        <w:br/>
        <w:br/>
        <w:t xml:space="preserve">  DCF計算（WACC 5.68%）：</w:t>
        <w:br/>
        <w:t xml:space="preserve">  PV集計（同様手法）：</w:t>
        <w:br/>
        <w:t xml:space="preserve">  Enterprise Value ≈ ¥950〜1,050億</w:t>
        <w:br/>
        <w:t xml:space="preserve">  Equity Value ≈ ¥850〜950億</w:t>
        <w:br/>
        <w:t xml:space="preserve">  理論株価（強気）= ¥850〜950億 ÷ 3,000万株 = ¥2,833〜¥3,167/株</w:t>
        <w:br/>
        <w:br/>
        <w:t>━━━━━━━━━━━━━━━━━━━━━━━━━━━━━━━━━━━━━━━━━━━━━</w:t>
        <w:br/>
        <w:t>【ケースC：ホルムズ早期解決（弱気シナリオ）】</w:t>
        <w:br/>
        <w:t>前提：</w:t>
        <w:br/>
        <w:t xml:space="preserve">  ・2ヶ月で解決→尿素$400/t台に急落</w:t>
        <w:br/>
        <w:t xml:space="preserve">  ・在庫含み益：消滅、在庫評価損の可能性（▲3〜5億円）</w:t>
        <w:br/>
        <w:t xml:space="preserve">  ・転嫁なし・農家の買い控え</w:t>
        <w:br/>
        <w:t xml:space="preserve">  ・FCF：継続マイナス</w:t>
        <w:br/>
        <w:br/>
        <w:t xml:space="preserve">  FCF予測：</w:t>
        <w:br/>
        <w:t xml:space="preserve">  FY2026: ▲5〜0億円</w:t>
        <w:br/>
        <w:t xml:space="preserve">  FY2027: +5〜10億円（事業構造改革効果）</w:t>
        <w:br/>
        <w:t xml:space="preserve">  FY2028: ¥10〜15億円</w:t>
        <w:br/>
        <w:t xml:space="preserve">  成長率（g）：0.5%</w:t>
        <w:br/>
        <w:br/>
        <w:t xml:space="preserve">  DCF計算（WACC 5.68%）：</w:t>
        <w:br/>
        <w:t xml:space="preserve">  Terminal Value = ¥12億 × 1.005 ÷ (0.0568 - 0.005) = ¥12.06 ÷ 0.0518 = ¥232.8億</w:t>
        <w:br/>
        <w:t xml:space="preserve">  Enterprise Value ≈ ¥250〜300億</w:t>
        <w:br/>
        <w:t xml:space="preserve">  Equity Value ≈ ¥150〜200億</w:t>
        <w:br/>
        <w:t xml:space="preserve">  理論株価（弱気）= ¥500〜667/株</w:t>
        <w:br/>
        <w:br/>
        <w:t>━━━━━━━━━━━━━━━━━━━━━━━━━━━━━━━━━━━━━━━━━━━━━</w:t>
      </w:r>
    </w:p>
    <w:p/>
    <w:p>
      <w:r>
        <w:rPr>
          <w:rFonts w:ascii="Meiryo UI" w:hAnsi="Meiryo UI"/>
          <w:sz w:val="20"/>
        </w:rPr>
        <w:t>DCF理論株価サマリー：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前提</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r>
      <w:tr>
        <w:tc>
          <w:tcPr>
            <w:tcW w:type="dxa" w:w="2351"/>
          </w:tcPr>
          <w:p>
            <w:r>
              <w:rPr>
                <w:rFonts w:ascii="Meiryo UI" w:hAnsi="Meiryo UI"/>
                <w:sz w:val="18"/>
              </w:rPr>
              <w:t>強気（封鎖1年）</w:t>
            </w:r>
          </w:p>
        </w:tc>
        <w:tc>
          <w:tcPr>
            <w:tcW w:type="dxa" w:w="2351"/>
          </w:tcPr>
          <w:p>
            <w:r>
              <w:rPr>
                <w:rFonts w:ascii="Meiryo UI" w:hAnsi="Meiryo UI"/>
                <w:sz w:val="18"/>
              </w:rPr>
              <w:t>完全転嫁・含み益最大実現</w:t>
            </w:r>
          </w:p>
        </w:tc>
        <w:tc>
          <w:tcPr>
            <w:tcW w:type="dxa" w:w="2351"/>
          </w:tcPr>
          <w:p>
            <w:r>
              <w:rPr>
                <w:rFonts w:ascii="Meiryo UI" w:hAnsi="Meiryo UI"/>
                <w:sz w:val="18"/>
              </w:rPr>
              <w:t>¥2,833〜¥3,167</w:t>
            </w:r>
          </w:p>
        </w:tc>
        <w:tc>
          <w:tcPr>
            <w:tcW w:type="dxa" w:w="2351"/>
          </w:tcPr>
          <w:p>
            <w:r>
              <w:rPr>
                <w:rFonts w:ascii="Meiryo UI" w:hAnsi="Meiryo UI"/>
                <w:sz w:val="18"/>
              </w:rPr>
              <w:t>+105〜129%</w:t>
            </w:r>
          </w:p>
        </w:tc>
      </w:tr>
      <w:tr>
        <w:tc>
          <w:tcPr>
            <w:tcW w:type="dxa" w:w="2351"/>
            <w:shd w:val="clear" w:color="auto" w:fill="DDEBF7"/>
          </w:tcPr>
          <w:p>
            <w:r>
              <w:rPr>
                <w:rFonts w:ascii="Meiryo UI" w:hAnsi="Meiryo UI"/>
                <w:sz w:val="18"/>
              </w:rPr>
              <w:t>基本（封鎖6ヶ月）</w:t>
            </w:r>
          </w:p>
        </w:tc>
        <w:tc>
          <w:tcPr>
            <w:tcW w:type="dxa" w:w="2351"/>
            <w:shd w:val="clear" w:color="auto" w:fill="DDEBF7"/>
          </w:tcPr>
          <w:p>
            <w:r>
              <w:rPr>
                <w:rFonts w:ascii="Meiryo UI" w:hAnsi="Meiryo UI"/>
                <w:sz w:val="18"/>
              </w:rPr>
              <w:t>70%転嫁・標準含み益</w:t>
            </w:r>
          </w:p>
        </w:tc>
        <w:tc>
          <w:tcPr>
            <w:tcW w:type="dxa" w:w="2351"/>
            <w:shd w:val="clear" w:color="auto" w:fill="DDEBF7"/>
          </w:tcPr>
          <w:p>
            <w:r>
              <w:rPr>
                <w:rFonts w:ascii="Meiryo UI" w:hAnsi="Meiryo UI"/>
                <w:sz w:val="18"/>
              </w:rPr>
              <w:t>¥1,750〜¥2,150</w:t>
            </w:r>
          </w:p>
        </w:tc>
        <w:tc>
          <w:tcPr>
            <w:tcW w:type="dxa" w:w="2351"/>
            <w:shd w:val="clear" w:color="auto" w:fill="DDEBF7"/>
          </w:tcPr>
          <w:p>
            <w:r>
              <w:rPr>
                <w:rFonts w:ascii="Meiryo UI" w:hAnsi="Meiryo UI"/>
                <w:sz w:val="18"/>
              </w:rPr>
              <w:t>+27〜55%</w:t>
            </w:r>
          </w:p>
        </w:tc>
      </w:tr>
      <w:tr>
        <w:tc>
          <w:tcPr>
            <w:tcW w:type="dxa" w:w="2351"/>
          </w:tcPr>
          <w:p>
            <w:r>
              <w:rPr>
                <w:rFonts w:ascii="Meiryo UI" w:hAnsi="Meiryo UI"/>
                <w:sz w:val="18"/>
              </w:rPr>
              <w:t>弱気（早期解決）</w:t>
            </w:r>
          </w:p>
        </w:tc>
        <w:tc>
          <w:tcPr>
            <w:tcW w:type="dxa" w:w="2351"/>
          </w:tcPr>
          <w:p>
            <w:r>
              <w:rPr>
                <w:rFonts w:ascii="Meiryo UI" w:hAnsi="Meiryo UI"/>
                <w:sz w:val="18"/>
              </w:rPr>
              <w:t>価格急落・転嫁なし</w:t>
            </w:r>
          </w:p>
        </w:tc>
        <w:tc>
          <w:tcPr>
            <w:tcW w:type="dxa" w:w="2351"/>
          </w:tcPr>
          <w:p>
            <w:r>
              <w:rPr>
                <w:rFonts w:ascii="Meiryo UI" w:hAnsi="Meiryo UI"/>
                <w:sz w:val="18"/>
              </w:rPr>
              <w:t>¥500〜¥667</w:t>
            </w:r>
          </w:p>
        </w:tc>
        <w:tc>
          <w:tcPr>
            <w:tcW w:type="dxa" w:w="2351"/>
          </w:tcPr>
          <w:p>
            <w:r>
              <w:rPr>
                <w:rFonts w:ascii="Meiryo UI" w:hAnsi="Meiryo UI"/>
                <w:sz w:val="18"/>
              </w:rPr>
              <w:t>▲52〜64%</w:t>
            </w:r>
          </w:p>
        </w:tc>
      </w:tr>
    </w:tbl>
    <w:p/>
    <w:p>
      <w:r>
        <w:rPr>
          <w:rFonts w:ascii="Meiryo UI" w:hAnsi="Meiryo UI"/>
          <w:sz w:val="20"/>
        </w:rPr>
        <w:t>安全域（Margin of Safety）を考慮したエントリー：</w:t>
      </w:r>
    </w:p>
    <w:p>
      <w:r>
        <w:rPr>
          <w:rFonts w:ascii="Meiryo UI" w:hAnsi="Meiryo UI"/>
          <w:sz w:val="20"/>
        </w:rPr>
        <w:t>基本シナリオ理論株価¥1,955の25%安全域 = ¥1,466</w:t>
      </w:r>
    </w:p>
    <w:p>
      <w:r>
        <w:rPr>
          <w:rFonts w:ascii="Meiryo UI" w:hAnsi="Meiryo UI"/>
          <w:sz w:val="20"/>
        </w:rPr>
        <w:t>→ 現在株価¥1,383はこの水準をすでに下回っており、安全域圏内。</w:t>
      </w:r>
    </w:p>
    <w:p/>
    <w:p>
      <w:r>
        <w:t>──────────────────────────────────────────────────</w:t>
      </w:r>
    </w:p>
    <w:p/>
    <w:p>
      <w:pPr>
        <w:pStyle w:val="Heading3"/>
      </w:pPr>
      <w:r>
        <w:rPr>
          <w:rFonts w:ascii="Meiryo UI" w:hAnsi="Meiryo UI"/>
          <w:color w:val="2E74B5"/>
        </w:rPr>
        <w:t>⑦ 同業・関連株比較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片倉コープアグリ(4031)</w:t>
            </w:r>
          </w:p>
        </w:tc>
        <w:tc>
          <w:tcPr>
            <w:tcW w:type="dxa" w:w="1881"/>
            <w:shd w:val="clear" w:color="auto" w:fill="2E74B5"/>
          </w:tcPr>
          <w:p>
            <w:r>
              <w:rPr>
                <w:rFonts w:ascii="Meiryo UI" w:hAnsi="Meiryo UI"/>
                <w:b/>
                <w:color w:val="FFFFFF"/>
                <w:sz w:val="18"/>
              </w:rPr>
              <w:t>住友化学農業化学部門*</w:t>
            </w:r>
          </w:p>
        </w:tc>
        <w:tc>
          <w:tcPr>
            <w:tcW w:type="dxa" w:w="1881"/>
            <w:shd w:val="clear" w:color="auto" w:fill="2E74B5"/>
          </w:tcPr>
          <w:p>
            <w:r>
              <w:rPr>
                <w:rFonts w:ascii="Meiryo UI" w:hAnsi="Meiryo UI"/>
                <w:b/>
                <w:color w:val="FFFFFF"/>
                <w:sz w:val="18"/>
              </w:rPr>
              <w:t>日本農薬(2862)</w:t>
            </w:r>
          </w:p>
        </w:tc>
        <w:tc>
          <w:tcPr>
            <w:tcW w:type="dxa" w:w="1881"/>
            <w:shd w:val="clear" w:color="auto" w:fill="2E74B5"/>
          </w:tcPr>
          <w:p>
            <w:r>
              <w:rPr>
                <w:rFonts w:ascii="Meiryo UI" w:hAnsi="Meiryo UI"/>
                <w:b/>
                <w:color w:val="FFFFFF"/>
                <w:sz w:val="18"/>
              </w:rPr>
              <w:t>OATアグリオ**</w:t>
            </w:r>
          </w:p>
        </w:tc>
      </w:tr>
      <w:tr>
        <w:tc>
          <w:tcPr>
            <w:tcW w:type="dxa" w:w="1881"/>
          </w:tcPr>
          <w:p>
            <w:r>
              <w:rPr>
                <w:rFonts w:ascii="Meiryo UI" w:hAnsi="Meiryo UI"/>
                <w:sz w:val="18"/>
              </w:rPr>
              <w:t>PBR</w:t>
            </w:r>
          </w:p>
        </w:tc>
        <w:tc>
          <w:tcPr>
            <w:tcW w:type="dxa" w:w="1881"/>
          </w:tcPr>
          <w:p>
            <w:r>
              <w:rPr>
                <w:rFonts w:ascii="Meiryo UI" w:hAnsi="Meiryo UI"/>
                <w:sz w:val="18"/>
              </w:rPr>
              <w:t>0.55倍</w:t>
            </w:r>
          </w:p>
        </w:tc>
        <w:tc>
          <w:tcPr>
            <w:tcW w:type="dxa" w:w="1881"/>
          </w:tcPr>
          <w:p>
            <w:r>
              <w:rPr>
                <w:rFonts w:ascii="Meiryo UI" w:hAnsi="Meiryo UI"/>
                <w:sz w:val="18"/>
              </w:rPr>
              <w:t>約1.0〜1.2倍</w:t>
            </w:r>
          </w:p>
        </w:tc>
        <w:tc>
          <w:tcPr>
            <w:tcW w:type="dxa" w:w="1881"/>
          </w:tcPr>
          <w:p>
            <w:r>
              <w:rPr>
                <w:rFonts w:ascii="Meiryo UI" w:hAnsi="Meiryo UI"/>
                <w:sz w:val="18"/>
              </w:rPr>
              <w:t>約0.9〜1.1倍</w:t>
            </w:r>
          </w:p>
        </w:tc>
        <w:tc>
          <w:tcPr>
            <w:tcW w:type="dxa" w:w="1881"/>
          </w:tcPr>
          <w:p>
            <w:r>
              <w:rPr>
                <w:rFonts w:ascii="Meiryo UI" w:hAnsi="Meiryo UI"/>
                <w:sz w:val="18"/>
              </w:rPr>
              <w:t>非上場</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▲3.6%</w:t>
            </w:r>
          </w:p>
        </w:tc>
        <w:tc>
          <w:tcPr>
            <w:tcW w:type="dxa" w:w="1881"/>
            <w:shd w:val="clear" w:color="auto" w:fill="DDEBF7"/>
          </w:tcPr>
          <w:p>
            <w:r>
              <w:rPr>
                <w:rFonts w:ascii="Meiryo UI" w:hAnsi="Meiryo UI"/>
                <w:sz w:val="18"/>
              </w:rPr>
              <w:t>約5〜8%</w:t>
            </w:r>
          </w:p>
        </w:tc>
        <w:tc>
          <w:tcPr>
            <w:tcW w:type="dxa" w:w="1881"/>
            <w:shd w:val="clear" w:color="auto" w:fill="DDEBF7"/>
          </w:tcPr>
          <w:p>
            <w:r>
              <w:rPr>
                <w:rFonts w:ascii="Meiryo UI" w:hAnsi="Meiryo UI"/>
                <w:sz w:val="18"/>
              </w:rPr>
              <w:t>約8〜12%</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売上規模</w:t>
            </w:r>
          </w:p>
        </w:tc>
        <w:tc>
          <w:tcPr>
            <w:tcW w:type="dxa" w:w="1881"/>
          </w:tcPr>
          <w:p>
            <w:r>
              <w:rPr>
                <w:rFonts w:ascii="Meiryo UI" w:hAnsi="Meiryo UI"/>
                <w:sz w:val="18"/>
              </w:rPr>
              <w:t>1,100〜1,200億円</w:t>
            </w:r>
          </w:p>
        </w:tc>
        <w:tc>
          <w:tcPr>
            <w:tcW w:type="dxa" w:w="1881"/>
          </w:tcPr>
          <w:p>
            <w:r>
              <w:rPr>
                <w:rFonts w:ascii="Meiryo UI" w:hAnsi="Meiryo UI"/>
                <w:sz w:val="18"/>
              </w:rPr>
              <w:t>農業化学2,000億円超</w:t>
            </w:r>
          </w:p>
        </w:tc>
        <w:tc>
          <w:tcPr>
            <w:tcW w:type="dxa" w:w="1881"/>
          </w:tcPr>
          <w:p>
            <w:r>
              <w:rPr>
                <w:rFonts w:ascii="Meiryo UI" w:hAnsi="Meiryo UI"/>
                <w:sz w:val="18"/>
              </w:rPr>
              <w:t>約350億円</w:t>
            </w:r>
          </w:p>
        </w:tc>
        <w:tc>
          <w:tcPr>
            <w:tcW w:type="dxa" w:w="1881"/>
          </w:tcPr>
          <w:p>
            <w:r>
              <w:rPr>
                <w:rFonts w:ascii="Meiryo UI" w:hAnsi="Meiryo UI"/>
                <w:sz w:val="18"/>
              </w:rPr>
              <w:t>—</w:t>
            </w:r>
          </w:p>
        </w:tc>
      </w:tr>
      <w:tr>
        <w:tc>
          <w:tcPr>
            <w:tcW w:type="dxa" w:w="1881"/>
            <w:shd w:val="clear" w:color="auto" w:fill="DDEBF7"/>
          </w:tcPr>
          <w:p>
            <w:r>
              <w:rPr>
                <w:rFonts w:ascii="Meiryo UI" w:hAnsi="Meiryo UI"/>
                <w:sz w:val="18"/>
              </w:rPr>
              <w:t>配当利回り</w:t>
            </w:r>
          </w:p>
        </w:tc>
        <w:tc>
          <w:tcPr>
            <w:tcW w:type="dxa" w:w="1881"/>
            <w:shd w:val="clear" w:color="auto" w:fill="DDEBF7"/>
          </w:tcPr>
          <w:p>
            <w:r>
              <w:rPr>
                <w:rFonts w:ascii="Meiryo UI" w:hAnsi="Meiryo UI"/>
                <w:sz w:val="18"/>
              </w:rPr>
              <w:t>約1.4%(推定20円)</w:t>
            </w:r>
          </w:p>
        </w:tc>
        <w:tc>
          <w:tcPr>
            <w:tcW w:type="dxa" w:w="1881"/>
            <w:shd w:val="clear" w:color="auto" w:fill="DDEBF7"/>
          </w:tcPr>
          <w:p>
            <w:r>
              <w:rPr>
                <w:rFonts w:ascii="Meiryo UI" w:hAnsi="Meiryo UI"/>
                <w:sz w:val="18"/>
              </w:rPr>
              <w:t>約2〜3%</w:t>
            </w:r>
          </w:p>
        </w:tc>
        <w:tc>
          <w:tcPr>
            <w:tcW w:type="dxa" w:w="1881"/>
            <w:shd w:val="clear" w:color="auto" w:fill="DDEBF7"/>
          </w:tcPr>
          <w:p>
            <w:r>
              <w:rPr>
                <w:rFonts w:ascii="Meiryo UI" w:hAnsi="Meiryo UI"/>
                <w:sz w:val="18"/>
              </w:rPr>
              <w:t>約3〜4%</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主力製品</w:t>
            </w:r>
          </w:p>
        </w:tc>
        <w:tc>
          <w:tcPr>
            <w:tcW w:type="dxa" w:w="1881"/>
          </w:tcPr>
          <w:p>
            <w:r>
              <w:rPr>
                <w:rFonts w:ascii="Meiryo UI" w:hAnsi="Meiryo UI"/>
                <w:sz w:val="18"/>
              </w:rPr>
              <w:t>肥料・農薬</w:t>
            </w:r>
          </w:p>
        </w:tc>
        <w:tc>
          <w:tcPr>
            <w:tcW w:type="dxa" w:w="1881"/>
          </w:tcPr>
          <w:p>
            <w:r>
              <w:rPr>
                <w:rFonts w:ascii="Meiryo UI" w:hAnsi="Meiryo UI"/>
                <w:sz w:val="18"/>
              </w:rPr>
              <w:t>農薬（グローバル）</w:t>
            </w:r>
          </w:p>
        </w:tc>
        <w:tc>
          <w:tcPr>
            <w:tcW w:type="dxa" w:w="1881"/>
          </w:tcPr>
          <w:p>
            <w:r>
              <w:rPr>
                <w:rFonts w:ascii="Meiryo UI" w:hAnsi="Meiryo UI"/>
                <w:sz w:val="18"/>
              </w:rPr>
              <w:t>農薬（国内）</w:t>
            </w:r>
          </w:p>
        </w:tc>
        <w:tc>
          <w:tcPr>
            <w:tcW w:type="dxa" w:w="1881"/>
          </w:tcPr>
          <w:p>
            <w:r>
              <w:rPr>
                <w:rFonts w:ascii="Meiryo UI" w:hAnsi="Meiryo UI"/>
                <w:sz w:val="18"/>
              </w:rPr>
              <w:t>水耕肥料</w:t>
            </w:r>
          </w:p>
        </w:tc>
      </w:tr>
      <w:tr>
        <w:tc>
          <w:tcPr>
            <w:tcW w:type="dxa" w:w="1881"/>
            <w:shd w:val="clear" w:color="auto" w:fill="DDEBF7"/>
          </w:tcPr>
          <w:p>
            <w:r>
              <w:rPr>
                <w:rFonts w:ascii="Meiryo UI" w:hAnsi="Meiryo UI"/>
                <w:sz w:val="18"/>
              </w:rPr>
              <w:t>ホルムズ感応度</w:t>
            </w:r>
          </w:p>
        </w:tc>
        <w:tc>
          <w:tcPr>
            <w:tcW w:type="dxa" w:w="1881"/>
            <w:shd w:val="clear" w:color="auto" w:fill="DDEBF7"/>
          </w:tcPr>
          <w:p>
            <w:r>
              <w:rPr>
                <w:rFonts w:ascii="Meiryo UI" w:hAnsi="Meiryo UI"/>
                <w:sz w:val="18"/>
              </w:rPr>
              <w:t>高（肥料中心）</w:t>
            </w:r>
          </w:p>
        </w:tc>
        <w:tc>
          <w:tcPr>
            <w:tcW w:type="dxa" w:w="1881"/>
            <w:shd w:val="clear" w:color="auto" w:fill="DDEBF7"/>
          </w:tcPr>
          <w:p>
            <w:r>
              <w:rPr>
                <w:rFonts w:ascii="Meiryo UI" w:hAnsi="Meiryo UI"/>
                <w:sz w:val="18"/>
              </w:rPr>
              <w:t>中（農薬中心）</w:t>
            </w:r>
          </w:p>
        </w:tc>
        <w:tc>
          <w:tcPr>
            <w:tcW w:type="dxa" w:w="1881"/>
            <w:shd w:val="clear" w:color="auto" w:fill="DDEBF7"/>
          </w:tcPr>
          <w:p>
            <w:r>
              <w:rPr>
                <w:rFonts w:ascii="Meiryo UI" w:hAnsi="Meiryo UI"/>
                <w:sz w:val="18"/>
              </w:rPr>
              <w:t>低（農薬中心）</w:t>
            </w:r>
          </w:p>
        </w:tc>
        <w:tc>
          <w:tcPr>
            <w:tcW w:type="dxa" w:w="1881"/>
            <w:shd w:val="clear" w:color="auto" w:fill="DDEBF7"/>
          </w:tcPr>
          <w:p>
            <w:r>
              <w:rPr>
                <w:rFonts w:ascii="Meiryo UI" w:hAnsi="Meiryo UI"/>
                <w:sz w:val="18"/>
              </w:rPr>
              <w:t>低</w:t>
            </w:r>
          </w:p>
        </w:tc>
      </w:tr>
    </w:tbl>
    <w:p/>
    <w:p>
      <w:r>
        <w:rPr>
          <w:rFonts w:ascii="Meiryo UI" w:hAnsi="Meiryo UI"/>
          <w:sz w:val="20"/>
        </w:rPr>
        <w:t>*住友化学は農業化学部門単独の指標は非開示のため連結推計値</w:t>
      </w:r>
    </w:p>
    <w:p>
      <w:r>
        <w:rPr>
          <w:rFonts w:ascii="Meiryo UI" w:hAnsi="Meiryo UI"/>
          <w:sz w:val="20"/>
        </w:rPr>
        <w:t>**OATアグリオは非上場</w:t>
      </w:r>
    </w:p>
    <w:p/>
    <w:p>
      <w:r>
        <w:rPr>
          <w:rFonts w:ascii="Meiryo UI" w:hAnsi="Meiryo UI"/>
          <w:sz w:val="20"/>
        </w:rPr>
        <w:t>深井評価：</w:t>
      </w:r>
    </w:p>
    <w:p>
      <w:r>
        <w:rPr>
          <w:rFonts w:ascii="Meiryo UI" w:hAnsi="Meiryo UI"/>
          <w:sz w:val="20"/>
        </w:rPr>
        <w:t>片倉コープアグリは同業比較で最も低いPBR水準にあり、かつホルムズショックへの感応度が最も高い。農薬特化の日本農薬や住友化学農業化学に比べ、肥料という「直接的な食料安全保障インフラ」を担うことが今局面での最大の優位性。</w:t>
      </w:r>
    </w:p>
    <w:p/>
    <w:p>
      <w:r>
        <w:t>──────────────────────────────────────────────────</w:t>
      </w:r>
    </w:p>
    <w:p/>
    <w:p>
      <w:pPr>
        <w:pStyle w:val="Heading3"/>
      </w:pPr>
      <w:r>
        <w:rPr>
          <w:rFonts w:ascii="Meiryo UI" w:hAnsi="Meiryo UI"/>
          <w:color w:val="2E74B5"/>
        </w:rPr>
        <w:t>⑧ リスクシナリオ（ストレステスト）</w:t>
      </w:r>
    </w:p>
    <w:p/>
    <w:p>
      <w:r>
        <w:rPr>
          <w:rFonts w:ascii="Meiryo UI" w:hAnsi="Meiryo UI"/>
          <w:sz w:val="20"/>
        </w:rPr>
        <w:t>リスクマトリクス：</w:t>
      </w:r>
    </w:p>
    <w:p/>
    <w:p>
      <w:pPr>
        <w:shd w:val="clear" w:color="auto" w:fill="F2F2F2"/>
      </w:pPr>
      <w:r>
        <w:rPr>
          <w:rFonts w:ascii="Courier New" w:hAnsi="Courier New"/>
          <w:sz w:val="16"/>
        </w:rPr>
        <w:t>リスク定量化テーブル</w:t>
        <w:br/>
        <w:t>━━━━━━━━━━━━━━━━━━━━━━━━━━━━━━━━━━━━━━━━━━━━━━</w:t>
        <w:br/>
        <w:t>リスク要因          発生確率  業績インパクト  株価インパクト   ヘッジ可能性</w:t>
        <w:br/>
        <w:t>━━━━━━━━━━━━━━━━━━━━━━━━━━━━━━━━━━━━━━━━━━━━━━</w:t>
        <w:br/>
        <w:t>ホルムズ早期解決     30%     ▲10〜15億円   ▲30〜40%      低</w:t>
        <w:br/>
        <w:t>（肥料価格急落）                （在庫評価損）  （¥830〜¥970）</w:t>
        <w:br/>
        <w:br/>
        <w:t>農家の購買力低下     20%     ▲5〜8億円     ▲15〜20%     中</w:t>
        <w:br/>
        <w:t>（補助金削減）                  （数量減少）</w:t>
        <w:br/>
        <w:br/>
        <w:t>全農の内製化強化     15%     ▲15〜20億円   ▲40〜50%     低</w:t>
        <w:br/>
        <w:t>（直接輸入拡大）                （売上減少）    （¥690〜¥830）</w:t>
        <w:br/>
        <w:br/>
        <w:t>為替円高            25%     ▲3〜5億円     ▲10%         中</w:t>
        <w:br/>
        <w:t>（原料コスト低下だが）           （在庫評価）</w:t>
        <w:br/>
        <w:br/>
        <w:t>金利上昇            20%     ▲2〜3億円     ▲5〜10%      中</w:t>
        <w:br/>
        <w:t>（WACC悪化）                   （財務コスト増）</w:t>
        <w:br/>
        <w:t>━━━━━━━━━━━━━━━━━━━━━━━━━━━━━━━━━━━━━━━━━━━━━━</w:t>
      </w:r>
    </w:p>
    <w:p/>
    <w:p>
      <w:r>
        <w:rPr>
          <w:rFonts w:ascii="Meiryo UI" w:hAnsi="Meiryo UI"/>
          <w:sz w:val="20"/>
        </w:rPr>
        <w:t>最大リスク：全農内製化シナリオ</w:t>
      </w:r>
    </w:p>
    <w:p/>
    <w:p>
      <w:r>
        <w:rPr>
          <w:rFonts w:ascii="Meiryo UI" w:hAnsi="Meiryo UI"/>
          <w:sz w:val="20"/>
        </w:rPr>
        <w:t>全農が独自に国際調達（ロシア産・中国産肥料の直接契約）を強化した場合、片倉コープアグリの売上の40〜50%が直接毀損されるリスクがある。これが最大の「バリュートラップ化」リスク。</w:t>
      </w:r>
    </w:p>
    <w:p/>
    <w:p>
      <w:r>
        <w:rPr>
          <w:rFonts w:ascii="Meiryo UI" w:hAnsi="Meiryo UI"/>
          <w:sz w:val="20"/>
        </w:rPr>
        <w:t>ただし、現実的な抑制要因として：</w:t>
      </w:r>
    </w:p>
    <w:p>
      <w:pPr>
        <w:pStyle w:val="ListNumber"/>
      </w:pPr>
      <w:r>
        <w:rPr>
          <w:rFonts w:ascii="Meiryo UI" w:hAnsi="Meiryo UI"/>
          <w:sz w:val="20"/>
        </w:rPr>
        <w:t>全農には肥料製造・品質管理の技術ノウハウがなく、短期での完全内製化は困難</w:t>
      </w:r>
    </w:p>
    <w:p>
      <w:pPr>
        <w:pStyle w:val="ListNumber"/>
      </w:pPr>
      <w:r>
        <w:rPr>
          <w:rFonts w:ascii="Meiryo UI" w:hAnsi="Meiryo UI"/>
          <w:sz w:val="20"/>
        </w:rPr>
        <w:t>食料安全保障の観点から、政府は国内製造体制の維持を推奨</w:t>
      </w:r>
    </w:p>
    <w:p>
      <w:pPr>
        <w:pStyle w:val="ListNumber"/>
      </w:pPr>
      <w:r>
        <w:rPr>
          <w:rFonts w:ascii="Meiryo UI" w:hAnsi="Meiryo UI"/>
          <w:sz w:val="20"/>
        </w:rPr>
        <w:t>2022年のウクライナ危機後、全農は供給安定のため国内業者との関係強化に転換</w:t>
      </w:r>
    </w:p>
    <w:p/>
    <w:p>
      <w:r>
        <w:t>──────────────────────────────────────────────────</w:t>
      </w:r>
    </w:p>
    <w:p/>
    <w:p>
      <w:pPr>
        <w:pStyle w:val="Heading3"/>
      </w:pPr>
      <w:r>
        <w:rPr>
          <w:rFonts w:ascii="Meiryo UI" w:hAnsi="Meiryo UI"/>
          <w:color w:val="2E74B5"/>
        </w:rPr>
        <w:t>⑨ 最終判断：バリュートラップか仕込み場か</w:t>
      </w:r>
    </w:p>
    <w:p/>
    <w:p>
      <w:pPr>
        <w:shd w:val="clear" w:color="auto" w:fill="F2F2F2"/>
      </w:pPr>
      <w:r>
        <w:rPr>
          <w:rFonts w:ascii="Courier New" w:hAnsi="Courier New"/>
          <w:sz w:val="16"/>
        </w:rPr>
        <w:t>投資判断マトリクス</w:t>
        <w:br/>
        <w:t>━━━━━━━━━━━━━━━━━━━━━━━━━━━━━━━━━━━━━━━━━━━━━━</w:t>
        <w:br/>
        <w:t xml:space="preserve">                    カタリスト実現確率が高い ←→ 低い</w:t>
        <w:br/>
        <w:t xml:space="preserve">        ┌──────────────────────────────────┐</w:t>
        <w:br/>
        <w:t>割安水準 │      【今回】                        バリュートラップ │</w:t>
        <w:br/>
        <w:t>が高い   │  片倉コープアグリ ★                 （逃げるべき）  │</w:t>
        <w:br/>
        <w:t xml:space="preserve">        │  PBR0.55倍×3つのカタリスト集積      │</w:t>
        <w:br/>
        <w:t xml:space="preserve">        ├──────────────────────────────────┤</w:t>
        <w:br/>
        <w:t>割安水準 │  質の高い成長株                      フェアバリュー  │</w:t>
        <w:br/>
        <w:t>が低い   │                                     近辺            │</w:t>
        <w:br/>
        <w:t xml:space="preserve">        └──────────────────────────────────┘</w:t>
      </w:r>
    </w:p>
    <w:p/>
    <w:p>
      <w:r>
        <w:rPr>
          <w:rFonts w:ascii="Meiryo UI" w:hAnsi="Meiryo UI"/>
          <w:sz w:val="20"/>
        </w:rPr>
        <w:t>深井の判定：「仕込み場」</w:t>
      </w:r>
    </w:p>
    <w:p/>
    <w:p>
      <w:r>
        <w:rPr>
          <w:rFonts w:ascii="Meiryo UI" w:hAnsi="Meiryo UI"/>
          <w:sz w:val="20"/>
        </w:rPr>
        <w:t>3つの根拠：</w:t>
      </w:r>
    </w:p>
    <w:p/>
    <w:p>
      <w:pPr>
        <w:pStyle w:val="ListNumber"/>
      </w:pPr>
      <w:r>
        <w:rPr>
          <w:rFonts w:ascii="Meiryo UI" w:hAnsi="Meiryo UI"/>
          <w:sz w:val="20"/>
        </w:rPr>
        <w:t>下値の硬さ（NAVサポート）： BPS¥2,519・NAV¥2,800超に対し株価¥1,383は約50%ディスカウント。有形資産に裏付けられた下値支持が存在する。</w:t>
      </w:r>
    </w:p>
    <w:p>
      <w:pPr>
        <w:pStyle w:val="ListNumber"/>
      </w:pPr>
      <w:r>
        <w:rPr>
          <w:rFonts w:ascii="Meiryo UI" w:hAnsi="Meiryo UI"/>
          <w:sz w:val="20"/>
        </w:rPr>
        <w:t>カタリストの時間的収束： 夏季受注シーズン（5〜7月）・CGコード改訂（6月）・在庫含み益実現（夏）が今後2〜3ヶ月に集中している。時間軸が明確。</w:t>
      </w:r>
    </w:p>
    <w:p>
      <w:pPr>
        <w:pStyle w:val="ListNumber"/>
      </w:pPr>
      <w:r>
        <w:rPr>
          <w:rFonts w:ascii="Meiryo UI" w:hAnsi="Meiryo UI"/>
          <w:sz w:val="20"/>
        </w:rPr>
        <w:t>ホルムズショックの非対称性： 封鎖長期化シナリオの上昇幅（+30〜130%）と早期解決シナリオの下落幅（▲30〜50%）を確率加重した期待値はプラス。特に弱気シナリオの下限（¥500〜¥700）はNAV割れであり、市場がそこまで売り込む合理的根拠は薄い。</w:t>
      </w:r>
    </w:p>
    <w:p/>
    <w:p>
      <w:r>
        <w:rPr>
          <w:rFonts w:ascii="Meiryo UI" w:hAnsi="Meiryo UI"/>
          <w:sz w:val="20"/>
        </w:rPr>
        <w:t>エントリー価格レンジ：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エントリータイプ</w:t>
            </w:r>
          </w:p>
        </w:tc>
        <w:tc>
          <w:tcPr>
            <w:tcW w:type="dxa" w:w="3135"/>
            <w:shd w:val="clear" w:color="auto" w:fill="2E74B5"/>
          </w:tcPr>
          <w:p>
            <w:r>
              <w:rPr>
                <w:rFonts w:ascii="Meiryo UI" w:hAnsi="Meiryo UI"/>
                <w:b/>
                <w:color w:val="FFFFFF"/>
                <w:sz w:val="18"/>
              </w:rPr>
              <w:t>価格レンジ</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積極エントリー</w:t>
            </w:r>
          </w:p>
        </w:tc>
        <w:tc>
          <w:tcPr>
            <w:tcW w:type="dxa" w:w="3135"/>
          </w:tcPr>
          <w:p>
            <w:r>
              <w:rPr>
                <w:rFonts w:ascii="Meiryo UI" w:hAnsi="Meiryo UI"/>
                <w:sz w:val="18"/>
              </w:rPr>
              <w:t>¥1,300〜¥1,450</w:t>
            </w:r>
          </w:p>
        </w:tc>
        <w:tc>
          <w:tcPr>
            <w:tcW w:type="dxa" w:w="3135"/>
          </w:tcPr>
          <w:p>
            <w:r>
              <w:rPr>
                <w:rFonts w:ascii="Meiryo UI" w:hAnsi="Meiryo UI"/>
                <w:sz w:val="18"/>
              </w:rPr>
              <w:t>現在株価¥1,383±5%（安全域圏内）</w:t>
            </w:r>
          </w:p>
        </w:tc>
      </w:tr>
      <w:tr>
        <w:tc>
          <w:tcPr>
            <w:tcW w:type="dxa" w:w="3135"/>
            <w:shd w:val="clear" w:color="auto" w:fill="DDEBF7"/>
          </w:tcPr>
          <w:p>
            <w:r>
              <w:rPr>
                <w:rFonts w:ascii="Meiryo UI" w:hAnsi="Meiryo UI"/>
                <w:sz w:val="18"/>
              </w:rPr>
              <w:t>理想エントリー</w:t>
            </w:r>
          </w:p>
        </w:tc>
        <w:tc>
          <w:tcPr>
            <w:tcW w:type="dxa" w:w="3135"/>
            <w:shd w:val="clear" w:color="auto" w:fill="DDEBF7"/>
          </w:tcPr>
          <w:p>
            <w:r>
              <w:rPr>
                <w:rFonts w:ascii="Meiryo UI" w:hAnsi="Meiryo UI"/>
                <w:sz w:val="18"/>
              </w:rPr>
              <w:t>¥1,200〜¥1,300</w:t>
            </w:r>
          </w:p>
        </w:tc>
        <w:tc>
          <w:tcPr>
            <w:tcW w:type="dxa" w:w="3135"/>
            <w:shd w:val="clear" w:color="auto" w:fill="DDEBF7"/>
          </w:tcPr>
          <w:p>
            <w:r>
              <w:rPr>
                <w:rFonts w:ascii="Meiryo UI" w:hAnsi="Meiryo UI"/>
                <w:sz w:val="18"/>
              </w:rPr>
              <w:t>基本シナリオ理論株価の30%MOS</w:t>
            </w:r>
          </w:p>
        </w:tc>
      </w:tr>
      <w:tr>
        <w:tc>
          <w:tcPr>
            <w:tcW w:type="dxa" w:w="3135"/>
          </w:tcPr>
          <w:p>
            <w:r>
              <w:rPr>
                <w:rFonts w:ascii="Meiryo UI" w:hAnsi="Meiryo UI"/>
                <w:sz w:val="18"/>
              </w:rPr>
              <w:t>損切りライン</w:t>
            </w:r>
          </w:p>
        </w:tc>
        <w:tc>
          <w:tcPr>
            <w:tcW w:type="dxa" w:w="3135"/>
          </w:tcPr>
          <w:p>
            <w:r>
              <w:rPr>
                <w:rFonts w:ascii="Meiryo UI" w:hAnsi="Meiryo UI"/>
                <w:sz w:val="18"/>
              </w:rPr>
              <w:t>¥1,100割れ</w:t>
            </w:r>
          </w:p>
        </w:tc>
        <w:tc>
          <w:tcPr>
            <w:tcW w:type="dxa" w:w="3135"/>
          </w:tcPr>
          <w:p>
            <w:r>
              <w:rPr>
                <w:rFonts w:ascii="Meiryo UI" w:hAnsi="Meiryo UI"/>
                <w:sz w:val="18"/>
              </w:rPr>
              <w:t>BPS¥2,519×0.44倍→過度なディスカウント示唆</w:t>
            </w:r>
          </w:p>
        </w:tc>
      </w:tr>
    </w:tbl>
    <w:p/>
    <w:p>
      <w:r>
        <w:rPr>
          <w:rFonts w:ascii="Meiryo UI" w:hAnsi="Meiryo UI"/>
          <w:sz w:val="20"/>
        </w:rPr>
        <w:t>カタリスト確認ポイント（具体的チェックリスト）：</w:t>
      </w:r>
    </w:p>
    <w:p/>
    <w:p>
      <w:pPr>
        <w:pStyle w:val="ListBullet"/>
      </w:pPr>
      <w:r>
        <w:rPr>
          <w:rFonts w:ascii="Meiryo UI" w:hAnsi="Meiryo UI"/>
          <w:sz w:val="20"/>
        </w:rPr>
        <w:t>[ ] 5月中旬： 業界肥料価格改定アナウンス（農水省・日本肥料アンモニア協会）</w:t>
      </w:r>
    </w:p>
    <w:p>
      <w:pPr>
        <w:pStyle w:val="ListBullet"/>
      </w:pPr>
      <w:r>
        <w:rPr>
          <w:rFonts w:ascii="Meiryo UI" w:hAnsi="Meiryo UI"/>
          <w:sz w:val="20"/>
        </w:rPr>
        <w:t>[ ] 5〜6月： 片倉コープアグリ IR情報（受注状況・値上げ申請のコメント）</w:t>
      </w:r>
    </w:p>
    <w:p>
      <w:pPr>
        <w:pStyle w:val="ListBullet"/>
      </w:pPr>
      <w:r>
        <w:rPr>
          <w:rFonts w:ascii="Meiryo UI" w:hAnsi="Meiryo UI"/>
          <w:sz w:val="20"/>
        </w:rPr>
        <w:t>[ ] 6月： CGコード改訂公表→同社の資本政策見直し発表の有無</w:t>
      </w:r>
    </w:p>
    <w:p>
      <w:pPr>
        <w:pStyle w:val="ListBullet"/>
      </w:pPr>
      <w:r>
        <w:rPr>
          <w:rFonts w:ascii="Meiryo UI" w:hAnsi="Meiryo UI"/>
          <w:sz w:val="20"/>
        </w:rPr>
        <w:t>[ ] 8月： 1Q決算→在庫含み益・転嫁率の数値確認</w:t>
      </w:r>
    </w:p>
    <w:p>
      <w:pPr>
        <w:pStyle w:val="ListBullet"/>
      </w:pPr>
      <w:r>
        <w:rPr>
          <w:rFonts w:ascii="Meiryo UI" w:hAnsi="Meiryo UI"/>
          <w:sz w:val="20"/>
        </w:rPr>
        <w:t>[ ] ホルムズ状況： カタール生産再開ニュース→弱気シナリオへの転換シグナル</w:t>
      </w:r>
    </w:p>
    <w:p/>
    <w:p>
      <w:r>
        <w:t>──────────────────────────────────────────────────</w:t>
      </w:r>
    </w:p>
    <w:p/>
    <w:p>
      <w:pPr>
        <w:pStyle w:val="Heading2"/>
      </w:pPr>
      <w:r>
        <w:rPr>
          <w:rFonts w:ascii="Meiryo UI" w:hAnsi="Meiryo UI"/>
          <w:color w:val="2E74B5"/>
        </w:rPr>
        <w:t>第3章：財務ハイライト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推定値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売上高（FY2025推定）</w:t>
            </w:r>
          </w:p>
        </w:tc>
        <w:tc>
          <w:tcPr>
            <w:tcW w:type="dxa" w:w="3135"/>
          </w:tcPr>
          <w:p>
            <w:r>
              <w:rPr>
                <w:rFonts w:ascii="Meiryo UI" w:hAnsi="Meiryo UI"/>
                <w:sz w:val="18"/>
              </w:rPr>
              <w:t>約¥1,100〜1,200億円</w:t>
            </w:r>
          </w:p>
        </w:tc>
        <w:tc>
          <w:tcPr>
            <w:tcW w:type="dxa" w:w="3135"/>
          </w:tcPr>
          <w:p>
            <w:r>
              <w:rPr>
                <w:rFonts w:ascii="Meiryo UI" w:hAnsi="Meiryo UI"/>
                <w:sz w:val="18"/>
              </w:rPr>
              <w:t>公開情報ベース</w:t>
            </w:r>
          </w:p>
        </w:tc>
      </w:tr>
      <w:tr>
        <w:tc>
          <w:tcPr>
            <w:tcW w:type="dxa" w:w="3135"/>
            <w:shd w:val="clear" w:color="auto" w:fill="DDEBF7"/>
          </w:tcPr>
          <w:p>
            <w:r>
              <w:rPr>
                <w:rFonts w:ascii="Meiryo UI" w:hAnsi="Meiryo UI"/>
                <w:sz w:val="18"/>
              </w:rPr>
              <w:t>営業利益（FY2025推定）</w:t>
            </w:r>
          </w:p>
        </w:tc>
        <w:tc>
          <w:tcPr>
            <w:tcW w:type="dxa" w:w="3135"/>
            <w:shd w:val="clear" w:color="auto" w:fill="DDEBF7"/>
          </w:tcPr>
          <w:p>
            <w:r>
              <w:rPr>
                <w:rFonts w:ascii="Meiryo UI" w:hAnsi="Meiryo UI"/>
                <w:sz w:val="18"/>
              </w:rPr>
              <w:t>▲5〜+3億円</w:t>
            </w:r>
          </w:p>
        </w:tc>
        <w:tc>
          <w:tcPr>
            <w:tcW w:type="dxa" w:w="3135"/>
            <w:shd w:val="clear" w:color="auto" w:fill="DDEBF7"/>
          </w:tcPr>
          <w:p>
            <w:r>
              <w:rPr>
                <w:rFonts w:ascii="Meiryo UI" w:hAnsi="Meiryo UI"/>
                <w:sz w:val="18"/>
              </w:rPr>
              <w:t>原料コスト高が重し</w:t>
            </w:r>
          </w:p>
        </w:tc>
      </w:tr>
      <w:tr>
        <w:tc>
          <w:tcPr>
            <w:tcW w:type="dxa" w:w="3135"/>
          </w:tcPr>
          <w:p>
            <w:r>
              <w:rPr>
                <w:rFonts w:ascii="Meiryo UI" w:hAnsi="Meiryo UI"/>
                <w:sz w:val="18"/>
              </w:rPr>
              <w:t>純損失（FY2025）</w:t>
            </w:r>
          </w:p>
        </w:tc>
        <w:tc>
          <w:tcPr>
            <w:tcW w:type="dxa" w:w="3135"/>
          </w:tcPr>
          <w:p>
            <w:r>
              <w:rPr>
                <w:rFonts w:ascii="Meiryo UI" w:hAnsi="Meiryo UI"/>
                <w:sz w:val="18"/>
              </w:rPr>
              <w:t>約▲26億円</w:t>
            </w:r>
          </w:p>
        </w:tc>
        <w:tc>
          <w:tcPr>
            <w:tcW w:type="dxa" w:w="3135"/>
          </w:tcPr>
          <w:p>
            <w:r>
              <w:rPr>
                <w:rFonts w:ascii="Meiryo UI" w:hAnsi="Meiryo UI"/>
                <w:sz w:val="18"/>
              </w:rPr>
              <w:t>EPS▲88×3,000万株</w:t>
            </w:r>
          </w:p>
        </w:tc>
      </w:tr>
      <w:tr>
        <w:tc>
          <w:tcPr>
            <w:tcW w:type="dxa" w:w="3135"/>
            <w:shd w:val="clear" w:color="auto" w:fill="DDEBF7"/>
          </w:tcPr>
          <w:p>
            <w:r>
              <w:rPr>
                <w:rFonts w:ascii="Meiryo UI" w:hAnsi="Meiryo UI"/>
                <w:sz w:val="18"/>
              </w:rPr>
              <w:t>EBITDA（推定）</w:t>
            </w:r>
          </w:p>
        </w:tc>
        <w:tc>
          <w:tcPr>
            <w:tcW w:type="dxa" w:w="3135"/>
            <w:shd w:val="clear" w:color="auto" w:fill="DDEBF7"/>
          </w:tcPr>
          <w:p>
            <w:r>
              <w:rPr>
                <w:rFonts w:ascii="Meiryo UI" w:hAnsi="Meiryo UI"/>
                <w:sz w:val="18"/>
              </w:rPr>
              <w:t>約¥10〜15億円</w:t>
            </w:r>
          </w:p>
        </w:tc>
        <w:tc>
          <w:tcPr>
            <w:tcW w:type="dxa" w:w="3135"/>
            <w:shd w:val="clear" w:color="auto" w:fill="DDEBF7"/>
          </w:tcPr>
          <w:p>
            <w:r>
              <w:rPr>
                <w:rFonts w:ascii="Meiryo UI" w:hAnsi="Meiryo UI"/>
                <w:sz w:val="18"/>
              </w:rPr>
              <w:t>D&amp;A≈15億円で調整</w:t>
            </w:r>
          </w:p>
        </w:tc>
      </w:tr>
      <w:tr>
        <w:tc>
          <w:tcPr>
            <w:tcW w:type="dxa" w:w="3135"/>
          </w:tcPr>
          <w:p>
            <w:r>
              <w:rPr>
                <w:rFonts w:ascii="Meiryo UI" w:hAnsi="Meiryo UI"/>
                <w:sz w:val="18"/>
              </w:rPr>
              <w:t>営業利益率</w:t>
            </w:r>
          </w:p>
        </w:tc>
        <w:tc>
          <w:tcPr>
            <w:tcW w:type="dxa" w:w="3135"/>
          </w:tcPr>
          <w:p>
            <w:r>
              <w:rPr>
                <w:rFonts w:ascii="Meiryo UI" w:hAnsi="Meiryo UI"/>
                <w:sz w:val="18"/>
              </w:rPr>
              <w:t>▲0.4〜+0.3%</w:t>
            </w:r>
          </w:p>
        </w:tc>
        <w:tc>
          <w:tcPr>
            <w:tcW w:type="dxa" w:w="3135"/>
          </w:tcPr>
          <w:p>
            <w:r>
              <w:rPr>
                <w:rFonts w:ascii="Meiryo UI" w:hAnsi="Meiryo UI"/>
                <w:sz w:val="18"/>
              </w:rPr>
              <w:t>構造的低マージン</w:t>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▲0.6〜0%</w:t>
            </w:r>
          </w:p>
        </w:tc>
        <w:tc>
          <w:tcPr>
            <w:tcW w:type="dxa" w:w="3135"/>
            <w:shd w:val="clear" w:color="auto" w:fill="DDEBF7"/>
          </w:tcPr>
          <w:p>
            <w:r>
              <w:rPr>
                <w:rFonts w:ascii="Meiryo UI" w:hAnsi="Meiryo UI"/>
                <w:sz w:val="18"/>
              </w:rPr>
              <w:t>直近FYは微マイナス</w:t>
            </w:r>
          </w:p>
        </w:tc>
      </w:tr>
      <w:tr>
        <w:tc>
          <w:tcPr>
            <w:tcW w:type="dxa" w:w="3135"/>
          </w:tcPr>
          <w:p>
            <w:r>
              <w:rPr>
                <w:rFonts w:ascii="Meiryo UI" w:hAnsi="Meiryo UI"/>
                <w:sz w:val="18"/>
              </w:rPr>
              <w:t>自己資本比率（推定）</w:t>
            </w:r>
          </w:p>
        </w:tc>
        <w:tc>
          <w:tcPr>
            <w:tcW w:type="dxa" w:w="3135"/>
          </w:tcPr>
          <w:p>
            <w:r>
              <w:rPr>
                <w:rFonts w:ascii="Meiryo UI" w:hAnsi="Meiryo UI"/>
                <w:sz w:val="18"/>
              </w:rPr>
              <w:t>30〜35%</w:t>
            </w:r>
          </w:p>
        </w:tc>
        <w:tc>
          <w:tcPr>
            <w:tcW w:type="dxa" w:w="3135"/>
          </w:tcPr>
          <w:p>
            <w:r>
              <w:rPr>
                <w:rFonts w:ascii="Meiryo UI" w:hAnsi="Meiryo UI"/>
                <w:sz w:val="18"/>
              </w:rPr>
              <w:t>財務は堅固とは言えない</w:t>
            </w:r>
          </w:p>
        </w:tc>
      </w:tr>
      <w:tr>
        <w:tc>
          <w:tcPr>
            <w:tcW w:type="dxa" w:w="3135"/>
            <w:shd w:val="clear" w:color="auto" w:fill="DDEBF7"/>
          </w:tcPr>
          <w:p>
            <w:r>
              <w:rPr>
                <w:rFonts w:ascii="Meiryo UI" w:hAnsi="Meiryo UI"/>
                <w:sz w:val="18"/>
              </w:rPr>
              <w:t>配当（推定）</w:t>
            </w:r>
          </w:p>
        </w:tc>
        <w:tc>
          <w:tcPr>
            <w:tcW w:type="dxa" w:w="3135"/>
            <w:shd w:val="clear" w:color="auto" w:fill="DDEBF7"/>
          </w:tcPr>
          <w:p>
            <w:r>
              <w:rPr>
                <w:rFonts w:ascii="Meiryo UI" w:hAnsi="Meiryo UI"/>
                <w:sz w:val="18"/>
              </w:rPr>
              <w:t>¥20円/株（維持）</w:t>
            </w:r>
          </w:p>
        </w:tc>
        <w:tc>
          <w:tcPr>
            <w:tcW w:type="dxa" w:w="3135"/>
            <w:shd w:val="clear" w:color="auto" w:fill="DDEBF7"/>
          </w:tcPr>
          <w:p>
            <w:r>
              <w:rPr>
                <w:rFonts w:ascii="Meiryo UI" w:hAnsi="Meiryo UI"/>
                <w:sz w:val="18"/>
              </w:rPr>
              <w:t>配当利回り約1.4%</w:t>
            </w:r>
          </w:p>
        </w:tc>
      </w:tr>
      <w:tr>
        <w:tc>
          <w:tcPr>
            <w:tcW w:type="dxa" w:w="3135"/>
          </w:tcPr>
          <w:p>
            <w:r>
              <w:rPr>
                <w:rFonts w:ascii="Meiryo UI" w:hAnsi="Meiryo UI"/>
                <w:sz w:val="18"/>
              </w:rPr>
              <w:t>BPS</w:t>
            </w:r>
          </w:p>
        </w:tc>
        <w:tc>
          <w:tcPr>
            <w:tcW w:type="dxa" w:w="3135"/>
          </w:tcPr>
          <w:p>
            <w:r>
              <w:rPr>
                <w:rFonts w:ascii="Meiryo UI" w:hAnsi="Meiryo UI"/>
                <w:sz w:val="18"/>
              </w:rPr>
              <w:t>¥2,519</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ネットデット（推定）</w:t>
            </w:r>
          </w:p>
        </w:tc>
        <w:tc>
          <w:tcPr>
            <w:tcW w:type="dxa" w:w="3135"/>
            <w:shd w:val="clear" w:color="auto" w:fill="DDEBF7"/>
          </w:tcPr>
          <w:p>
            <w:r>
              <w:rPr>
                <w:rFonts w:ascii="Meiryo UI" w:hAnsi="Meiryo UI"/>
                <w:sz w:val="18"/>
              </w:rPr>
              <w:t>約¥100億円</w:t>
            </w:r>
          </w:p>
        </w:tc>
        <w:tc>
          <w:tcPr>
            <w:tcW w:type="dxa" w:w="3135"/>
            <w:shd w:val="clear" w:color="auto" w:fill="DDEBF7"/>
          </w:tcPr>
          <w:p>
            <w:r>
              <w:rPr>
                <w:rFonts w:ascii="Meiryo UI" w:hAnsi="Meiryo UI"/>
                <w:sz w:val="18"/>
              </w:rPr>
              <w:t>要IR確認</w:t>
            </w:r>
          </w:p>
        </w:tc>
      </w:tr>
    </w:tbl>
    <w:p/>
    <w:p>
      <w:r>
        <w:t>──────────────────────────────────────────────────</w:t>
      </w:r>
    </w:p>
    <w:p/>
    <w:p>
      <w:pPr>
        <w:pStyle w:val="Heading2"/>
      </w:pPr>
      <w:r>
        <w:rPr>
          <w:rFonts w:ascii="Meiryo UI" w:hAnsi="Meiryo UI"/>
          <w:color w:val="2E74B5"/>
        </w:rPr>
        <w:t>第4章：DCFバリュエーション（詳細前提）</w:t>
      </w:r>
    </w:p>
    <w:p/>
    <w:p>
      <w:pPr>
        <w:pStyle w:val="Heading3"/>
      </w:pPr>
      <w:r>
        <w:rPr>
          <w:rFonts w:ascii="Meiryo UI" w:hAnsi="Meiryo UI"/>
          <w:color w:val="2E74B5"/>
        </w:rPr>
        <w:t>4-1. WACC前提（再掲・全項目明記）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JGB10Y 財務省R8.4.6（厳守）</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日本株標準推計</w:t>
            </w:r>
          </w:p>
        </w:tc>
      </w:tr>
      <w:tr>
        <w:tc>
          <w:tcPr>
            <w:tcW w:type="dxa" w:w="3135"/>
          </w:tcPr>
          <w:p>
            <w:r>
              <w:rPr>
                <w:rFonts w:ascii="Meiryo UI" w:hAnsi="Meiryo UI"/>
                <w:sz w:val="18"/>
              </w:rPr>
              <w:t>β</w:t>
            </w:r>
          </w:p>
        </w:tc>
        <w:tc>
          <w:tcPr>
            <w:tcW w:type="dxa" w:w="3135"/>
          </w:tcPr>
          <w:p>
            <w:r>
              <w:rPr>
                <w:rFonts w:ascii="Meiryo UI" w:hAnsi="Meiryo UI"/>
                <w:sz w:val="18"/>
              </w:rPr>
              <w:t>0.85</w:t>
            </w:r>
          </w:p>
        </w:tc>
        <w:tc>
          <w:tcPr>
            <w:tcW w:type="dxa" w:w="3135"/>
          </w:tcPr>
          <w:p>
            <w:r>
              <w:rPr>
                <w:rFonts w:ascii="Meiryo UI" w:hAnsi="Meiryo UI"/>
                <w:sz w:val="18"/>
              </w:rPr>
              <w:t>農業資材・食料関連セクター推定</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7.10%</w:t>
            </w:r>
          </w:p>
        </w:tc>
        <w:tc>
          <w:tcPr>
            <w:tcW w:type="dxa" w:w="3135"/>
            <w:shd w:val="clear" w:color="auto" w:fill="DDEBF7"/>
          </w:tcPr>
          <w:p>
            <w:r>
              <w:rPr>
                <w:rFonts w:ascii="Meiryo UI" w:hAnsi="Meiryo UI"/>
                <w:sz w:val="18"/>
              </w:rPr>
              <w:t>2.429% + 0.85×5.5%</w:t>
            </w:r>
          </w:p>
        </w:tc>
      </w:tr>
      <w:tr>
        <w:tc>
          <w:tcPr>
            <w:tcW w:type="dxa" w:w="3135"/>
          </w:tcPr>
          <w:p>
            <w:r>
              <w:rPr>
                <w:rFonts w:ascii="Meiryo UI" w:hAnsi="Meiryo UI"/>
                <w:sz w:val="18"/>
              </w:rPr>
              <w:t>Rd（負債コスト・税引前）</w:t>
            </w:r>
          </w:p>
        </w:tc>
        <w:tc>
          <w:tcPr>
            <w:tcW w:type="dxa" w:w="3135"/>
          </w:tcPr>
          <w:p>
            <w:r>
              <w:rPr>
                <w:rFonts w:ascii="Meiryo UI" w:hAnsi="Meiryo UI"/>
                <w:sz w:val="18"/>
              </w:rPr>
              <w:t>1.3%</w:t>
            </w:r>
          </w:p>
        </w:tc>
        <w:tc>
          <w:tcPr>
            <w:tcW w:type="dxa" w:w="3135"/>
          </w:tcPr>
          <w:p>
            <w:r>
              <w:rPr>
                <w:rFonts w:ascii="Meiryo UI" w:hAnsi="Meiryo UI"/>
                <w:sz w:val="18"/>
              </w:rPr>
              <w:t>推定平均借入金利</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日本標準</w:t>
            </w:r>
          </w:p>
        </w:tc>
      </w:tr>
      <w:tr>
        <w:tc>
          <w:tcPr>
            <w:tcW w:type="dxa" w:w="3135"/>
          </w:tcPr>
          <w:p>
            <w:r>
              <w:rPr>
                <w:rFonts w:ascii="Meiryo UI" w:hAnsi="Meiryo UI"/>
                <w:sz w:val="18"/>
              </w:rPr>
              <w:t>Rd×(1-Tc)</w:t>
            </w:r>
          </w:p>
        </w:tc>
        <w:tc>
          <w:tcPr>
            <w:tcW w:type="dxa" w:w="3135"/>
          </w:tcPr>
          <w:p>
            <w:r>
              <w:rPr>
                <w:rFonts w:ascii="Meiryo UI" w:hAnsi="Meiryo UI"/>
                <w:sz w:val="18"/>
              </w:rPr>
              <w:t>0.91%</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77.1%</w:t>
            </w:r>
          </w:p>
        </w:tc>
        <w:tc>
          <w:tcPr>
            <w:tcW w:type="dxa" w:w="3135"/>
            <w:shd w:val="clear" w:color="auto" w:fill="DDEBF7"/>
          </w:tcPr>
          <w:p>
            <w:r>
              <w:rPr>
                <w:rFonts w:ascii="Meiryo UI" w:hAnsi="Meiryo UI"/>
                <w:sz w:val="18"/>
              </w:rPr>
              <w:t>BPS×株数÷(同+有利子負債)</w:t>
            </w:r>
          </w:p>
        </w:tc>
      </w:tr>
      <w:tr>
        <w:tc>
          <w:tcPr>
            <w:tcW w:type="dxa" w:w="3135"/>
          </w:tcPr>
          <w:p>
            <w:r>
              <w:rPr>
                <w:rFonts w:ascii="Meiryo UI" w:hAnsi="Meiryo UI"/>
                <w:sz w:val="18"/>
              </w:rPr>
              <w:t>D/(D+E)</w:t>
            </w:r>
          </w:p>
        </w:tc>
        <w:tc>
          <w:tcPr>
            <w:tcW w:type="dxa" w:w="3135"/>
          </w:tcPr>
          <w:p>
            <w:r>
              <w:rPr>
                <w:rFonts w:ascii="Meiryo UI" w:hAnsi="Meiryo UI"/>
                <w:sz w:val="18"/>
              </w:rPr>
              <w:t>22.9%</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5.68%</w:t>
            </w:r>
          </w:p>
        </w:tc>
        <w:tc>
          <w:tcPr>
            <w:tcW w:type="dxa" w:w="3135"/>
            <w:shd w:val="clear" w:color="auto" w:fill="DDEBF7"/>
          </w:tcPr>
          <w:p>
            <w:r>
              <w:rPr>
                <w:rFonts w:ascii="Meiryo UI" w:hAnsi="Meiryo UI"/>
                <w:sz w:val="18"/>
              </w:rPr>
              <w:t>計算値</w:t>
            </w:r>
          </w:p>
        </w:tc>
      </w:tr>
    </w:tbl>
    <w:p/>
    <w:p>
      <w:pPr>
        <w:pStyle w:val="Heading3"/>
      </w:pPr>
      <w:r>
        <w:rPr>
          <w:rFonts w:ascii="Meiryo UI" w:hAnsi="Meiryo UI"/>
          <w:color w:val="2E74B5"/>
        </w:rPr>
        <w:t>4-2. ターミナルバリュー前提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最終年FCF</w:t>
            </w:r>
          </w:p>
        </w:tc>
        <w:tc>
          <w:tcPr>
            <w:tcW w:type="dxa" w:w="1881"/>
            <w:shd w:val="clear" w:color="auto" w:fill="2E74B5"/>
          </w:tcPr>
          <w:p>
            <w:r>
              <w:rPr>
                <w:rFonts w:ascii="Meiryo UI" w:hAnsi="Meiryo UI"/>
                <w:b/>
                <w:color w:val="FFFFFF"/>
                <w:sz w:val="18"/>
              </w:rPr>
              <w:t>g（成長率）</w:t>
            </w:r>
          </w:p>
        </w:tc>
        <w:tc>
          <w:tcPr>
            <w:tcW w:type="dxa" w:w="1881"/>
            <w:shd w:val="clear" w:color="auto" w:fill="2E74B5"/>
          </w:tcPr>
          <w:p>
            <w:r>
              <w:rPr>
                <w:rFonts w:ascii="Meiryo UI" w:hAnsi="Meiryo UI"/>
                <w:b/>
                <w:color w:val="FFFFFF"/>
                <w:sz w:val="18"/>
              </w:rPr>
              <w:t>TV計算</w:t>
            </w:r>
          </w:p>
        </w:tc>
        <w:tc>
          <w:tcPr>
            <w:tcW w:type="dxa" w:w="1881"/>
            <w:shd w:val="clear" w:color="auto" w:fill="2E74B5"/>
          </w:tcPr>
          <w:p>
            <w:r>
              <w:rPr>
                <w:rFonts w:ascii="Meiryo UI" w:hAnsi="Meiryo UI"/>
                <w:b/>
                <w:color w:val="FFFFFF"/>
                <w:sz w:val="18"/>
              </w:rPr>
              <w:t>PV(TV)</w:t>
            </w:r>
          </w:p>
        </w:tc>
      </w:tr>
      <w:tr>
        <w:tc>
          <w:tcPr>
            <w:tcW w:type="dxa" w:w="1881"/>
          </w:tcPr>
          <w:p>
            <w:r>
              <w:rPr>
                <w:rFonts w:ascii="Meiryo UI" w:hAnsi="Meiryo UI"/>
                <w:sz w:val="18"/>
              </w:rPr>
              <w:t>強気</w:t>
            </w:r>
          </w:p>
        </w:tc>
        <w:tc>
          <w:tcPr>
            <w:tcW w:type="dxa" w:w="1881"/>
          </w:tcPr>
          <w:p>
            <w:r>
              <w:rPr>
                <w:rFonts w:ascii="Meiryo UI" w:hAnsi="Meiryo UI"/>
                <w:sz w:val="18"/>
              </w:rPr>
              <w:t>¥50億</w:t>
            </w:r>
          </w:p>
        </w:tc>
        <w:tc>
          <w:tcPr>
            <w:tcW w:type="dxa" w:w="1881"/>
          </w:tcPr>
          <w:p>
            <w:r>
              <w:rPr>
                <w:rFonts w:ascii="Meiryo UI" w:hAnsi="Meiryo UI"/>
                <w:sz w:val="18"/>
              </w:rPr>
              <w:t>2.0%</w:t>
            </w:r>
          </w:p>
        </w:tc>
        <w:tc>
          <w:tcPr>
            <w:tcW w:type="dxa" w:w="1881"/>
          </w:tcPr>
          <w:p>
            <w:r>
              <w:rPr>
                <w:rFonts w:ascii="Meiryo UI" w:hAnsi="Meiryo UI"/>
                <w:sz w:val="18"/>
              </w:rPr>
              <w:t>¥1,389億</w:t>
            </w:r>
          </w:p>
        </w:tc>
        <w:tc>
          <w:tcPr>
            <w:tcW w:type="dxa" w:w="1881"/>
          </w:tcPr>
          <w:p>
            <w:r>
              <w:rPr>
                <w:rFonts w:ascii="Meiryo UI" w:hAnsi="Meiryo UI"/>
                <w:sz w:val="18"/>
              </w:rPr>
              <w:t>¥1,180億</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¥30億</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¥729億</w:t>
            </w:r>
          </w:p>
        </w:tc>
        <w:tc>
          <w:tcPr>
            <w:tcW w:type="dxa" w:w="1881"/>
            <w:shd w:val="clear" w:color="auto" w:fill="DDEBF7"/>
          </w:tcPr>
          <w:p>
            <w:r>
              <w:rPr>
                <w:rFonts w:ascii="Meiryo UI" w:hAnsi="Meiryo UI"/>
                <w:sz w:val="18"/>
              </w:rPr>
              <w:t>¥620億</w:t>
            </w:r>
          </w:p>
        </w:tc>
      </w:tr>
      <w:tr>
        <w:tc>
          <w:tcPr>
            <w:tcW w:type="dxa" w:w="1881"/>
          </w:tcPr>
          <w:p>
            <w:r>
              <w:rPr>
                <w:rFonts w:ascii="Meiryo UI" w:hAnsi="Meiryo UI"/>
                <w:sz w:val="18"/>
              </w:rPr>
              <w:t>弱気</w:t>
            </w:r>
          </w:p>
        </w:tc>
        <w:tc>
          <w:tcPr>
            <w:tcW w:type="dxa" w:w="1881"/>
          </w:tcPr>
          <w:p>
            <w:r>
              <w:rPr>
                <w:rFonts w:ascii="Meiryo UI" w:hAnsi="Meiryo UI"/>
                <w:sz w:val="18"/>
              </w:rPr>
              <w:t>¥12億</w:t>
            </w:r>
          </w:p>
        </w:tc>
        <w:tc>
          <w:tcPr>
            <w:tcW w:type="dxa" w:w="1881"/>
          </w:tcPr>
          <w:p>
            <w:r>
              <w:rPr>
                <w:rFonts w:ascii="Meiryo UI" w:hAnsi="Meiryo UI"/>
                <w:sz w:val="18"/>
              </w:rPr>
              <w:t>0.5%</w:t>
            </w:r>
          </w:p>
        </w:tc>
        <w:tc>
          <w:tcPr>
            <w:tcW w:type="dxa" w:w="1881"/>
          </w:tcPr>
          <w:p>
            <w:r>
              <w:rPr>
                <w:rFonts w:ascii="Meiryo UI" w:hAnsi="Meiryo UI"/>
                <w:sz w:val="18"/>
              </w:rPr>
              <w:t>¥233億</w:t>
            </w:r>
          </w:p>
        </w:tc>
        <w:tc>
          <w:tcPr>
            <w:tcW w:type="dxa" w:w="1881"/>
          </w:tcPr>
          <w:p>
            <w:r>
              <w:rPr>
                <w:rFonts w:ascii="Meiryo UI" w:hAnsi="Meiryo UI"/>
                <w:sz w:val="18"/>
              </w:rPr>
              <w:t>¥198億</w:t>
            </w:r>
          </w:p>
        </w:tc>
      </w:tr>
    </w:tbl>
    <w:p/>
    <w:p>
      <w:pPr>
        <w:pStyle w:val="Heading3"/>
      </w:pPr>
      <w:r>
        <w:rPr>
          <w:rFonts w:ascii="Meiryo UI" w:hAnsi="Meiryo UI"/>
          <w:color w:val="2E74B5"/>
        </w:rPr>
        <w:t>4-3. 理論株価レンジ確定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EV</w:t>
            </w:r>
          </w:p>
        </w:tc>
        <w:tc>
          <w:tcPr>
            <w:tcW w:type="dxa" w:w="2351"/>
            <w:shd w:val="clear" w:color="auto" w:fill="2E74B5"/>
          </w:tcPr>
          <w:p>
            <w:r>
              <w:rPr>
                <w:rFonts w:ascii="Meiryo UI" w:hAnsi="Meiryo UI"/>
                <w:b/>
                <w:color w:val="FFFFFF"/>
                <w:sz w:val="18"/>
              </w:rPr>
              <w:t>Equity Value</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強気</w:t>
            </w:r>
          </w:p>
        </w:tc>
        <w:tc>
          <w:tcPr>
            <w:tcW w:type="dxa" w:w="2351"/>
          </w:tcPr>
          <w:p>
            <w:r>
              <w:rPr>
                <w:rFonts w:ascii="Meiryo UI" w:hAnsi="Meiryo UI"/>
                <w:sz w:val="18"/>
              </w:rPr>
              <w:t>¥1,000億</w:t>
            </w:r>
          </w:p>
        </w:tc>
        <w:tc>
          <w:tcPr>
            <w:tcW w:type="dxa" w:w="2351"/>
          </w:tcPr>
          <w:p>
            <w:r>
              <w:rPr>
                <w:rFonts w:ascii="Meiryo UI" w:hAnsi="Meiryo UI"/>
                <w:sz w:val="18"/>
              </w:rPr>
              <w:t>¥900億</w:t>
            </w:r>
          </w:p>
        </w:tc>
        <w:tc>
          <w:tcPr>
            <w:tcW w:type="dxa" w:w="2351"/>
          </w:tcPr>
          <w:p>
            <w:r>
              <w:rPr>
                <w:rFonts w:ascii="Meiryo UI" w:hAnsi="Meiryo UI"/>
                <w:sz w:val="18"/>
              </w:rPr>
              <w:t>¥3,000</w:t>
            </w:r>
          </w:p>
        </w:tc>
      </w:tr>
      <w:tr>
        <w:tc>
          <w:tcPr>
            <w:tcW w:type="dxa" w:w="2351"/>
            <w:shd w:val="clear" w:color="auto" w:fill="DDEBF7"/>
          </w:tcPr>
          <w:p>
            <w:r>
              <w:rPr>
                <w:rFonts w:ascii="Meiryo UI" w:hAnsi="Meiryo UI"/>
                <w:sz w:val="18"/>
              </w:rPr>
              <w:t>基本</w:t>
            </w:r>
          </w:p>
        </w:tc>
        <w:tc>
          <w:tcPr>
            <w:tcW w:type="dxa" w:w="2351"/>
            <w:shd w:val="clear" w:color="auto" w:fill="DDEBF7"/>
          </w:tcPr>
          <w:p>
            <w:r>
              <w:rPr>
                <w:rFonts w:ascii="Meiryo UI" w:hAnsi="Meiryo UI"/>
                <w:sz w:val="18"/>
              </w:rPr>
              <w:t>¥690億</w:t>
            </w:r>
          </w:p>
        </w:tc>
        <w:tc>
          <w:tcPr>
            <w:tcW w:type="dxa" w:w="2351"/>
            <w:shd w:val="clear" w:color="auto" w:fill="DDEBF7"/>
          </w:tcPr>
          <w:p>
            <w:r>
              <w:rPr>
                <w:rFonts w:ascii="Meiryo UI" w:hAnsi="Meiryo UI"/>
                <w:sz w:val="18"/>
              </w:rPr>
              <w:t>¥590億</w:t>
            </w:r>
          </w:p>
        </w:tc>
        <w:tc>
          <w:tcPr>
            <w:tcW w:type="dxa" w:w="2351"/>
            <w:shd w:val="clear" w:color="auto" w:fill="DDEBF7"/>
          </w:tcPr>
          <w:p>
            <w:r>
              <w:rPr>
                <w:rFonts w:ascii="Meiryo UI" w:hAnsi="Meiryo UI"/>
                <w:sz w:val="18"/>
              </w:rPr>
              <w:t>¥1,955</w:t>
            </w:r>
          </w:p>
        </w:tc>
      </w:tr>
      <w:tr>
        <w:tc>
          <w:tcPr>
            <w:tcW w:type="dxa" w:w="2351"/>
          </w:tcPr>
          <w:p>
            <w:r>
              <w:rPr>
                <w:rFonts w:ascii="Meiryo UI" w:hAnsi="Meiryo UI"/>
                <w:sz w:val="18"/>
              </w:rPr>
              <w:t>弱気</w:t>
            </w:r>
          </w:p>
        </w:tc>
        <w:tc>
          <w:tcPr>
            <w:tcW w:type="dxa" w:w="2351"/>
          </w:tcPr>
          <w:p>
            <w:r>
              <w:rPr>
                <w:rFonts w:ascii="Meiryo UI" w:hAnsi="Meiryo UI"/>
                <w:sz w:val="18"/>
              </w:rPr>
              <w:t>¥275億</w:t>
            </w:r>
          </w:p>
        </w:tc>
        <w:tc>
          <w:tcPr>
            <w:tcW w:type="dxa" w:w="2351"/>
          </w:tcPr>
          <w:p>
            <w:r>
              <w:rPr>
                <w:rFonts w:ascii="Meiryo UI" w:hAnsi="Meiryo UI"/>
                <w:sz w:val="18"/>
              </w:rPr>
              <w:t>¥175億</w:t>
            </w:r>
          </w:p>
        </w:tc>
        <w:tc>
          <w:tcPr>
            <w:tcW w:type="dxa" w:w="2351"/>
          </w:tcPr>
          <w:p>
            <w:r>
              <w:rPr>
                <w:rFonts w:ascii="Meiryo UI" w:hAnsi="Meiryo UI"/>
                <w:sz w:val="18"/>
              </w:rPr>
              <w:t>¥583</w:t>
            </w:r>
          </w:p>
        </w:tc>
      </w:tr>
      <w:tr>
        <w:tc>
          <w:tcPr>
            <w:tcW w:type="dxa" w:w="2351"/>
            <w:shd w:val="clear" w:color="auto" w:fill="DDEBF7"/>
          </w:tcPr>
          <w:p>
            <w:r>
              <w:rPr>
                <w:rFonts w:ascii="Meiryo UI" w:hAnsi="Meiryo UI"/>
                <w:sz w:val="18"/>
              </w:rPr>
              <w:t>加重平均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¥1,842</w:t>
            </w:r>
          </w:p>
        </w:tc>
      </w:tr>
    </w:tbl>
    <w:p/>
    <w:p>
      <w:r>
        <w:rPr>
          <w:rFonts w:ascii="Meiryo UI" w:hAnsi="Meiryo UI"/>
          <w:sz w:val="20"/>
        </w:rPr>
        <w:t>確率加重：強気30%・基本50%・弱気20%</w:t>
      </w:r>
    </w:p>
    <w:p>
      <w:r>
        <w:rPr>
          <w:rFonts w:ascii="Meiryo UI" w:hAnsi="Meiryo UI"/>
          <w:sz w:val="20"/>
        </w:rPr>
        <w:t>加重平均理論株価：¥3,000×0.30 + ¥1,955×0.50 + ¥583×0.20 = ¥900 + ¥978 + ¥117 = ¥1,995</w:t>
      </w:r>
    </w:p>
    <w:p/>
    <w:p>
      <w:r>
        <w:t>──────────────────────────────────────────────────</w:t>
      </w:r>
    </w:p>
    <w:p/>
    <w:p>
      <w:pPr>
        <w:pStyle w:val="Heading2"/>
      </w:pPr>
      <w:r>
        <w:rPr>
          <w:rFonts w:ascii="Meiryo UI" w:hAnsi="Meiryo UI"/>
          <w:color w:val="2E74B5"/>
        </w:rPr>
        <w:t>第5章：理論株価と投資判断</w:t>
      </w:r>
    </w:p>
    <w:p/>
    <w:p>
      <w:pPr>
        <w:pStyle w:val="Heading3"/>
      </w:pPr>
      <w:r>
        <w:rPr>
          <w:rFonts w:ascii="Meiryo UI" w:hAnsi="Meiryo UI"/>
          <w:color w:val="2E74B5"/>
        </w:rPr>
        <w:t>5-1. バリュエーションサマリー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理論株価レンジ</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DCF（基本）</w:t>
            </w:r>
          </w:p>
        </w:tc>
        <w:tc>
          <w:tcPr>
            <w:tcW w:type="dxa" w:w="3135"/>
          </w:tcPr>
          <w:p>
            <w:r>
              <w:rPr>
                <w:rFonts w:ascii="Meiryo UI" w:hAnsi="Meiryo UI"/>
                <w:sz w:val="18"/>
              </w:rPr>
              <w:t>¥1,750〜¥2,150</w:t>
            </w:r>
          </w:p>
        </w:tc>
        <w:tc>
          <w:tcPr>
            <w:tcW w:type="dxa" w:w="3135"/>
          </w:tcPr>
          <w:p>
            <w:r>
              <w:rPr>
                <w:rFonts w:ascii="Meiryo UI" w:hAnsi="Meiryo UI"/>
                <w:sz w:val="18"/>
              </w:rPr>
              <w:t>+27〜55%</w:t>
            </w:r>
          </w:p>
        </w:tc>
      </w:tr>
      <w:tr>
        <w:tc>
          <w:tcPr>
            <w:tcW w:type="dxa" w:w="3135"/>
            <w:shd w:val="clear" w:color="auto" w:fill="DDEBF7"/>
          </w:tcPr>
          <w:p>
            <w:r>
              <w:rPr>
                <w:rFonts w:ascii="Meiryo UI" w:hAnsi="Meiryo UI"/>
                <w:sz w:val="18"/>
              </w:rPr>
              <w:t>DCF（強気）</w:t>
            </w:r>
          </w:p>
        </w:tc>
        <w:tc>
          <w:tcPr>
            <w:tcW w:type="dxa" w:w="3135"/>
            <w:shd w:val="clear" w:color="auto" w:fill="DDEBF7"/>
          </w:tcPr>
          <w:p>
            <w:r>
              <w:rPr>
                <w:rFonts w:ascii="Meiryo UI" w:hAnsi="Meiryo UI"/>
                <w:sz w:val="18"/>
              </w:rPr>
              <w:t>¥2,833〜¥3,167</w:t>
            </w:r>
          </w:p>
        </w:tc>
        <w:tc>
          <w:tcPr>
            <w:tcW w:type="dxa" w:w="3135"/>
            <w:shd w:val="clear" w:color="auto" w:fill="DDEBF7"/>
          </w:tcPr>
          <w:p>
            <w:r>
              <w:rPr>
                <w:rFonts w:ascii="Meiryo UI" w:hAnsi="Meiryo UI"/>
                <w:sz w:val="18"/>
              </w:rPr>
              <w:t>+105〜129%</w:t>
            </w:r>
          </w:p>
        </w:tc>
      </w:tr>
      <w:tr>
        <w:tc>
          <w:tcPr>
            <w:tcW w:type="dxa" w:w="3135"/>
          </w:tcPr>
          <w:p>
            <w:r>
              <w:rPr>
                <w:rFonts w:ascii="Meiryo UI" w:hAnsi="Meiryo UI"/>
                <w:sz w:val="18"/>
              </w:rPr>
              <w:t>DCF（弱気）</w:t>
            </w:r>
          </w:p>
        </w:tc>
        <w:tc>
          <w:tcPr>
            <w:tcW w:type="dxa" w:w="3135"/>
          </w:tcPr>
          <w:p>
            <w:r>
              <w:rPr>
                <w:rFonts w:ascii="Meiryo UI" w:hAnsi="Meiryo UI"/>
                <w:sz w:val="18"/>
              </w:rPr>
              <w:t>¥500〜¥667</w:t>
            </w:r>
          </w:p>
        </w:tc>
        <w:tc>
          <w:tcPr>
            <w:tcW w:type="dxa" w:w="3135"/>
          </w:tcPr>
          <w:p>
            <w:r>
              <w:rPr>
                <w:rFonts w:ascii="Meiryo UI" w:hAnsi="Meiryo UI"/>
                <w:sz w:val="18"/>
              </w:rPr>
              <w:t>▲52〜64%</w:t>
            </w:r>
          </w:p>
        </w:tc>
      </w:tr>
      <w:tr>
        <w:tc>
          <w:tcPr>
            <w:tcW w:type="dxa" w:w="3135"/>
            <w:shd w:val="clear" w:color="auto" w:fill="DDEBF7"/>
          </w:tcPr>
          <w:p>
            <w:r>
              <w:rPr>
                <w:rFonts w:ascii="Meiryo UI" w:hAnsi="Meiryo UI"/>
                <w:sz w:val="18"/>
              </w:rPr>
              <w:t>NAVベース</w:t>
            </w:r>
          </w:p>
        </w:tc>
        <w:tc>
          <w:tcPr>
            <w:tcW w:type="dxa" w:w="3135"/>
            <w:shd w:val="clear" w:color="auto" w:fill="DDEBF7"/>
          </w:tcPr>
          <w:p>
            <w:r>
              <w:rPr>
                <w:rFonts w:ascii="Meiryo UI" w:hAnsi="Meiryo UI"/>
                <w:sz w:val="18"/>
              </w:rPr>
              <w:t>¥2,659〜¥2,792</w:t>
            </w:r>
          </w:p>
        </w:tc>
        <w:tc>
          <w:tcPr>
            <w:tcW w:type="dxa" w:w="3135"/>
            <w:shd w:val="clear" w:color="auto" w:fill="DDEBF7"/>
          </w:tcPr>
          <w:p>
            <w:r>
              <w:rPr>
                <w:rFonts w:ascii="Meiryo UI" w:hAnsi="Meiryo UI"/>
                <w:sz w:val="18"/>
              </w:rPr>
              <w:t>+92〜102%</w:t>
            </w:r>
          </w:p>
        </w:tc>
      </w:tr>
      <w:tr>
        <w:tc>
          <w:tcPr>
            <w:tcW w:type="dxa" w:w="3135"/>
          </w:tcPr>
          <w:p>
            <w:r>
              <w:rPr>
                <w:rFonts w:ascii="Meiryo UI" w:hAnsi="Meiryo UI"/>
                <w:sz w:val="18"/>
              </w:rPr>
              <w:t>DCF加重平均</w:t>
            </w:r>
          </w:p>
        </w:tc>
        <w:tc>
          <w:tcPr>
            <w:tcW w:type="dxa" w:w="3135"/>
          </w:tcPr>
          <w:p>
            <w:r>
              <w:rPr>
                <w:rFonts w:ascii="Meiryo UI" w:hAnsi="Meiryo UI"/>
                <w:sz w:val="18"/>
              </w:rPr>
              <w:t>¥1,995</w:t>
            </w:r>
          </w:p>
        </w:tc>
        <w:tc>
          <w:tcPr>
            <w:tcW w:type="dxa" w:w="3135"/>
          </w:tcPr>
          <w:p>
            <w:r>
              <w:rPr>
                <w:rFonts w:ascii="Meiryo UI" w:hAnsi="Meiryo UI"/>
                <w:sz w:val="18"/>
              </w:rPr>
              <w:t>+44%</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投資判断：BUY（買い）                  ║</w:t>
        <w:br/>
        <w:t>║  理論株価（基本）：¥1,955              ║</w:t>
        <w:br/>
        <w:t>║  エントリー推奨レンジ：¥1,300〜¥1,450 ║</w:t>
        <w:br/>
        <w:t>║  12〜18ヶ月ターゲット：¥1,800〜¥2,200 ║</w:t>
        <w:br/>
        <w:t>║  損切りライン：¥1,100                  ║</w:t>
        <w:br/>
        <w:t>╚════════════════════════════════════════╝</w:t>
      </w:r>
    </w:p>
    <w:p/>
    <w:p>
      <w:r>
        <w:rPr>
          <w:rFonts w:ascii="Meiryo UI" w:hAnsi="Meiryo UI"/>
          <w:sz w:val="20"/>
        </w:rPr>
        <w:t>安全域（Margin of Safety）：</w:t>
      </w:r>
    </w:p>
    <w:p>
      <w:pPr>
        <w:pStyle w:val="ListBullet"/>
      </w:pPr>
      <w:r>
        <w:rPr>
          <w:rFonts w:ascii="Meiryo UI" w:hAnsi="Meiryo UI"/>
          <w:sz w:val="20"/>
        </w:rPr>
        <w:t>現在株価¥1,383は基本シナリオ理論株価¥1,955に対し29.2%のMOSが確保されている</w:t>
      </w:r>
    </w:p>
    <w:p>
      <w:pPr>
        <w:pStyle w:val="ListBullet"/>
      </w:pPr>
      <w:r>
        <w:rPr>
          <w:rFonts w:ascii="Meiryo UI" w:hAnsi="Meiryo UI"/>
          <w:sz w:val="20"/>
        </w:rPr>
        <w:t>NAV¥2,725（中間値）に対しては49.2%のMOS</w:t>
      </w:r>
    </w:p>
    <w:p>
      <w:pPr>
        <w:pStyle w:val="ListBullet"/>
      </w:pPr>
      <w:r>
        <w:rPr>
          <w:rFonts w:ascii="Meiryo UI" w:hAnsi="Meiryo UI"/>
          <w:sz w:val="20"/>
        </w:rPr>
        <w:t>この水準はバリュー投資の観点で十分な安全域</w:t>
      </w:r>
    </w:p>
    <w:p/>
    <w:p>
      <w:r>
        <w:t>──────────────────────────────────────────────────</w:t>
      </w:r>
    </w:p>
    <w:p/>
    <w:p>
      <w:pPr>
        <w:pStyle w:val="Heading2"/>
      </w:pPr>
      <w:r>
        <w:rPr>
          <w:rFonts w:ascii="Meiryo UI" w:hAnsi="Meiryo UI"/>
          <w:color w:val="2E74B5"/>
        </w:rPr>
        <w:t>第6章：メインシナリオ vs リスクシナリオ（3ケース）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強気ケース</w:t>
            </w:r>
          </w:p>
        </w:tc>
        <w:tc>
          <w:tcPr>
            <w:tcW w:type="dxa" w:w="2351"/>
            <w:shd w:val="clear" w:color="auto" w:fill="2E74B5"/>
          </w:tcPr>
          <w:p>
            <w:r>
              <w:rPr>
                <w:rFonts w:ascii="Meiryo UI" w:hAnsi="Meiryo UI"/>
                <w:b/>
                <w:color w:val="FFFFFF"/>
                <w:sz w:val="18"/>
              </w:rPr>
              <w:t>基本ケース</w:t>
            </w:r>
          </w:p>
        </w:tc>
        <w:tc>
          <w:tcPr>
            <w:tcW w:type="dxa" w:w="2351"/>
            <w:shd w:val="clear" w:color="auto" w:fill="2E74B5"/>
          </w:tcPr>
          <w:p>
            <w:r>
              <w:rPr>
                <w:rFonts w:ascii="Meiryo UI" w:hAnsi="Meiryo UI"/>
                <w:b/>
                <w:color w:val="FFFFFF"/>
                <w:sz w:val="18"/>
              </w:rPr>
              <w:t>弱気ケース</w:t>
            </w:r>
          </w:p>
        </w:tc>
      </w:tr>
      <w:tr>
        <w:tc>
          <w:tcPr>
            <w:tcW w:type="dxa" w:w="2351"/>
          </w:tcPr>
          <w:p>
            <w:r>
              <w:rPr>
                <w:rFonts w:ascii="Meiryo UI" w:hAnsi="Meiryo UI"/>
                <w:sz w:val="18"/>
              </w:rPr>
              <w:t>シナリオ名</w:t>
            </w:r>
          </w:p>
        </w:tc>
        <w:tc>
          <w:tcPr>
            <w:tcW w:type="dxa" w:w="2351"/>
          </w:tcPr>
          <w:p>
            <w:r>
              <w:rPr>
                <w:rFonts w:ascii="Meiryo UI" w:hAnsi="Meiryo UI"/>
                <w:sz w:val="18"/>
              </w:rPr>
              <w:t>ホルムズ長期化+CGコード対応</w:t>
            </w:r>
          </w:p>
        </w:tc>
        <w:tc>
          <w:tcPr>
            <w:tcW w:type="dxa" w:w="2351"/>
          </w:tcPr>
          <w:p>
            <w:r>
              <w:rPr>
                <w:rFonts w:ascii="Meiryo UI" w:hAnsi="Meiryo UI"/>
                <w:sz w:val="18"/>
              </w:rPr>
              <w:t>封鎖6ヶ月+転嫁実現</w:t>
            </w:r>
          </w:p>
        </w:tc>
        <w:tc>
          <w:tcPr>
            <w:tcW w:type="dxa" w:w="2351"/>
          </w:tcPr>
          <w:p>
            <w:r>
              <w:rPr>
                <w:rFonts w:ascii="Meiryo UI" w:hAnsi="Meiryo UI"/>
                <w:sz w:val="18"/>
              </w:rPr>
              <w:t>早期解決+全農内製化</w:t>
            </w:r>
          </w:p>
        </w:tc>
      </w:tr>
      <w:tr>
        <w:tc>
          <w:tcPr>
            <w:tcW w:type="dxa" w:w="2351"/>
            <w:shd w:val="clear" w:color="auto" w:fill="DDEBF7"/>
          </w:tcPr>
          <w:p>
            <w:r>
              <w:rPr>
                <w:rFonts w:ascii="Meiryo UI" w:hAnsi="Meiryo UI"/>
                <w:sz w:val="18"/>
              </w:rPr>
              <w:t>尿素価格想定</w:t>
            </w:r>
          </w:p>
        </w:tc>
        <w:tc>
          <w:tcPr>
            <w:tcW w:type="dxa" w:w="2351"/>
            <w:shd w:val="clear" w:color="auto" w:fill="DDEBF7"/>
          </w:tcPr>
          <w:p>
            <w:r>
              <w:rPr>
                <w:rFonts w:ascii="Meiryo UI" w:hAnsi="Meiryo UI"/>
                <w:sz w:val="18"/>
              </w:rPr>
              <w:t>$900/t（ピーク）</w:t>
            </w:r>
          </w:p>
        </w:tc>
        <w:tc>
          <w:tcPr>
            <w:tcW w:type="dxa" w:w="2351"/>
            <w:shd w:val="clear" w:color="auto" w:fill="DDEBF7"/>
          </w:tcPr>
          <w:p>
            <w:r>
              <w:rPr>
                <w:rFonts w:ascii="Meiryo UI" w:hAnsi="Meiryo UI"/>
                <w:sz w:val="18"/>
              </w:rPr>
              <w:t>$726→$600/t</w:t>
            </w:r>
          </w:p>
        </w:tc>
        <w:tc>
          <w:tcPr>
            <w:tcW w:type="dxa" w:w="2351"/>
            <w:shd w:val="clear" w:color="auto" w:fill="DDEBF7"/>
          </w:tcPr>
          <w:p>
            <w:r>
              <w:rPr>
                <w:rFonts w:ascii="Meiryo UI" w:hAnsi="Meiryo UI"/>
                <w:sz w:val="18"/>
              </w:rPr>
              <w:t>$400/t（急落）</w:t>
            </w:r>
          </w:p>
        </w:tc>
      </w:tr>
      <w:tr>
        <w:tc>
          <w:tcPr>
            <w:tcW w:type="dxa" w:w="2351"/>
          </w:tcPr>
          <w:p>
            <w:r>
              <w:rPr>
                <w:rFonts w:ascii="Meiryo UI" w:hAnsi="Meiryo UI"/>
                <w:sz w:val="18"/>
              </w:rPr>
              <w:t>転嫁率</w:t>
            </w:r>
          </w:p>
        </w:tc>
        <w:tc>
          <w:tcPr>
            <w:tcW w:type="dxa" w:w="2351"/>
          </w:tcPr>
          <w:p>
            <w:r>
              <w:rPr>
                <w:rFonts w:ascii="Meiryo UI" w:hAnsi="Meiryo UI"/>
                <w:sz w:val="18"/>
              </w:rPr>
              <w:t>90%以上</w:t>
            </w:r>
          </w:p>
        </w:tc>
        <w:tc>
          <w:tcPr>
            <w:tcW w:type="dxa" w:w="2351"/>
          </w:tcPr>
          <w:p>
            <w:r>
              <w:rPr>
                <w:rFonts w:ascii="Meiryo UI" w:hAnsi="Meiryo UI"/>
                <w:sz w:val="18"/>
              </w:rPr>
              <w:t>70〜80%</w:t>
            </w:r>
          </w:p>
        </w:tc>
        <w:tc>
          <w:tcPr>
            <w:tcW w:type="dxa" w:w="2351"/>
          </w:tcPr>
          <w:p>
            <w:r>
              <w:rPr>
                <w:rFonts w:ascii="Meiryo UI" w:hAnsi="Meiryo UI"/>
                <w:sz w:val="18"/>
              </w:rPr>
              <w:t>30%以下</w:t>
            </w:r>
          </w:p>
        </w:tc>
      </w:tr>
      <w:tr>
        <w:tc>
          <w:tcPr>
            <w:tcW w:type="dxa" w:w="2351"/>
            <w:shd w:val="clear" w:color="auto" w:fill="DDEBF7"/>
          </w:tcPr>
          <w:p>
            <w:r>
              <w:rPr>
                <w:rFonts w:ascii="Meiryo UI" w:hAnsi="Meiryo UI"/>
                <w:sz w:val="18"/>
              </w:rPr>
              <w:t>在庫含み益</w:t>
            </w:r>
          </w:p>
        </w:tc>
        <w:tc>
          <w:tcPr>
            <w:tcW w:type="dxa" w:w="2351"/>
            <w:shd w:val="clear" w:color="auto" w:fill="DDEBF7"/>
          </w:tcPr>
          <w:p>
            <w:r>
              <w:rPr>
                <w:rFonts w:ascii="Meiryo UI" w:hAnsi="Meiryo UI"/>
                <w:sz w:val="18"/>
              </w:rPr>
              <w:t>¥15〜20億円</w:t>
            </w:r>
          </w:p>
        </w:tc>
        <w:tc>
          <w:tcPr>
            <w:tcW w:type="dxa" w:w="2351"/>
            <w:shd w:val="clear" w:color="auto" w:fill="DDEBF7"/>
          </w:tcPr>
          <w:p>
            <w:r>
              <w:rPr>
                <w:rFonts w:ascii="Meiryo UI" w:hAnsi="Meiryo UI"/>
                <w:sz w:val="18"/>
              </w:rPr>
              <w:t>¥7〜10億円</w:t>
            </w:r>
          </w:p>
        </w:tc>
        <w:tc>
          <w:tcPr>
            <w:tcW w:type="dxa" w:w="2351"/>
            <w:shd w:val="clear" w:color="auto" w:fill="DDEBF7"/>
          </w:tcPr>
          <w:p>
            <w:r>
              <w:rPr>
                <w:rFonts w:ascii="Meiryo UI" w:hAnsi="Meiryo UI"/>
                <w:sz w:val="18"/>
              </w:rPr>
              <w:t>▲3〜5億円（評価損）</w:t>
            </w:r>
          </w:p>
        </w:tc>
      </w:tr>
      <w:tr>
        <w:tc>
          <w:tcPr>
            <w:tcW w:type="dxa" w:w="2351"/>
          </w:tcPr>
          <w:p>
            <w:r>
              <w:rPr>
                <w:rFonts w:ascii="Meiryo UI" w:hAnsi="Meiryo UI"/>
                <w:sz w:val="18"/>
              </w:rPr>
              <w:t>FY2026売上</w:t>
            </w:r>
          </w:p>
        </w:tc>
        <w:tc>
          <w:tcPr>
            <w:tcW w:type="dxa" w:w="2351"/>
          </w:tcPr>
          <w:p>
            <w:r>
              <w:rPr>
                <w:rFonts w:ascii="Meiryo UI" w:hAnsi="Meiryo UI"/>
                <w:sz w:val="18"/>
              </w:rPr>
              <w:t>¥1,350〜¥1,450億円</w:t>
            </w:r>
          </w:p>
        </w:tc>
        <w:tc>
          <w:tcPr>
            <w:tcW w:type="dxa" w:w="2351"/>
          </w:tcPr>
          <w:p>
            <w:r>
              <w:rPr>
                <w:rFonts w:ascii="Meiryo UI" w:hAnsi="Meiryo UI"/>
                <w:sz w:val="18"/>
              </w:rPr>
              <w:t>¥1,150〜¥1,250億円</w:t>
            </w:r>
          </w:p>
        </w:tc>
        <w:tc>
          <w:tcPr>
            <w:tcW w:type="dxa" w:w="2351"/>
          </w:tcPr>
          <w:p>
            <w:r>
              <w:rPr>
                <w:rFonts w:ascii="Meiryo UI" w:hAnsi="Meiryo UI"/>
                <w:sz w:val="18"/>
              </w:rPr>
              <w:t>¥1,000〜¥1,050億円</w:t>
            </w:r>
          </w:p>
        </w:tc>
      </w:tr>
      <w:tr>
        <w:tc>
          <w:tcPr>
            <w:tcW w:type="dxa" w:w="2351"/>
            <w:shd w:val="clear" w:color="auto" w:fill="DDEBF7"/>
          </w:tcPr>
          <w:p>
            <w:r>
              <w:rPr>
                <w:rFonts w:ascii="Meiryo UI" w:hAnsi="Meiryo UI"/>
                <w:sz w:val="18"/>
              </w:rPr>
              <w:t>FY2026営業利益</w:t>
            </w:r>
          </w:p>
        </w:tc>
        <w:tc>
          <w:tcPr>
            <w:tcW w:type="dxa" w:w="2351"/>
            <w:shd w:val="clear" w:color="auto" w:fill="DDEBF7"/>
          </w:tcPr>
          <w:p>
            <w:r>
              <w:rPr>
                <w:rFonts w:ascii="Meiryo UI" w:hAnsi="Meiryo UI"/>
                <w:sz w:val="18"/>
              </w:rPr>
              <w:t>¥20〜30億円</w:t>
            </w:r>
          </w:p>
        </w:tc>
        <w:tc>
          <w:tcPr>
            <w:tcW w:type="dxa" w:w="2351"/>
            <w:shd w:val="clear" w:color="auto" w:fill="DDEBF7"/>
          </w:tcPr>
          <w:p>
            <w:r>
              <w:rPr>
                <w:rFonts w:ascii="Meiryo UI" w:hAnsi="Meiryo UI"/>
                <w:sz w:val="18"/>
              </w:rPr>
              <w:t>¥10〜20億円</w:t>
            </w:r>
          </w:p>
        </w:tc>
        <w:tc>
          <w:tcPr>
            <w:tcW w:type="dxa" w:w="2351"/>
            <w:shd w:val="clear" w:color="auto" w:fill="DDEBF7"/>
          </w:tcPr>
          <w:p>
            <w:r>
              <w:rPr>
                <w:rFonts w:ascii="Meiryo UI" w:hAnsi="Meiryo UI"/>
                <w:sz w:val="18"/>
              </w:rPr>
              <w:t>▲10〜0億円</w:t>
            </w:r>
          </w:p>
        </w:tc>
      </w:tr>
      <w:tr>
        <w:tc>
          <w:tcPr>
            <w:tcW w:type="dxa" w:w="2351"/>
          </w:tcPr>
          <w:p>
            <w:r>
              <w:rPr>
                <w:rFonts w:ascii="Meiryo UI" w:hAnsi="Meiryo UI"/>
                <w:sz w:val="18"/>
              </w:rPr>
              <w:t>ROE（FY2026）</w:t>
            </w:r>
          </w:p>
        </w:tc>
        <w:tc>
          <w:tcPr>
            <w:tcW w:type="dxa" w:w="2351"/>
          </w:tcPr>
          <w:p>
            <w:r>
              <w:rPr>
                <w:rFonts w:ascii="Meiryo UI" w:hAnsi="Meiryo UI"/>
                <w:sz w:val="18"/>
              </w:rPr>
              <w:t>+5〜8%</w:t>
            </w:r>
          </w:p>
        </w:tc>
        <w:tc>
          <w:tcPr>
            <w:tcW w:type="dxa" w:w="2351"/>
          </w:tcPr>
          <w:p>
            <w:r>
              <w:rPr>
                <w:rFonts w:ascii="Meiryo UI" w:hAnsi="Meiryo UI"/>
                <w:sz w:val="18"/>
              </w:rPr>
              <w:t>+1〜3%</w:t>
            </w:r>
          </w:p>
        </w:tc>
        <w:tc>
          <w:tcPr>
            <w:tcW w:type="dxa" w:w="2351"/>
          </w:tcPr>
          <w:p>
            <w:r>
              <w:rPr>
                <w:rFonts w:ascii="Meiryo UI" w:hAnsi="Meiryo UI"/>
                <w:sz w:val="18"/>
              </w:rPr>
              <w:t>▲5〜▲3%</w:t>
            </w:r>
          </w:p>
        </w:tc>
      </w:tr>
      <w:tr>
        <w:tc>
          <w:tcPr>
            <w:tcW w:type="dxa" w:w="2351"/>
            <w:shd w:val="clear" w:color="auto" w:fill="DDEBF7"/>
          </w:tcPr>
          <w:p>
            <w:r>
              <w:rPr>
                <w:rFonts w:ascii="Meiryo UI" w:hAnsi="Meiryo UI"/>
                <w:sz w:val="18"/>
              </w:rPr>
              <w:t>CGコード対応</w:t>
            </w:r>
          </w:p>
        </w:tc>
        <w:tc>
          <w:tcPr>
            <w:tcW w:type="dxa" w:w="2351"/>
            <w:shd w:val="clear" w:color="auto" w:fill="DDEBF7"/>
          </w:tcPr>
          <w:p>
            <w:r>
              <w:rPr>
                <w:rFonts w:ascii="Meiryo UI" w:hAnsi="Meiryo UI"/>
                <w:sz w:val="18"/>
              </w:rPr>
              <w:t>自社株買い50億+増配</w:t>
            </w:r>
          </w:p>
        </w:tc>
        <w:tc>
          <w:tcPr>
            <w:tcW w:type="dxa" w:w="2351"/>
            <w:shd w:val="clear" w:color="auto" w:fill="DDEBF7"/>
          </w:tcPr>
          <w:p>
            <w:r>
              <w:rPr>
                <w:rFonts w:ascii="Meiryo UI" w:hAnsi="Meiryo UI"/>
                <w:sz w:val="18"/>
              </w:rPr>
              <w:t>自社株買い30億</w:t>
            </w:r>
          </w:p>
        </w:tc>
        <w:tc>
          <w:tcPr>
            <w:tcW w:type="dxa" w:w="2351"/>
            <w:shd w:val="clear" w:color="auto" w:fill="DDEBF7"/>
          </w:tcPr>
          <w:p>
            <w:r>
              <w:rPr>
                <w:rFonts w:ascii="Meiryo UI" w:hAnsi="Meiryo UI"/>
                <w:sz w:val="18"/>
              </w:rPr>
              <w:t>対応先送り</w:t>
            </w:r>
          </w:p>
        </w:tc>
      </w:tr>
      <w:tr>
        <w:tc>
          <w:tcPr>
            <w:tcW w:type="dxa" w:w="2351"/>
          </w:tcPr>
          <w:p>
            <w:r>
              <w:rPr>
                <w:rFonts w:ascii="Meiryo UI" w:hAnsi="Meiryo UI"/>
                <w:sz w:val="18"/>
              </w:rPr>
              <w:t>理論株価</w:t>
            </w:r>
          </w:p>
        </w:tc>
        <w:tc>
          <w:tcPr>
            <w:tcW w:type="dxa" w:w="2351"/>
          </w:tcPr>
          <w:p>
            <w:r>
              <w:rPr>
                <w:rFonts w:ascii="Meiryo UI" w:hAnsi="Meiryo UI"/>
                <w:sz w:val="18"/>
              </w:rPr>
              <w:t>¥2,833〜¥3,167</w:t>
            </w:r>
          </w:p>
        </w:tc>
        <w:tc>
          <w:tcPr>
            <w:tcW w:type="dxa" w:w="2351"/>
          </w:tcPr>
          <w:p>
            <w:r>
              <w:rPr>
                <w:rFonts w:ascii="Meiryo UI" w:hAnsi="Meiryo UI"/>
                <w:sz w:val="18"/>
              </w:rPr>
              <w:t>¥1,750〜¥2,150</w:t>
            </w:r>
          </w:p>
        </w:tc>
        <w:tc>
          <w:tcPr>
            <w:tcW w:type="dxa" w:w="2351"/>
          </w:tcPr>
          <w:p>
            <w:r>
              <w:rPr>
                <w:rFonts w:ascii="Meiryo UI" w:hAnsi="Meiryo UI"/>
                <w:sz w:val="18"/>
              </w:rPr>
              <w:t>¥500〜¥667</w:t>
            </w:r>
          </w:p>
        </w:tc>
      </w:tr>
      <w:tr>
        <w:tc>
          <w:tcPr>
            <w:tcW w:type="dxa" w:w="2351"/>
            <w:shd w:val="clear" w:color="auto" w:fill="DDEBF7"/>
          </w:tcPr>
          <w:p>
            <w:r>
              <w:rPr>
                <w:rFonts w:ascii="Meiryo UI" w:hAnsi="Meiryo UI"/>
                <w:sz w:val="18"/>
              </w:rPr>
              <w:t>発生確率</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20%</w:t>
            </w:r>
          </w:p>
        </w:tc>
      </w:tr>
    </w:tbl>
    <w:p/>
    <w:p>
      <w:r>
        <w:t>──────────────────────────────────────────────────</w:t>
      </w:r>
    </w:p>
    <w:p/>
    <w:p>
      <w:pPr>
        <w:pStyle w:val="Heading2"/>
      </w:pPr>
      <w:r>
        <w:rPr>
          <w:rFonts w:ascii="Meiryo UI" w:hAnsi="Meiryo UI"/>
          <w:color w:val="2E74B5"/>
        </w:rPr>
        <w:t>第7章：浅井速報との統合評価</w:t>
      </w:r>
    </w:p>
    <w:p/>
    <w:p>
      <w:r>
        <w:rPr>
          <w:rFonts w:ascii="Meiryo UI" w:hAnsi="Meiryo UI"/>
          <w:sz w:val="20"/>
        </w:rPr>
        <w:t>浅井速報スコア： +0（BUY）/ 浅井コメント：+88（新規）</w:t>
      </w:r>
    </w:p>
    <w:p/>
    <w:p>
      <w:pPr>
        <w:pStyle w:val="Heading3"/>
      </w:pPr>
      <w:r>
        <w:rPr>
          <w:rFonts w:ascii="Meiryo UI" w:hAnsi="Meiryo UI"/>
          <w:color w:val="2E74B5"/>
        </w:rPr>
        <w:t>7-1. センチメントと本源的価値のギャップ分析</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