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eastAsia="Yu Gothic"/>
          <w:rFonts w:ascii="Yu Gothic" w:hAnsi="Yu Gothic"/>
          <w:b w:val="0"/>
          <w:color w:val="2E74B5"/>
          <w:sz w:val="22"/>
        </w:rPr>
        <w:t>竹村トレードカンパニー アナリストチーム</w:t>
      </w:r>
    </w:p>
    <w:p/>
    <w:p>
      <w:pPr>
        <w:jc w:val="center"/>
      </w:pPr>
      <w:r>
        <w:rPr>
          <w:rFonts w:eastAsia="Yu Gothic"/>
          <w:rFonts w:ascii="Yu Gothic" w:hAnsi="Yu Gothic"/>
          <w:b/>
          <w:color w:val="00467F"/>
          <w:sz w:val="44"/>
        </w:rPr>
        <w:t>4031 片倉コープアグリ株式会社</w:t>
      </w:r>
    </w:p>
    <w:p/>
    <w:p>
      <w:pPr>
        <w:jc w:val="center"/>
      </w:pPr>
      <w:r>
        <w:rPr>
          <w:rFonts w:eastAsia="Yu Gothic"/>
          <w:rFonts w:ascii="Yu Gothic" w:hAnsi="Yu Gothic"/>
          <w:b/>
          <w:color w:val="2E74B5"/>
          <w:sz w:val="28"/>
        </w:rPr>
        <w:t>Deep Research — WATCH +48</w:t>
      </w:r>
    </w:p>
    <w:p/>
    <w:p/>
    <w:p>
      <w:pPr>
        <w:jc w:val="center"/>
      </w:pPr>
      <w:r>
        <w:rPr>
          <w:rFonts w:eastAsia="Yu Gothic"/>
          <w:rFonts w:ascii="Yu Gothic" w:hAnsi="Yu Gothic"/>
          <w:b w:val="0"/>
          <w:sz w:val="22"/>
        </w:rPr>
        <w:t>担当アナリスト：深井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2"/>
        </w:rPr>
        <w:t>分析日：2026-04-25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2"/>
        </w:rPr>
        <w:t>TP（中心値）：¥1,500〜¥1,700（現値+21〜+37%）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2"/>
        </w:rPr>
        <w:t>BullTP：¥2,000〜¥2,500（ホルムズ長期化×尿素高シナリオ）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2"/>
        </w:rPr>
        <w:t>優先度：1（最高）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2"/>
        </w:rPr>
        <w:t>推奨アクション：5/15決算後にエントリー判断</w:t>
      </w:r>
    </w:p>
    <w:p>
      <w:r>
        <w:br w:type="page"/>
      </w:r>
    </w:p>
    <w:p>
      <w:pPr>
        <w:spacing w:before="20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00467F"/>
          <w:sz w:val="32"/>
        </w:rPr>
        <w:t>4031 片倉コープアグリ株式会社 — Deep Research</w:t>
      </w:r>
    </w:p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冒頭10秒エグゼクティブサマリー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WATCH / 条件付き逆張り候補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スコア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+48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現在株価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¥1,237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TP（中心値）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¥1,500〜¥1,700（+21〜+37%）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BullTP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¥2,000〜¥2,500（ホルムズ長期化×尿素高継続シナリオ）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安全域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BPS¥2,519 × PBR0.49× = 解散価値の半値で取引中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推奨アクション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5/15決算発表後にエントリー判断。決算前購入は不合理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3弾丸</w:t>
      </w:r>
      <w:r>
        <w:rPr>
          <w:rFonts w:eastAsia="Yu Gothic"/>
          <w:rFonts w:ascii="Yu Gothic" w:hAnsi="Yu Gothic"/>
          <w:b w:val="0"/>
          <w:sz w:val="20"/>
        </w:rPr>
        <w:t>：①尿素+54%×農業資材値上げが価格転嫁の追い風（2023年再来シナリオ）　②3Q経常利益が通期予想の153%超過（事業自体は改善中）　③構造改革費用¥17.1億は今期限り・来期剥落でV字条件揃う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最大リスク</w:t>
      </w:r>
      <w:r>
        <w:rPr>
          <w:rFonts w:eastAsia="Yu Gothic"/>
          <w:rFonts w:ascii="Yu Gothic" w:hAnsi="Yu Gothic"/>
          <w:b w:val="0"/>
          <w:sz w:val="20"/>
        </w:rPr>
        <w:t>：構造改革費用の追加計上 → V字完了が1年後ずれ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IR情報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IRページ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https://www.katakuraco-op.com/ir/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本社TEL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03-5216-6611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コンタクト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https://www.katakuraco-op.com/contact/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所在地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〒102-0073 東京都千代田区九段北一丁目8番10号 住友不動産九段ビル15階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決算スケジュール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日程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2026年5月15日 14:00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2026/3期 通期決算発表（最重要イベント）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2026年2月16日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2026/3期 第3四半期決算（発表済）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2026年6月26日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第111期 定時株主総会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ビジネスモデル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沿革</w:t>
      </w:r>
      <w:r>
        <w:rPr>
          <w:rFonts w:eastAsia="Yu Gothic"/>
          <w:rFonts w:ascii="Yu Gothic" w:hAnsi="Yu Gothic"/>
          <w:b w:val="0"/>
          <w:sz w:val="20"/>
        </w:rPr>
        <w:t>：片倉チッカリン × コープケミカル 経営統合（2019年）→ 国内肥料最大手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セグメント構成（2024/3期実績）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売上高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比率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肥料事業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¥330.6億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77.4%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化学品事業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¥62.6億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14.7%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その他（運送・食品）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¥30.8億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7.2%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不動産事業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¥3.2億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0.7%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販売チャネル</w:t>
      </w:r>
      <w:r>
        <w:rPr>
          <w:rFonts w:eastAsia="Yu Gothic"/>
          <w:rFonts w:ascii="Yu Gothic" w:hAnsi="Yu Gothic"/>
          <w:b w:val="0"/>
          <w:sz w:val="20"/>
        </w:rPr>
        <w:t>：JA全農（筆頭株主23.6%）が主要販売先兼原料仕入先という独特の相互依存構造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原料調達</w:t>
      </w:r>
      <w:r>
        <w:rPr>
          <w:rFonts w:eastAsia="Yu Gothic"/>
          <w:rFonts w:ascii="Yu Gothic" w:hAnsi="Yu Gothic"/>
          <w:b w:val="0"/>
          <w:sz w:val="20"/>
        </w:rPr>
        <w:t>：尿素（マレーシア産7割超）・リン酸アンモニウム（中国産7割超）・塩化カリウム（カナダ産8割弱）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バリュエーション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基礎データ（2025/3期末実績）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総資産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¥500.94億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純資産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¥238.65億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BPS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¥2,519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時価総額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約¥110億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純有利子負債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¥124億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自己資本比率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47.5%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PBR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0.49×</w:t>
            </w:r>
          </w:p>
        </w:tc>
      </w:tr>
    </w:tbl>
    <w:p/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PBR割安度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PBR 0.49× → BPS¥2,519の49%で取引中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帳簿価額対比で¥129億（¥1,282/株）が「捨て値」</w:t>
      </w:r>
      <w:r>
        <w:rPr>
          <w:rFonts w:eastAsia="Yu Gothic"/>
          <w:rFonts w:ascii="Yu Gothic" w:hAnsi="Yu Gothic"/>
          <w:b w:val="0"/>
          <w:sz w:val="20"/>
        </w:rPr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現値¥1,237はBPSの49%で理論的に過売状態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EV/EBITDA（2025/3期）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 xml:space="preserve">EBITDA推定：EBIT¥6.5億 + D&amp;A¥10億 ≒ </w:t>
      </w:r>
      <w:r>
        <w:rPr>
          <w:rFonts w:eastAsia="Yu Gothic"/>
          <w:rFonts w:ascii="Yu Gothic" w:hAnsi="Yu Gothic"/>
          <w:b/>
          <w:sz w:val="20"/>
        </w:rPr>
        <w:t>¥16.5億</w:t>
      </w:r>
      <w:r>
        <w:rPr>
          <w:rFonts w:eastAsia="Yu Gothic"/>
          <w:rFonts w:ascii="Yu Gothic" w:hAnsi="Yu Gothic"/>
          <w:b w:val="0"/>
          <w:sz w:val="20"/>
        </w:rPr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 xml:space="preserve">EV = 時価総額¥110億 + 純有利子負債¥124億 = </w:t>
      </w:r>
      <w:r>
        <w:rPr>
          <w:rFonts w:eastAsia="Yu Gothic"/>
          <w:rFonts w:ascii="Yu Gothic" w:hAnsi="Yu Gothic"/>
          <w:b/>
          <w:sz w:val="20"/>
        </w:rPr>
        <w:t>¥234億</w:t>
      </w:r>
      <w:r>
        <w:rPr>
          <w:rFonts w:eastAsia="Yu Gothic"/>
          <w:rFonts w:ascii="Yu Gothic" w:hAnsi="Yu Gothic"/>
          <w:b w:val="0"/>
          <w:sz w:val="20"/>
        </w:rPr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EV/EBITDA：14.2×</w:t>
      </w:r>
      <w:r>
        <w:rPr>
          <w:rFonts w:eastAsia="Yu Gothic"/>
          <w:rFonts w:ascii="Yu Gothic" w:hAnsi="Yu Gothic"/>
          <w:b w:val="0"/>
          <w:sz w:val="20"/>
        </w:rPr>
        <w:t>（構造改革完了後の通常時はEBITDA¥30億超が期待値）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業績推移と赤字転落の構造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業績サマリー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期</w:t>
            </w:r>
          </w:p>
        </w:tc>
        <w:tc>
          <w:tcPr>
            <w:tcW w:type="dxa" w:w="1344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売上高</w:t>
            </w:r>
          </w:p>
        </w:tc>
        <w:tc>
          <w:tcPr>
            <w:tcW w:type="dxa" w:w="1344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営業利益</w:t>
            </w:r>
          </w:p>
        </w:tc>
        <w:tc>
          <w:tcPr>
            <w:tcW w:type="dxa" w:w="1344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純損益</w:t>
            </w:r>
          </w:p>
        </w:tc>
        <w:tc>
          <w:tcPr>
            <w:tcW w:type="dxa" w:w="1344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EPS</w:t>
            </w:r>
          </w:p>
        </w:tc>
        <w:tc>
          <w:tcPr>
            <w:tcW w:type="dxa" w:w="1344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配当</w:t>
            </w:r>
          </w:p>
        </w:tc>
        <w:tc>
          <w:tcPr>
            <w:tcW w:type="dxa" w:w="1344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主因</w:t>
            </w:r>
          </w:p>
        </w:tc>
      </w:tr>
      <w:tr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2022/3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¥389.6億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¥11.2億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¥10.2億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¥50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通常期</w:t>
            </w:r>
          </w:p>
        </w:tc>
      </w:tr>
      <w:tr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2023/3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¥510.3億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¥35.6億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¥21.7億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¥243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¥121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肥料価格急騰×在庫差益最大化</w:t>
            </w:r>
          </w:p>
        </w:tc>
      </w:tr>
      <w:tr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2024/3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¥412.3億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▲¥8.5億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▲¥6.3億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▲¥70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¥20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高値仕入在庫の売買差損・需要減退</w:t>
            </w:r>
          </w:p>
        </w:tc>
      </w:tr>
      <w:tr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2025/3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¥413.7億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¥6.5億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¥3.5億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¥39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¥20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在庫損失解消・費用抑制でV字</w:t>
            </w:r>
          </w:p>
        </w:tc>
      </w:tr>
      <w:tr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2026/3(予)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¥450億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¥4.5億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▲¥20億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▲¥223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¥20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構造改革費用¥17.1億（特別損失）が直撃</w:t>
            </w:r>
          </w:p>
        </w:tc>
      </w:tr>
    </w:tbl>
    <w:p/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赤字の本質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2024/3期：肥料価格急落局面で高値仕入在庫の売買差損（一時的）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 xml:space="preserve">2026/3期：構造改革費用¥17.1億（生産拠点再編・人材再配置コスト）→ </w:t>
      </w:r>
      <w:r>
        <w:rPr>
          <w:rFonts w:eastAsia="Yu Gothic"/>
          <w:rFonts w:ascii="Yu Gothic" w:hAnsi="Yu Gothic"/>
          <w:b/>
          <w:sz w:val="20"/>
        </w:rPr>
        <w:t>営業利益自体は黒字を維持</w:t>
      </w:r>
      <w:r>
        <w:rPr>
          <w:rFonts w:eastAsia="Yu Gothic"/>
          <w:rFonts w:ascii="Yu Gothic" w:hAnsi="Yu Gothic"/>
          <w:b w:val="0"/>
          <w:sz w:val="20"/>
        </w:rPr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事業の実力は2025/3期の「EPS¥39」水準が示している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3Q累計業績（2026年2月16日発表済）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売上高：¥302.11億（前年同期比+3.5%）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営業利益：¥4.53億（黒字転換）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経常利益：¥3.68億 → 通期予想¥2.40億に対して</w:t>
      </w:r>
      <w:r>
        <w:rPr>
          <w:rFonts w:eastAsia="Yu Gothic"/>
          <w:rFonts w:ascii="Yu Gothic" w:hAnsi="Yu Gothic"/>
          <w:b/>
          <w:sz w:val="20"/>
        </w:rPr>
        <w:t>進捗率153%超過</w:t>
      </w:r>
      <w:r>
        <w:rPr>
          <w:rFonts w:eastAsia="Yu Gothic"/>
          <w:rFonts w:ascii="Yu Gothic" w:hAnsi="Yu Gothic"/>
          <w:b w:val="0"/>
          <w:sz w:val="20"/>
        </w:rPr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最終損益：▲¥12.09億（構造改革費用¥17.1億が直撃）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ホルムズ感応度分析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判定：ネット・プラス（ただし転嫁ラグ3〜6ヶ月）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プラス要因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尿素国際価格+54%（2026/4/7時点） → 肥料製品の販売価格転嫁が進行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JA全農は4月以降のナフサ原料農業資材について値上げを許容・順次実施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過去実績：2023/3期の肥料価格高騰時に売上¥390億→¥510億（+31%）・EPS¥243</w:t>
      </w:r>
      <w:r>
        <w:rPr>
          <w:rFonts w:eastAsia="Yu Gothic"/>
          <w:rFonts w:ascii="Yu Gothic" w:hAnsi="Yu Gothic"/>
          <w:b w:val="0"/>
          <w:sz w:val="20"/>
        </w:rPr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株価が¥864（2025/4）→¥1,499（2026/3）に急騰したタイミングがホルムズ封鎖確定期と一致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マイナス・留意要因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日本の尿素調達はマレーシア産7割超 → ホルムズ直撃ではなく間接影響（波及ラグあり）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リン酸：中国産依存 → ホルムズとは別の地政学リスク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農家の需要破壊リスク：資材コスト急騰で作付け面積縮小 → 肥料需要減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転嫁ラグ：原料上昇を先に吸収し利益圧迫、転嫁完了後に利益改善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結論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転嫁効果の本格反映は2027/3期</w:t>
      </w:r>
      <w:r>
        <w:rPr>
          <w:rFonts w:eastAsia="Yu Gothic"/>
          <w:rFonts w:ascii="Yu Gothic" w:hAnsi="Yu Gothic"/>
          <w:b w:val="0"/>
          <w:sz w:val="20"/>
        </w:rPr>
        <w:t>。現期（2026/3期）は構造改革費用の一時損失で塗りつぶされている。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V字回復シナリオ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中長期計画（2025〜2034年度）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期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売上高目標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営業利益目標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2027/3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¥470億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¥10.9億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構造改革費用消滅・転嫁効果本格化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2030/3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¥520億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¥27.2億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化学品海外展開・農業DX収益化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2031〜34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純利益¥20億以上・ROE8%以上目標</w:t>
            </w:r>
          </w:p>
        </w:tc>
      </w:tr>
    </w:tbl>
    <w:p/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2027/3期 EPS・TP試算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前提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EPS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TP（PER基準）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Base（会社計画）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営業利益¥10.9億・税後¥6〜7億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¥67〜78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¥1,000〜¥1,170（PER15×）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Bull（ホルムズ長期化）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尿素高継続・2023年再来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¥150〜200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¥2,000〜¥2,500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TP中心値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Base×0.5 + Bull×0.5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¥1,500〜¥1,700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Bear（費用追加）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構造改革費用延長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¥800〜¥900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リスク要因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リスク1：構造改革費用の追加計上（確率：中）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2026/3期に¥17.1億計上済み。生産拠点再編は複数年にわたることが多い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2027/3期に追加計上があれば「V字完了」シナリオが1年後ずれ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確認方法：5/15決算発表での2027/3期ガイダンス内の「一時費用有無」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リスク2：農家の需要破壊リスク（確率：中高）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JA全農が農業資材を20〜40%値上げ → 農家コスト急増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作付け面積縮小・肥料購入量削減が起きると肥料需要減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感応度：売上高▲5%（¥22.5億減）→ 営業利益¥4.5億が消滅する水準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リスク3：JA全農との相互依存による価格決定力制限（確率：低〜中）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JA全農は筆頭株主23.6%かつ最大顧客かつ主要原料仕入先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利益相反構造：値上げ交渉でJA全農が「販売価格を抑えたい」インセンティブを持つ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転嫁ラグ（原料上昇→製品価格反映まで3〜6ヶ月）が常に発生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5/15決算 確認事項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優先度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確認項目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最重要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2027/3期ガイダンス：EPS黒字転換・構造改革費用消滅の明示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重要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2026/3期純損失が▲¥20億より大きいか小さいか（4Q追加費用有無）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重要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肥料販売価格改定（4月以降値上げ）の受注進捗・転嫁率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参考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配当据え置き¥20（利回り1.62%）の維持確認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IR質問状（竹村トレードカンパニー名義）</w:t>
      </w:r>
    </w:p>
    <w:p/>
    <w:p>
      <w:pPr>
        <w:shd w:val="clear" w:fill="F2F2F2"/>
        <w:spacing w:after="80"/>
        <w:ind w:left="283"/>
      </w:pPr>
      <w:r>
        <w:rPr>
          <w:rFonts w:eastAsia="Yu Gothic" w:ascii="Courier New" w:hAnsi="Courier New"/>
          <w:rFonts w:ascii="Yu Gothic" w:hAnsi="Yu Gothic"/>
          <w:b w:val="0"/>
          <w:sz w:val="18"/>
        </w:rPr>
        <w:t>件名：片倉コープアグリ株式会社 御社投資検討に関するご質問</w:t>
        <w:br/>
        <w:br/>
        <w:t>片倉コープアグリ株式会社</w:t>
        <w:br/>
        <w:t>IR担当者 御中</w:t>
        <w:br/>
        <w:br/>
        <w:t>竹村トレードカンパニーの竹村と申します。</w:t>
        <w:br/>
        <w:t>弊社では御社株式への投資検討にあたり、以下の点についてご確認させてください。</w:t>
        <w:br/>
        <w:br/>
        <w:t>Q1：2026年3月期 構造改革費用の最終見通し</w:t>
        <w:br/>
        <w:t>会社予想では当期純損失▲20億円とのことですが、</w:t>
        <w:br/>
        <w:t>第3四半期時点の構造改革費用計上額¥17.1億に対し、</w:t>
        <w:br/>
        <w:t>第4四半期での追加計上見込みはありますか。</w:t>
        <w:br/>
        <w:t>また2027年3月期においても構造改革費用の継続計上が見込まれていますか。</w:t>
        <w:br/>
        <w:br/>
        <w:t>Q2：ホルムズ海峡封鎖長期化と原料調達への影響</w:t>
        <w:br/>
        <w:t>尿素はマレーシア産が主体と認識していますが、</w:t>
        <w:br/>
        <w:t>中東産尿素・硫黄の国際価格上昇が御社の原料調達コストに</w:t>
        <w:br/>
        <w:t>どの程度・いつ頃から影響しますか。</w:t>
        <w:br/>
        <w:t>また価格転嫁の実施時期・幅についてJA全農との協議状況をお聞かせください。</w:t>
        <w:br/>
        <w:br/>
        <w:t>Q3：工場・土地の含み益と不動産資産の時価評価</w:t>
        <w:br/>
        <w:t>各工場・倉庫用地の帳簿価額と時価の乖離（含み益）について、</w:t>
        <w:br/>
        <w:t>概算でもご開示いただくことは可能でしょうか。</w:t>
        <w:br/>
        <w:t>資産売却や不動産活用による資本効率改善の計画はありますか。</w:t>
        <w:br/>
        <w:br/>
        <w:t>Q4：中長期計画2027年度営業利益¥10.9億の達成根拠</w:t>
        <w:br/>
        <w:t>(A)構造改革コスト削減効果、(B)肥料価格転嫁効果、(C)化学品海外展開</w:t>
        <w:br/>
        <w:t>それぞれの寄与額の内訳と確度について教えてください。</w:t>
        <w:br/>
        <w:br/>
        <w:t>Q5：配当政策と株主還元の方針</w:t>
        <w:br/>
        <w:t>収益回復後の配当復元の目安（DOE・配当性向）と</w:t>
        <w:br/>
        <w:t>自社株買い実施可能性について、現時点での方針をお聞かせください。</w:t>
        <w:br/>
        <w:br/>
        <w:t>竹村トレードカンパニー</w:t>
        <w:br/>
        <w:t>竹村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投資判断まとめ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決算前に買うべきか → **買わない。5/15後にエントリー。**</w:t>
      </w:r>
    </w:p>
    <w:p/>
    <w:p>
      <w:pPr>
        <w:shd w:val="clear" w:fill="F2F2F2"/>
        <w:spacing w:after="80"/>
        <w:ind w:left="283"/>
      </w:pPr>
      <w:r>
        <w:rPr>
          <w:rFonts w:eastAsia="Yu Gothic" w:ascii="Courier New" w:hAnsi="Courier New"/>
          <w:rFonts w:ascii="Yu Gothic" w:hAnsi="Yu Gothic"/>
          <w:b w:val="0"/>
          <w:sz w:val="18"/>
        </w:rPr>
        <w:t>現状：2026/3期はEPS▲¥223の大幅赤字ほぼ確定</w:t>
        <w:br/>
        <w:t xml:space="preserve">      ↓</w:t>
        <w:br/>
        <w:t>5/15発表で「2027/3期黒字ガイダンス」が出るかどうかが全て</w:t>
        <w:br/>
        <w:t xml:space="preserve">      ↓</w:t>
        <w:br/>
        <w:t>出た  → 即エントリー（TP¥1,700）</w:t>
        <w:br/>
        <w:t>出ない → 継続ウォッチ or 撤退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現値¥1,237は3月高値¥1,499から▲17%の押し目。仕込みゾーンの入口だが、カタリストは5/15発表後。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