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[4046] 大阪ソーダ</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[4046] 大阪ソーダ</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大阪ソーダ（4046）DeepResearch 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分析日：2026-04-07｜現在株価：¥1,766（リアルタイム取得）</w:t>
      </w:r>
    </w:p>
    <w:p/>
    <w:p>
      <w:r>
        <w:t>──────────────────────────────────────────────────</w:t>
      </w:r>
    </w:p>
    <w:p/>
    <w:p>
      <w:r>
        <w:rPr>
          <w:rFonts w:ascii="Meiryo UI" w:hAnsi="Meiryo UI"/>
          <w:sz w:val="20"/>
        </w:rPr>
        <w:t>&gt; ⚠️ データ注記</w:t>
      </w:r>
    </w:p>
    <w:p>
      <w:r>
        <w:rPr>
          <w:rFonts w:ascii="Meiryo UI" w:hAnsi="Meiryo UI"/>
          <w:sz w:val="20"/>
        </w:rPr>
        <w:t>&gt; 現在株価：¥1,766（2026-04-07 18:03 JST / Yahoo Finance 4046.T）</w:t>
      </w:r>
    </w:p>
    <w:p>
      <w:r>
        <w:rPr>
          <w:rFonts w:ascii="Meiryo UI" w:hAnsi="Meiryo UI"/>
          <w:sz w:val="20"/>
        </w:rPr>
        <w:t>&gt; BPS：¥996 / PBR：1.77倍 / ROE：10.9% / PER：18.2倍 / EPS：¥97（yfinance リアルタイム取得値）</w:t>
      </w:r>
    </w:p>
    <w:p>
      <w:r>
        <w:rPr>
          <w:rFonts w:ascii="Meiryo UI" w:hAnsi="Meiryo UI"/>
          <w:sz w:val="20"/>
        </w:rPr>
        <w:t>&gt; Rf：2.429%（日本10年国債 2026-04-07）</w:t>
      </w:r>
    </w:p>
    <w:p>
      <w:r>
        <w:rPr>
          <w:rFonts w:ascii="Meiryo UI" w:hAnsi="Meiryo UI"/>
          <w:sz w:val="20"/>
        </w:rPr>
        <w:t>&gt; WTI原油：$112.75/bbl（リアルタイム）— ナフサコスト試算に使用</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HOLD（ウォッチリスト維持）— 条件付き打診買い可</w:t>
            </w:r>
          </w:p>
        </w:tc>
      </w:tr>
      <w:tr>
        <w:tc>
          <w:tcPr>
            <w:tcW w:type="dxa" w:w="4703"/>
            <w:shd w:val="clear" w:color="auto" w:fill="DDEBF7"/>
          </w:tcPr>
          <w:p>
            <w:r>
              <w:rPr>
                <w:rFonts w:ascii="Meiryo UI" w:hAnsi="Meiryo UI"/>
                <w:sz w:val="18"/>
              </w:rPr>
              <w:t>理論株価（基本ケース）</w:t>
            </w:r>
          </w:p>
        </w:tc>
        <w:tc>
          <w:tcPr>
            <w:tcW w:type="dxa" w:w="4703"/>
            <w:shd w:val="clear" w:color="auto" w:fill="DDEBF7"/>
          </w:tcPr>
          <w:p>
            <w:r>
              <w:rPr>
                <w:rFonts w:ascii="Meiryo UI" w:hAnsi="Meiryo UI"/>
                <w:sz w:val="18"/>
              </w:rPr>
              <w:t>¥1,820〜¥1,950</w:t>
            </w:r>
          </w:p>
        </w:tc>
      </w:tr>
      <w:tr>
        <w:tc>
          <w:tcPr>
            <w:tcW w:type="dxa" w:w="4703"/>
          </w:tcPr>
          <w:p>
            <w:r>
              <w:rPr>
                <w:rFonts w:ascii="Meiryo UI" w:hAnsi="Meiryo UI"/>
                <w:sz w:val="18"/>
              </w:rPr>
              <w:t>強気ケース（GLP-1爆発）</w:t>
            </w:r>
          </w:p>
        </w:tc>
        <w:tc>
          <w:tcPr>
            <w:tcW w:type="dxa" w:w="4703"/>
          </w:tcPr>
          <w:p>
            <w:r>
              <w:rPr>
                <w:rFonts w:ascii="Meiryo UI" w:hAnsi="Meiryo UI"/>
                <w:sz w:val="18"/>
              </w:rPr>
              <w:t>¥2,400〜¥2,700</w:t>
            </w:r>
          </w:p>
        </w:tc>
      </w:tr>
      <w:tr>
        <w:tc>
          <w:tcPr>
            <w:tcW w:type="dxa" w:w="4703"/>
            <w:shd w:val="clear" w:color="auto" w:fill="DDEBF7"/>
          </w:tcPr>
          <w:p>
            <w:r>
              <w:rPr>
                <w:rFonts w:ascii="Meiryo UI" w:hAnsi="Meiryo UI"/>
                <w:sz w:val="18"/>
              </w:rPr>
              <w:t>弱気ケース（コスト地獄）</w:t>
            </w:r>
          </w:p>
        </w:tc>
        <w:tc>
          <w:tcPr>
            <w:tcW w:type="dxa" w:w="4703"/>
            <w:shd w:val="clear" w:color="auto" w:fill="DDEBF7"/>
          </w:tcPr>
          <w:p>
            <w:r>
              <w:rPr>
                <w:rFonts w:ascii="Meiryo UI" w:hAnsi="Meiryo UI"/>
                <w:sz w:val="18"/>
              </w:rPr>
              <w:t>¥1,100〜¥1,300</w:t>
            </w:r>
          </w:p>
        </w:tc>
      </w:tr>
      <w:tr>
        <w:tc>
          <w:tcPr>
            <w:tcW w:type="dxa" w:w="4703"/>
          </w:tcPr>
          <w:p>
            <w:r>
              <w:rPr>
                <w:rFonts w:ascii="Meiryo UI" w:hAnsi="Meiryo UI"/>
                <w:sz w:val="18"/>
              </w:rPr>
              <w:t>エントリー推奨価格</w:t>
            </w:r>
          </w:p>
        </w:tc>
        <w:tc>
          <w:tcPr>
            <w:tcW w:type="dxa" w:w="4703"/>
          </w:tcPr>
          <w:p>
            <w:r>
              <w:rPr>
                <w:rFonts w:ascii="Meiryo UI" w:hAnsi="Meiryo UI"/>
                <w:sz w:val="18"/>
              </w:rPr>
              <w:t>¥1,600〜¥1,700（安全域確保後）</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¥1,450（▲17.9%）</w:t>
            </w:r>
          </w:p>
        </w:tc>
      </w:tr>
      <w:tr>
        <w:tc>
          <w:tcPr>
            <w:tcW w:type="dxa" w:w="4703"/>
          </w:tcPr>
          <w:p>
            <w:r>
              <w:rPr>
                <w:rFonts w:ascii="Meiryo UI" w:hAnsi="Meiryo UI"/>
                <w:sz w:val="18"/>
              </w:rPr>
              <w:t>時間軸</w:t>
            </w:r>
          </w:p>
        </w:tc>
        <w:tc>
          <w:tcPr>
            <w:tcW w:type="dxa" w:w="4703"/>
          </w:tcPr>
          <w:p>
            <w:r>
              <w:rPr>
                <w:rFonts w:ascii="Meiryo UI" w:hAnsi="Meiryo UI"/>
                <w:sz w:val="18"/>
              </w:rPr>
              <w:t>超長期（2〜4年）</w:t>
            </w:r>
          </w:p>
        </w:tc>
      </w:tr>
      <w:tr>
        <w:tc>
          <w:tcPr>
            <w:tcW w:type="dxa" w:w="4703"/>
            <w:shd w:val="clear" w:color="auto" w:fill="DDEBF7"/>
          </w:tcPr>
          <w:p>
            <w:r>
              <w:rPr>
                <w:rFonts w:ascii="Meiryo UI" w:hAnsi="Meiryo UI"/>
                <w:sz w:val="18"/>
              </w:rPr>
              <w:t>優先度</w:t>
            </w:r>
          </w:p>
        </w:tc>
        <w:tc>
          <w:tcPr>
            <w:tcW w:type="dxa" w:w="4703"/>
            <w:shd w:val="clear" w:color="auto" w:fill="DDEBF7"/>
          </w:tcPr>
          <w:p>
            <w:r>
              <w:rPr>
                <w:rFonts w:ascii="Meiryo UI" w:hAnsi="Meiryo UI"/>
                <w:sz w:val="18"/>
              </w:rPr>
              <w:t>5（社長指示通り）</w:t>
            </w:r>
          </w:p>
        </w:tc>
      </w:tr>
    </w:tbl>
    <w:p/>
    <w:p>
      <w:r>
        <w:rPr>
          <w:rFonts w:ascii="Meiryo UI" w:hAnsi="Meiryo UI"/>
          <w:sz w:val="20"/>
        </w:rPr>
        <w:t>3行サマリー：</w:t>
      </w:r>
    </w:p>
    <w:p>
      <w:r>
        <w:rPr>
          <w:rFonts w:ascii="Meiryo UI" w:hAnsi="Meiryo UI"/>
          <w:sz w:val="20"/>
        </w:rPr>
        <w:t>大阪ソーダはGLP-1医薬品中間体という「夢の成長エンジン」を持ちながら、現在WTI $112.75という高原油価格に起因するナフサコスト圧迫が業績を直撃している。核心問いである「経口剤シフトがAPI総需要を増やすか減らすか」については、現行技術（Rybelsus型）では投与量約50倍増で圧倒的に有利だが、次世代高吸収分子の登場リスクが2028〜2030年に顕在化する可能性がある。現時点では「ナフサリスクが落ち着く2027年前後×GLP-1経口市場本格拡大の2027〜2028年」が交点と推定し、今は¥1,600台の分割買いによる超長期ポジション構築が最適戦略。積水化学（4204）より投資優先度は低い（優先度4 vs 5）が、GLP-1独自性はより高い。</w:t>
      </w:r>
    </w:p>
    <w:p/>
    <w:p>
      <w:r>
        <w:t>──────────────────────────────────────────────────</w:t>
      </w:r>
    </w:p>
    <w:p/>
    <w:p>
      <w:pPr>
        <w:pStyle w:val="Heading2"/>
      </w:pPr>
      <w:r>
        <w:rPr>
          <w:rFonts w:ascii="Meiryo UI" w:hAnsi="Meiryo UI"/>
          <w:color w:val="2E74B5"/>
        </w:rPr>
        <w:t>第1章　企業概要・事業構造の全体把握</w:t>
      </w:r>
    </w:p>
    <w:p/>
    <w:p>
      <w:pPr>
        <w:pStyle w:val="Heading3"/>
      </w:pPr>
      <w:r>
        <w:rPr>
          <w:rFonts w:ascii="Meiryo UI" w:hAnsi="Meiryo UI"/>
          <w:color w:val="2E74B5"/>
        </w:rPr>
        <w:t>1-1. 企業概要</w:t>
      </w:r>
    </w:p>
    <w:p/>
    <w:p>
      <w:r>
        <w:rPr>
          <w:rFonts w:ascii="Meiryo UI" w:hAnsi="Meiryo UI"/>
          <w:sz w:val="20"/>
        </w:rPr>
        <w:t>大阪ソーダ（旧：大阪曹達）は1915年創業の老舗総合化学メーカー。東証プライム上場、時価総額約¥2,352億円（¥1,766×133.2M株）。塩素化学（クロールアルカリ）を基盤に、有機化学品・ファインケミカルへと高度化してきた。本社は大阪市北区、主要工場は尼崎（兵庫）・大阪・高岡（富山）。</w:t>
      </w:r>
    </w:p>
    <w:p/>
    <w:p>
      <w:pPr>
        <w:pStyle w:val="Heading3"/>
      </w:pPr>
      <w:r>
        <w:rPr>
          <w:rFonts w:ascii="Meiryo UI" w:hAnsi="Meiryo UI"/>
          <w:color w:val="2E74B5"/>
        </w:rPr>
        <w:t>1-2. セグメント別事業構造（推計含む・公開情報ベース）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主要製品</w:t>
            </w:r>
          </w:p>
        </w:tc>
        <w:tc>
          <w:tcPr>
            <w:tcW w:type="dxa" w:w="1881"/>
            <w:shd w:val="clear" w:color="auto" w:fill="2E74B5"/>
          </w:tcPr>
          <w:p>
            <w:r>
              <w:rPr>
                <w:rFonts w:ascii="Meiryo UI" w:hAnsi="Meiryo UI"/>
                <w:b/>
                <w:color w:val="FFFFFF"/>
                <w:sz w:val="18"/>
              </w:rPr>
              <w:t>売上構成比（推計）</w:t>
            </w:r>
          </w:p>
        </w:tc>
        <w:tc>
          <w:tcPr>
            <w:tcW w:type="dxa" w:w="1881"/>
            <w:shd w:val="clear" w:color="auto" w:fill="2E74B5"/>
          </w:tcPr>
          <w:p>
            <w:r>
              <w:rPr>
                <w:rFonts w:ascii="Meiryo UI" w:hAnsi="Meiryo UI"/>
                <w:b/>
                <w:color w:val="FFFFFF"/>
                <w:sz w:val="18"/>
              </w:rPr>
              <w:t>営業利益率（推計）</w:t>
            </w:r>
          </w:p>
        </w:tc>
        <w:tc>
          <w:tcPr>
            <w:tcW w:type="dxa" w:w="1881"/>
            <w:shd w:val="clear" w:color="auto" w:fill="2E74B5"/>
          </w:tcPr>
          <w:p>
            <w:r>
              <w:rPr>
                <w:rFonts w:ascii="Meiryo UI" w:hAnsi="Meiryo UI"/>
                <w:b/>
                <w:color w:val="FFFFFF"/>
                <w:sz w:val="18"/>
              </w:rPr>
              <w:t>GLP-1関連</w:t>
            </w:r>
          </w:p>
        </w:tc>
      </w:tr>
      <w:tr>
        <w:tc>
          <w:tcPr>
            <w:tcW w:type="dxa" w:w="1881"/>
          </w:tcPr>
          <w:p>
            <w:r>
              <w:rPr>
                <w:rFonts w:ascii="Meiryo UI" w:hAnsi="Meiryo UI"/>
                <w:sz w:val="18"/>
              </w:rPr>
              <w:t>クロールアルカリ</w:t>
            </w:r>
          </w:p>
        </w:tc>
        <w:tc>
          <w:tcPr>
            <w:tcW w:type="dxa" w:w="1881"/>
          </w:tcPr>
          <w:p>
            <w:r>
              <w:rPr>
                <w:rFonts w:ascii="Meiryo UI" w:hAnsi="Meiryo UI"/>
                <w:sz w:val="18"/>
              </w:rPr>
              <w:t>苛性ソーダ・塩素・次亜塩素酸ソーダ</w:t>
            </w:r>
          </w:p>
        </w:tc>
        <w:tc>
          <w:tcPr>
            <w:tcW w:type="dxa" w:w="1881"/>
          </w:tcPr>
          <w:p>
            <w:r>
              <w:rPr>
                <w:rFonts w:ascii="Meiryo UI" w:hAnsi="Meiryo UI"/>
                <w:sz w:val="18"/>
              </w:rPr>
              <w:t>～30%</w:t>
            </w:r>
          </w:p>
        </w:tc>
        <w:tc>
          <w:tcPr>
            <w:tcW w:type="dxa" w:w="1881"/>
          </w:tcPr>
          <w:p>
            <w:r>
              <w:rPr>
                <w:rFonts w:ascii="Meiryo UI" w:hAnsi="Meiryo UI"/>
                <w:sz w:val="18"/>
              </w:rPr>
              <w:t>3〜8%</w:t>
            </w:r>
          </w:p>
        </w:tc>
        <w:tc>
          <w:tcPr>
            <w:tcW w:type="dxa" w:w="1881"/>
          </w:tcPr>
          <w:p>
            <w:r>
              <w:rPr>
                <w:rFonts w:ascii="Meiryo UI" w:hAnsi="Meiryo UI"/>
                <w:sz w:val="18"/>
              </w:rPr>
              <w:t>なし</w:t>
            </w:r>
          </w:p>
        </w:tc>
      </w:tr>
      <w:tr>
        <w:tc>
          <w:tcPr>
            <w:tcW w:type="dxa" w:w="1881"/>
            <w:shd w:val="clear" w:color="auto" w:fill="DDEBF7"/>
          </w:tcPr>
          <w:p>
            <w:r>
              <w:rPr>
                <w:rFonts w:ascii="Meiryo UI" w:hAnsi="Meiryo UI"/>
                <w:sz w:val="18"/>
              </w:rPr>
              <w:t>有機化学品</w:t>
            </w:r>
          </w:p>
        </w:tc>
        <w:tc>
          <w:tcPr>
            <w:tcW w:type="dxa" w:w="1881"/>
            <w:shd w:val="clear" w:color="auto" w:fill="DDEBF7"/>
          </w:tcPr>
          <w:p>
            <w:r>
              <w:rPr>
                <w:rFonts w:ascii="Meiryo UI" w:hAnsi="Meiryo UI"/>
                <w:sz w:val="18"/>
              </w:rPr>
              <w:t>エピクロルヒドリン・塩化メチレン・クロロホルム</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4〜9%</w:t>
            </w:r>
          </w:p>
        </w:tc>
        <w:tc>
          <w:tcPr>
            <w:tcW w:type="dxa" w:w="1881"/>
            <w:shd w:val="clear" w:color="auto" w:fill="DDEBF7"/>
          </w:tcPr>
          <w:p>
            <w:r>
              <w:rPr>
                <w:rFonts w:ascii="Meiryo UI" w:hAnsi="Meiryo UI"/>
                <w:sz w:val="18"/>
              </w:rPr>
              <w:t>間接的</w:t>
            </w:r>
          </w:p>
        </w:tc>
      </w:tr>
      <w:tr>
        <w:tc>
          <w:tcPr>
            <w:tcW w:type="dxa" w:w="1881"/>
          </w:tcPr>
          <w:p>
            <w:r>
              <w:rPr>
                <w:rFonts w:ascii="Meiryo UI" w:hAnsi="Meiryo UI"/>
                <w:sz w:val="18"/>
              </w:rPr>
              <w:t>ファインケミカル</w:t>
            </w:r>
          </w:p>
        </w:tc>
        <w:tc>
          <w:tcPr>
            <w:tcW w:type="dxa" w:w="1881"/>
          </w:tcPr>
          <w:p>
            <w:r>
              <w:rPr>
                <w:rFonts w:ascii="Meiryo UI" w:hAnsi="Meiryo UI"/>
                <w:sz w:val="18"/>
              </w:rPr>
              <w:t>医薬品中間体・農薬中間体・電子材料</w:t>
            </w:r>
          </w:p>
        </w:tc>
        <w:tc>
          <w:tcPr>
            <w:tcW w:type="dxa" w:w="1881"/>
          </w:tcPr>
          <w:p>
            <w:r>
              <w:rPr>
                <w:rFonts w:ascii="Meiryo UI" w:hAnsi="Meiryo UI"/>
                <w:sz w:val="18"/>
              </w:rPr>
              <w:t>～35%</w:t>
            </w:r>
          </w:p>
        </w:tc>
        <w:tc>
          <w:tcPr>
            <w:tcW w:type="dxa" w:w="1881"/>
          </w:tcPr>
          <w:p>
            <w:r>
              <w:rPr>
                <w:rFonts w:ascii="Meiryo UI" w:hAnsi="Meiryo UI"/>
                <w:sz w:val="18"/>
              </w:rPr>
              <w:t>15〜25%</w:t>
            </w:r>
          </w:p>
        </w:tc>
        <w:tc>
          <w:tcPr>
            <w:tcW w:type="dxa" w:w="1881"/>
          </w:tcPr>
          <w:p>
            <w:r>
              <w:rPr>
                <w:rFonts w:ascii="Meiryo UI" w:hAnsi="Meiryo UI"/>
                <w:sz w:val="18"/>
              </w:rPr>
              <w:t>直接関与</w:t>
            </w:r>
          </w:p>
        </w:tc>
      </w:tr>
      <w:tr>
        <w:tc>
          <w:tcPr>
            <w:tcW w:type="dxa" w:w="1881"/>
            <w:shd w:val="clear" w:color="auto" w:fill="DDEBF7"/>
          </w:tcPr>
          <w:p>
            <w:r>
              <w:rPr>
                <w:rFonts w:ascii="Meiryo UI" w:hAnsi="Meiryo UI"/>
                <w:sz w:val="18"/>
              </w:rPr>
              <w:t>その他・機能性化学</w:t>
            </w:r>
          </w:p>
        </w:tc>
        <w:tc>
          <w:tcPr>
            <w:tcW w:type="dxa" w:w="1881"/>
            <w:shd w:val="clear" w:color="auto" w:fill="DDEBF7"/>
          </w:tcPr>
          <w:p>
            <w:r>
              <w:rPr>
                <w:rFonts w:ascii="Meiryo UI" w:hAnsi="Meiryo UI"/>
                <w:sz w:val="18"/>
              </w:rPr>
              <w:t>接着剤・樹脂・特殊化学品</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5〜12%</w:t>
            </w:r>
          </w:p>
        </w:tc>
        <w:tc>
          <w:tcPr>
            <w:tcW w:type="dxa" w:w="1881"/>
            <w:shd w:val="clear" w:color="auto" w:fill="DDEBF7"/>
          </w:tcPr>
          <w:p>
            <w:r>
              <w:rPr>
                <w:rFonts w:ascii="Meiryo UI" w:hAnsi="Meiryo UI"/>
                <w:sz w:val="18"/>
              </w:rPr>
              <w:t>なし</w:t>
            </w:r>
          </w:p>
        </w:tc>
      </w:tr>
    </w:tbl>
    <w:p/>
    <w:p>
      <w:r>
        <w:rPr>
          <w:rFonts w:ascii="Meiryo UI" w:hAnsi="Meiryo UI"/>
          <w:sz w:val="20"/>
        </w:rPr>
        <w:t>ファインケミカルセグメントが利益の核心： 売上構成比35%前後ながら、営業利益ベースでは全体の50〜60%以上を稼ぐ高収益エンジンと推定される。医薬品中間体はその中でも最高利益率品目群。</w:t>
      </w:r>
    </w:p>
    <w:p/>
    <w:p>
      <w:pPr>
        <w:pStyle w:val="Heading3"/>
      </w:pPr>
      <w:r>
        <w:rPr>
          <w:rFonts w:ascii="Meiryo UI" w:hAnsi="Meiryo UI"/>
          <w:color w:val="2E74B5"/>
        </w:rPr>
        <w:t>1-3. 財務実績（通期・推計含む公開情報ベース）</w:t>
      </w:r>
    </w:p>
    <w:p/>
    <w:p>
      <w:r>
        <w:rPr>
          <w:rFonts w:ascii="Meiryo UI" w:hAnsi="Meiryo UI"/>
          <w:sz w:val="20"/>
        </w:rPr>
        <w:t>以下は直近通期（FY2025/3期推計）の財務サマリーである。注：以下数値は公開情報・yfinance取得値から逆算した推計値を含む。決算開示値との差異に注意。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FY2024/3実績（推計）</w:t>
            </w:r>
          </w:p>
        </w:tc>
        <w:tc>
          <w:tcPr>
            <w:tcW w:type="dxa" w:w="2351"/>
            <w:shd w:val="clear" w:color="auto" w:fill="2E74B5"/>
          </w:tcPr>
          <w:p>
            <w:r>
              <w:rPr>
                <w:rFonts w:ascii="Meiryo UI" w:hAnsi="Meiryo UI"/>
                <w:b/>
                <w:color w:val="FFFFFF"/>
                <w:sz w:val="18"/>
              </w:rPr>
              <w:t>FY2025/3実績（推計）</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売上高</w:t>
            </w:r>
          </w:p>
        </w:tc>
        <w:tc>
          <w:tcPr>
            <w:tcW w:type="dxa" w:w="2351"/>
          </w:tcPr>
          <w:p>
            <w:r>
              <w:rPr>
                <w:rFonts w:ascii="Meiryo UI" w:hAnsi="Meiryo UI"/>
                <w:sz w:val="18"/>
              </w:rPr>
              <w:t>¥77,000M</w:t>
            </w:r>
          </w:p>
        </w:tc>
        <w:tc>
          <w:tcPr>
            <w:tcW w:type="dxa" w:w="2351"/>
          </w:tcPr>
          <w:p>
            <w:r>
              <w:rPr>
                <w:rFonts w:ascii="Meiryo UI" w:hAnsi="Meiryo UI"/>
                <w:sz w:val="18"/>
              </w:rPr>
              <w:t>¥78,500M</w:t>
            </w:r>
          </w:p>
        </w:tc>
        <w:tc>
          <w:tcPr>
            <w:tcW w:type="dxa" w:w="2351"/>
          </w:tcPr>
          <w:p>
            <w:r>
              <w:rPr>
                <w:rFonts w:ascii="Meiryo UI" w:hAnsi="Meiryo UI"/>
                <w:sz w:val="18"/>
              </w:rPr>
              <w:t>+1.9%</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¥9,200M</w:t>
            </w:r>
          </w:p>
        </w:tc>
        <w:tc>
          <w:tcPr>
            <w:tcW w:type="dxa" w:w="2351"/>
            <w:shd w:val="clear" w:color="auto" w:fill="DDEBF7"/>
          </w:tcPr>
          <w:p>
            <w:r>
              <w:rPr>
                <w:rFonts w:ascii="Meiryo UI" w:hAnsi="Meiryo UI"/>
                <w:sz w:val="18"/>
              </w:rPr>
              <w:t>¥8,800M</w:t>
            </w:r>
          </w:p>
        </w:tc>
        <w:tc>
          <w:tcPr>
            <w:tcW w:type="dxa" w:w="2351"/>
            <w:shd w:val="clear" w:color="auto" w:fill="DDEBF7"/>
          </w:tcPr>
          <w:p>
            <w:r>
              <w:rPr>
                <w:rFonts w:ascii="Meiryo UI" w:hAnsi="Meiryo UI"/>
                <w:sz w:val="18"/>
              </w:rPr>
              <w:t>▲4.3%</w:t>
            </w:r>
          </w:p>
        </w:tc>
      </w:tr>
      <w:tr>
        <w:tc>
          <w:tcPr>
            <w:tcW w:type="dxa" w:w="2351"/>
          </w:tcPr>
          <w:p>
            <w:r>
              <w:rPr>
                <w:rFonts w:ascii="Meiryo UI" w:hAnsi="Meiryo UI"/>
                <w:sz w:val="18"/>
              </w:rPr>
              <w:t>営業利益率</w:t>
            </w:r>
          </w:p>
        </w:tc>
        <w:tc>
          <w:tcPr>
            <w:tcW w:type="dxa" w:w="2351"/>
          </w:tcPr>
          <w:p>
            <w:r>
              <w:rPr>
                <w:rFonts w:ascii="Meiryo UI" w:hAnsi="Meiryo UI"/>
                <w:sz w:val="18"/>
              </w:rPr>
              <w:t>11.9%</w:t>
            </w:r>
          </w:p>
        </w:tc>
        <w:tc>
          <w:tcPr>
            <w:tcW w:type="dxa" w:w="2351"/>
          </w:tcPr>
          <w:p>
            <w:r>
              <w:rPr>
                <w:rFonts w:ascii="Meiryo UI" w:hAnsi="Meiryo UI"/>
                <w:sz w:val="18"/>
              </w:rPr>
              <w:t>11.2%</w:t>
            </w:r>
          </w:p>
        </w:tc>
        <w:tc>
          <w:tcPr>
            <w:tcW w:type="dxa" w:w="2351"/>
          </w:tcPr>
          <w:p>
            <w:r>
              <w:rPr>
                <w:rFonts w:ascii="Meiryo UI" w:hAnsi="Meiryo UI"/>
                <w:sz w:val="18"/>
              </w:rPr>
              <w:t>▲0.7pt</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¥9,600M</w:t>
            </w:r>
          </w:p>
        </w:tc>
        <w:tc>
          <w:tcPr>
            <w:tcW w:type="dxa" w:w="2351"/>
            <w:shd w:val="clear" w:color="auto" w:fill="DDEBF7"/>
          </w:tcPr>
          <w:p>
            <w:r>
              <w:rPr>
                <w:rFonts w:ascii="Meiryo UI" w:hAnsi="Meiryo UI"/>
                <w:sz w:val="18"/>
              </w:rPr>
              <w:t>¥9,100M</w:t>
            </w:r>
          </w:p>
        </w:tc>
        <w:tc>
          <w:tcPr>
            <w:tcW w:type="dxa" w:w="2351"/>
            <w:shd w:val="clear" w:color="auto" w:fill="DDEBF7"/>
          </w:tcPr>
          <w:p>
            <w:r>
              <w:rPr>
                <w:rFonts w:ascii="Meiryo UI" w:hAnsi="Meiryo UI"/>
                <w:sz w:val="18"/>
              </w:rPr>
              <w:t>▲5.2%</w:t>
            </w:r>
          </w:p>
        </w:tc>
      </w:tr>
      <w:tr>
        <w:tc>
          <w:tcPr>
            <w:tcW w:type="dxa" w:w="2351"/>
          </w:tcPr>
          <w:p>
            <w:r>
              <w:rPr>
                <w:rFonts w:ascii="Meiryo UI" w:hAnsi="Meiryo UI"/>
                <w:sz w:val="18"/>
              </w:rPr>
              <w:t>純利益</w:t>
            </w:r>
          </w:p>
        </w:tc>
        <w:tc>
          <w:tcPr>
            <w:tcW w:type="dxa" w:w="2351"/>
          </w:tcPr>
          <w:p>
            <w:r>
              <w:rPr>
                <w:rFonts w:ascii="Meiryo UI" w:hAnsi="Meiryo UI"/>
                <w:sz w:val="18"/>
              </w:rPr>
              <w:t>¥6,800M</w:t>
            </w:r>
          </w:p>
        </w:tc>
        <w:tc>
          <w:tcPr>
            <w:tcW w:type="dxa" w:w="2351"/>
          </w:tcPr>
          <w:p>
            <w:r>
              <w:rPr>
                <w:rFonts w:ascii="Meiryo UI" w:hAnsi="Meiryo UI"/>
                <w:sz w:val="18"/>
              </w:rPr>
              <w:t>¥6,450M</w:t>
            </w:r>
          </w:p>
        </w:tc>
        <w:tc>
          <w:tcPr>
            <w:tcW w:type="dxa" w:w="2351"/>
          </w:tcPr>
          <w:p>
            <w:r>
              <w:rPr>
                <w:rFonts w:ascii="Meiryo UI" w:hAnsi="Meiryo UI"/>
                <w:sz w:val="18"/>
              </w:rPr>
              <w:t>▲5.1%</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¥102</w:t>
            </w:r>
          </w:p>
        </w:tc>
        <w:tc>
          <w:tcPr>
            <w:tcW w:type="dxa" w:w="2351"/>
            <w:shd w:val="clear" w:color="auto" w:fill="DDEBF7"/>
          </w:tcPr>
          <w:p>
            <w:r>
              <w:rPr>
                <w:rFonts w:ascii="Meiryo UI" w:hAnsi="Meiryo UI"/>
                <w:sz w:val="18"/>
              </w:rPr>
              <w:t>¥97</w:t>
            </w:r>
          </w:p>
        </w:tc>
        <w:tc>
          <w:tcPr>
            <w:tcW w:type="dxa" w:w="2351"/>
            <w:shd w:val="clear" w:color="auto" w:fill="DDEBF7"/>
          </w:tcPr>
          <w:p>
            <w:r>
              <w:rPr>
                <w:rFonts w:ascii="Meiryo UI" w:hAnsi="Meiryo UI"/>
                <w:sz w:val="18"/>
              </w:rPr>
              <w:t>▲4.9%</w:t>
            </w:r>
          </w:p>
        </w:tc>
      </w:tr>
    </w:tbl>
    <w:p/>
    <w:p>
      <w:r>
        <w:rPr>
          <w:rFonts w:ascii="Meiryo UI" w:hAnsi="Meiryo UI"/>
          <w:sz w:val="20"/>
        </w:rPr>
        <w:t>&gt; EPS¥97はyfinance確認値と一致（¥97）。整合性確認済み。</w:t>
      </w:r>
    </w:p>
    <w:p/>
    <w:p>
      <w:r>
        <w:rPr>
          <w:rFonts w:ascii="Meiryo UI" w:hAnsi="Meiryo UI"/>
          <w:sz w:val="20"/>
        </w:rPr>
        <w:t>逆算チェック：</w:t>
      </w:r>
    </w:p>
    <w:p>
      <w:pPr>
        <w:pStyle w:val="ListBullet"/>
      </w:pPr>
      <w:r>
        <w:rPr>
          <w:rFonts w:ascii="Meiryo UI" w:hAnsi="Meiryo UI"/>
          <w:sz w:val="20"/>
        </w:rPr>
        <w:t>EPS ¥97 × PER 18.2倍 = ¥1,765（≒現在株価¥1,766）✓</w:t>
      </w:r>
    </w:p>
    <w:p>
      <w:pPr>
        <w:pStyle w:val="ListBullet"/>
      </w:pPr>
      <w:r>
        <w:rPr>
          <w:rFonts w:ascii="Meiryo UI" w:hAnsi="Meiryo UI"/>
          <w:sz w:val="20"/>
        </w:rPr>
        <w:t>BPS ¥996 × PBR 1.77倍 = ¥1,763（≒¥1,766）✓</w:t>
      </w:r>
    </w:p>
    <w:p>
      <w:pPr>
        <w:pStyle w:val="ListBullet"/>
      </w:pPr>
      <w:r>
        <w:rPr>
          <w:rFonts w:ascii="Meiryo UI" w:hAnsi="Meiryo UI"/>
          <w:sz w:val="20"/>
        </w:rPr>
        <w:t>ROE = EPS/BPS = 97/996 = 9.7%（yfinance提示10.9%と概ね整合。配当調整等で差異あり）</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時期</w:t>
            </w:r>
          </w:p>
        </w:tc>
      </w:tr>
      <w:tr>
        <w:tc>
          <w:tcPr>
            <w:tcW w:type="dxa" w:w="3135"/>
          </w:tcPr>
          <w:p>
            <w:r>
              <w:rPr>
                <w:rFonts w:ascii="Meiryo UI" w:hAnsi="Meiryo UI"/>
                <w:sz w:val="18"/>
              </w:rPr>
              <w:t>FY2025通期決算発表（次回）</w:t>
            </w:r>
          </w:p>
        </w:tc>
        <w:tc>
          <w:tcPr>
            <w:tcW w:type="dxa" w:w="3135"/>
          </w:tcPr>
          <w:p>
            <w:r>
              <w:rPr>
                <w:rFonts w:ascii="Meiryo UI" w:hAnsi="Meiryo UI"/>
                <w:sz w:val="18"/>
              </w:rPr>
              <w:t>中立（要注目）</w:t>
            </w:r>
          </w:p>
        </w:tc>
        <w:tc>
          <w:tcPr>
            <w:tcW w:type="dxa" w:w="3135"/>
          </w:tcPr>
          <w:p>
            <w:r>
              <w:rPr>
                <w:rFonts w:ascii="Meiryo UI" w:hAnsi="Meiryo UI"/>
                <w:sz w:val="18"/>
              </w:rPr>
              <w:t>2026-05-12</w:t>
            </w:r>
          </w:p>
        </w:tc>
      </w:tr>
      <w:tr>
        <w:tc>
          <w:tcPr>
            <w:tcW w:type="dxa" w:w="3135"/>
            <w:shd w:val="clear" w:color="auto" w:fill="DDEBF7"/>
          </w:tcPr>
          <w:p>
            <w:r>
              <w:rPr>
                <w:rFonts w:ascii="Meiryo UI" w:hAnsi="Meiryo UI"/>
                <w:sz w:val="18"/>
              </w:rPr>
              <w:t>GLP-1経口製剤の米FDA承認動向</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2026〜2027年</w:t>
            </w:r>
          </w:p>
        </w:tc>
      </w:tr>
      <w:tr>
        <w:tc>
          <w:tcPr>
            <w:tcW w:type="dxa" w:w="3135"/>
          </w:tcPr>
          <w:p>
            <w:r>
              <w:rPr>
                <w:rFonts w:ascii="Meiryo UI" w:hAnsi="Meiryo UI"/>
                <w:sz w:val="18"/>
              </w:rPr>
              <w:t>ホルムズ危機緩和によるナフサ正常化</w:t>
            </w:r>
          </w:p>
        </w:tc>
        <w:tc>
          <w:tcPr>
            <w:tcW w:type="dxa" w:w="3135"/>
          </w:tcPr>
          <w:p>
            <w:r>
              <w:rPr>
                <w:rFonts w:ascii="Meiryo UI" w:hAnsi="Meiryo UI"/>
                <w:sz w:val="18"/>
              </w:rPr>
              <w:t>ポジティブ</w:t>
            </w:r>
          </w:p>
        </w:tc>
        <w:tc>
          <w:tcPr>
            <w:tcW w:type="dxa" w:w="3135"/>
          </w:tcPr>
          <w:p>
            <w:r>
              <w:rPr>
                <w:rFonts w:ascii="Meiryo UI" w:hAnsi="Meiryo UI"/>
                <w:sz w:val="18"/>
              </w:rPr>
              <w:t>不確実</w:t>
            </w:r>
          </w:p>
        </w:tc>
      </w:tr>
      <w:tr>
        <w:tc>
          <w:tcPr>
            <w:tcW w:type="dxa" w:w="3135"/>
            <w:shd w:val="clear" w:color="auto" w:fill="DDEBF7"/>
          </w:tcPr>
          <w:p>
            <w:r>
              <w:rPr>
                <w:rFonts w:ascii="Meiryo UI" w:hAnsi="Meiryo UI"/>
                <w:sz w:val="18"/>
              </w:rPr>
              <w:t>中期経営計画（ファインケミカル比率向上）</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期中</w:t>
            </w:r>
          </w:p>
        </w:tc>
      </w:tr>
      <w:tr>
        <w:tc>
          <w:tcPr>
            <w:tcW w:type="dxa" w:w="3135"/>
          </w:tcPr>
          <w:p>
            <w:r>
              <w:rPr>
                <w:rFonts w:ascii="Meiryo UI" w:hAnsi="Meiryo UI"/>
                <w:sz w:val="18"/>
              </w:rPr>
              <w:t>中国API競合激化</w:t>
            </w:r>
          </w:p>
        </w:tc>
        <w:tc>
          <w:tcPr>
            <w:tcW w:type="dxa" w:w="3135"/>
          </w:tcPr>
          <w:p>
            <w:r>
              <w:rPr>
                <w:rFonts w:ascii="Meiryo UI" w:hAnsi="Meiryo UI"/>
                <w:sz w:val="18"/>
              </w:rPr>
              <w:t>ネガティブ</w:t>
            </w:r>
          </w:p>
        </w:tc>
        <w:tc>
          <w:tcPr>
            <w:tcW w:type="dxa" w:w="3135"/>
          </w:tcPr>
          <w:p>
            <w:r>
              <w:rPr>
                <w:rFonts w:ascii="Meiryo UI" w:hAnsi="Meiryo UI"/>
                <w:sz w:val="18"/>
              </w:rPr>
              <w:t>継続中</w:t>
            </w:r>
          </w:p>
        </w:tc>
      </w:tr>
    </w:tbl>
    <w:p/>
    <w:p>
      <w:r>
        <w:t>──────────────────────────────────────────────────</w:t>
      </w:r>
    </w:p>
    <w:p/>
    <w:p>
      <w:pPr>
        <w:pStyle w:val="Heading2"/>
      </w:pPr>
      <w:r>
        <w:rPr>
          <w:rFonts w:ascii="Meiryo UI" w:hAnsi="Meiryo UI"/>
          <w:color w:val="2E74B5"/>
        </w:rPr>
        <w:t>第2章　社長指示重点分析（最優先）</w:t>
      </w:r>
    </w:p>
    <w:p/>
    <w:p>
      <w:pPr>
        <w:pStyle w:val="Heading3"/>
      </w:pPr>
      <w:r>
        <w:rPr>
          <w:rFonts w:ascii="Meiryo UI" w:hAnsi="Meiryo UI"/>
          <w:color w:val="2E74B5"/>
        </w:rPr>
        <w:t>2-1. GLP-1医薬品中間体テーマ — 核心分析</w:t>
      </w:r>
    </w:p>
    <w:p/>
    <w:p>
      <w:pPr>
        <w:pStyle w:val="Heading4"/>
      </w:pPr>
      <w:r>
        <w:rPr>
          <w:rFonts w:ascii="Meiryo UI" w:hAnsi="Meiryo UI"/>
          <w:color w:val="2E74B5"/>
        </w:rPr>
        <w:t>■ 大阪ソーダのGLP-1サプライチェーンにおける位置づけ</w:t>
      </w:r>
    </w:p>
    <w:p/>
    <w:p>
      <w:r>
        <w:rPr>
          <w:rFonts w:ascii="Meiryo UI" w:hAnsi="Meiryo UI"/>
          <w:sz w:val="20"/>
        </w:rPr>
        <w:t>大阪ソーダはGLP-1受容体作動薬の合成に必要な有機化学中間体・保護基・縮合試薬・特殊アミノ酸誘導体のサプライヤーとして位置付けられる。具体的な供給品目は以下の通り（公開情報・業界分析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品目カテゴリ</w:t>
            </w:r>
          </w:p>
        </w:tc>
        <w:tc>
          <w:tcPr>
            <w:tcW w:type="dxa" w:w="3135"/>
            <w:shd w:val="clear" w:color="auto" w:fill="2E74B5"/>
          </w:tcPr>
          <w:p>
            <w:r>
              <w:rPr>
                <w:rFonts w:ascii="Meiryo UI" w:hAnsi="Meiryo UI"/>
                <w:b/>
                <w:color w:val="FFFFFF"/>
                <w:sz w:val="18"/>
              </w:rPr>
              <w:t>具体例</w:t>
            </w:r>
          </w:p>
        </w:tc>
        <w:tc>
          <w:tcPr>
            <w:tcW w:type="dxa" w:w="3135"/>
            <w:shd w:val="clear" w:color="auto" w:fill="2E74B5"/>
          </w:tcPr>
          <w:p>
            <w:r>
              <w:rPr>
                <w:rFonts w:ascii="Meiryo UI" w:hAnsi="Meiryo UI"/>
                <w:b/>
                <w:color w:val="FFFFFF"/>
                <w:sz w:val="18"/>
              </w:rPr>
              <w:t>GLP-1薬との関連</w:t>
            </w:r>
          </w:p>
        </w:tc>
      </w:tr>
      <w:tr>
        <w:tc>
          <w:tcPr>
            <w:tcW w:type="dxa" w:w="3135"/>
          </w:tcPr>
          <w:p>
            <w:r>
              <w:rPr>
                <w:rFonts w:ascii="Meiryo UI" w:hAnsi="Meiryo UI"/>
                <w:sz w:val="18"/>
              </w:rPr>
              <w:t>縮合試薬・活性化剤</w:t>
            </w:r>
          </w:p>
        </w:tc>
        <w:tc>
          <w:tcPr>
            <w:tcW w:type="dxa" w:w="3135"/>
          </w:tcPr>
          <w:p>
            <w:r>
              <w:rPr>
                <w:rFonts w:ascii="Meiryo UI" w:hAnsi="Meiryo UI"/>
                <w:sz w:val="18"/>
              </w:rPr>
              <w:t>DCC類縁体・HOBt類</w:t>
            </w:r>
          </w:p>
        </w:tc>
        <w:tc>
          <w:tcPr>
            <w:tcW w:type="dxa" w:w="3135"/>
          </w:tcPr>
          <w:p>
            <w:r>
              <w:rPr>
                <w:rFonts w:ascii="Meiryo UI" w:hAnsi="Meiryo UI"/>
                <w:sz w:val="18"/>
              </w:rPr>
              <w:t>ペプチド合成反応</w:t>
            </w:r>
          </w:p>
        </w:tc>
      </w:tr>
      <w:tr>
        <w:tc>
          <w:tcPr>
            <w:tcW w:type="dxa" w:w="3135"/>
            <w:shd w:val="clear" w:color="auto" w:fill="DDEBF7"/>
          </w:tcPr>
          <w:p>
            <w:r>
              <w:rPr>
                <w:rFonts w:ascii="Meiryo UI" w:hAnsi="Meiryo UI"/>
                <w:sz w:val="18"/>
              </w:rPr>
              <w:t>保護基試薬</w:t>
            </w:r>
          </w:p>
        </w:tc>
        <w:tc>
          <w:tcPr>
            <w:tcW w:type="dxa" w:w="3135"/>
            <w:shd w:val="clear" w:color="auto" w:fill="DDEBF7"/>
          </w:tcPr>
          <w:p>
            <w:r>
              <w:rPr>
                <w:rFonts w:ascii="Meiryo UI" w:hAnsi="Meiryo UI"/>
                <w:sz w:val="18"/>
              </w:rPr>
              <w:t>Fmoc-アミノ酸誘導体</w:t>
            </w:r>
          </w:p>
        </w:tc>
        <w:tc>
          <w:tcPr>
            <w:tcW w:type="dxa" w:w="3135"/>
            <w:shd w:val="clear" w:color="auto" w:fill="DDEBF7"/>
          </w:tcPr>
          <w:p>
            <w:r>
              <w:rPr>
                <w:rFonts w:ascii="Meiryo UI" w:hAnsi="Meiryo UI"/>
                <w:sz w:val="18"/>
              </w:rPr>
              <w:t>SPPS（固相合成）</w:t>
            </w:r>
          </w:p>
        </w:tc>
      </w:tr>
      <w:tr>
        <w:tc>
          <w:tcPr>
            <w:tcW w:type="dxa" w:w="3135"/>
          </w:tcPr>
          <w:p>
            <w:r>
              <w:rPr>
                <w:rFonts w:ascii="Meiryo UI" w:hAnsi="Meiryo UI"/>
                <w:sz w:val="18"/>
              </w:rPr>
              <w:t>有機塩素化合物</w:t>
            </w:r>
          </w:p>
        </w:tc>
        <w:tc>
          <w:tcPr>
            <w:tcW w:type="dxa" w:w="3135"/>
          </w:tcPr>
          <w:p>
            <w:r>
              <w:rPr>
                <w:rFonts w:ascii="Meiryo UI" w:hAnsi="Meiryo UI"/>
                <w:sz w:val="18"/>
              </w:rPr>
              <w:t>クロロギ酸エステル類</w:t>
            </w:r>
          </w:p>
        </w:tc>
        <w:tc>
          <w:tcPr>
            <w:tcW w:type="dxa" w:w="3135"/>
          </w:tcPr>
          <w:p>
            <w:r>
              <w:rPr>
                <w:rFonts w:ascii="Meiryo UI" w:hAnsi="Meiryo UI"/>
                <w:sz w:val="18"/>
              </w:rPr>
              <w:t>官能基変換</w:t>
            </w:r>
          </w:p>
        </w:tc>
      </w:tr>
      <w:tr>
        <w:tc>
          <w:tcPr>
            <w:tcW w:type="dxa" w:w="3135"/>
            <w:shd w:val="clear" w:color="auto" w:fill="DDEBF7"/>
          </w:tcPr>
          <w:p>
            <w:r>
              <w:rPr>
                <w:rFonts w:ascii="Meiryo UI" w:hAnsi="Meiryo UI"/>
                <w:sz w:val="18"/>
              </w:rPr>
              <w:t>エポキシ系化学品</w:t>
            </w:r>
          </w:p>
        </w:tc>
        <w:tc>
          <w:tcPr>
            <w:tcW w:type="dxa" w:w="3135"/>
            <w:shd w:val="clear" w:color="auto" w:fill="DDEBF7"/>
          </w:tcPr>
          <w:p>
            <w:r>
              <w:rPr>
                <w:rFonts w:ascii="Meiryo UI" w:hAnsi="Meiryo UI"/>
                <w:sz w:val="18"/>
              </w:rPr>
              <w:t>エピクロルヒドリン誘導体</w:t>
            </w:r>
          </w:p>
        </w:tc>
        <w:tc>
          <w:tcPr>
            <w:tcW w:type="dxa" w:w="3135"/>
            <w:shd w:val="clear" w:color="auto" w:fill="DDEBF7"/>
          </w:tcPr>
          <w:p>
            <w:r>
              <w:rPr>
                <w:rFonts w:ascii="Meiryo UI" w:hAnsi="Meiryo UI"/>
                <w:sz w:val="18"/>
              </w:rPr>
              <w:t>リンカー合成</w:t>
            </w:r>
          </w:p>
        </w:tc>
      </w:tr>
      <w:tr>
        <w:tc>
          <w:tcPr>
            <w:tcW w:type="dxa" w:w="3135"/>
          </w:tcPr>
          <w:p>
            <w:r>
              <w:rPr>
                <w:rFonts w:ascii="Meiryo UI" w:hAnsi="Meiryo UI"/>
                <w:sz w:val="18"/>
              </w:rPr>
              <w:t>特殊溶媒・純正試薬</w:t>
            </w:r>
          </w:p>
        </w:tc>
        <w:tc>
          <w:tcPr>
            <w:tcW w:type="dxa" w:w="3135"/>
          </w:tcPr>
          <w:p>
            <w:r>
              <w:rPr>
                <w:rFonts w:ascii="Meiryo UI" w:hAnsi="Meiryo UI"/>
                <w:sz w:val="18"/>
              </w:rPr>
              <w:t>高純度品</w:t>
            </w:r>
          </w:p>
        </w:tc>
        <w:tc>
          <w:tcPr>
            <w:tcW w:type="dxa" w:w="3135"/>
          </w:tcPr>
          <w:p>
            <w:r>
              <w:rPr>
                <w:rFonts w:ascii="Meiryo UI" w:hAnsi="Meiryo UI"/>
                <w:sz w:val="18"/>
              </w:rPr>
              <w:t>GMP対応製造</w:t>
            </w:r>
          </w:p>
        </w:tc>
      </w:tr>
    </w:tbl>
    <w:p/>
    <w:p>
      <w:r>
        <w:rPr>
          <w:rFonts w:ascii="Meiryo UI" w:hAnsi="Meiryo UI"/>
          <w:sz w:val="20"/>
        </w:rPr>
        <w:t>&gt; 注： 大阪ソーダはGLP-1完成API（原薬）の直接製造よりも、中間体・試薬・前駆体のサプライヤー（Tier2〜Tier3）としての役割が中心と推定される。完成APIはノボノルディスク・イーライリリーが自社または専業CDMO（Bachem・Lonza・Polypeptide等）に委託。</w:t>
      </w:r>
    </w:p>
    <w:p/>
    <w:p>
      <w:r>
        <w:rPr>
          <w:rFonts w:ascii="Meiryo UI" w:hAnsi="Meiryo UI"/>
          <w:sz w:val="20"/>
        </w:rPr>
        <w:t>主要顧客（推定）： ノボノルディスク・イーライリリーの承認CDMOへの間接供給、および国内製薬メーカー経由の中間体供給。直接顧客名は非開示（IR）。</w:t>
      </w:r>
    </w:p>
    <w:p/>
    <w:p>
      <w:r>
        <w:t>──────────────────────────────────────────────────</w:t>
      </w:r>
    </w:p>
    <w:p/>
    <w:p>
      <w:pPr>
        <w:pStyle w:val="Heading4"/>
      </w:pPr>
      <w:r>
        <w:rPr>
          <w:rFonts w:ascii="Meiryo UI" w:hAnsi="Meiryo UI"/>
          <w:color w:val="2E74B5"/>
        </w:rPr>
        <w:t>■ 核心分析①：経口剤シフトによるAPI数量インパクト（最重要定量分析）</w:t>
      </w:r>
    </w:p>
    <w:p/>
    <w:p>
      <w:r>
        <w:rPr>
          <w:rFonts w:ascii="Meiryo UI" w:hAnsi="Meiryo UI"/>
          <w:sz w:val="20"/>
        </w:rPr>
        <w:t>【現行注射剤 vs 経口剤の投与量比較】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薬剤</w:t>
            </w:r>
          </w:p>
        </w:tc>
        <w:tc>
          <w:tcPr>
            <w:tcW w:type="dxa" w:w="1568"/>
            <w:shd w:val="clear" w:color="auto" w:fill="2E74B5"/>
          </w:tcPr>
          <w:p>
            <w:r>
              <w:rPr>
                <w:rFonts w:ascii="Meiryo UI" w:hAnsi="Meiryo UI"/>
                <w:b/>
                <w:color w:val="FFFFFF"/>
                <w:sz w:val="18"/>
              </w:rPr>
              <w:t>剤型</w:t>
            </w:r>
          </w:p>
        </w:tc>
        <w:tc>
          <w:tcPr>
            <w:tcW w:type="dxa" w:w="1568"/>
            <w:shd w:val="clear" w:color="auto" w:fill="2E74B5"/>
          </w:tcPr>
          <w:p>
            <w:r>
              <w:rPr>
                <w:rFonts w:ascii="Meiryo UI" w:hAnsi="Meiryo UI"/>
                <w:b/>
                <w:color w:val="FFFFFF"/>
                <w:sz w:val="18"/>
              </w:rPr>
              <w:t>1回投与量</w:t>
            </w:r>
          </w:p>
        </w:tc>
        <w:tc>
          <w:tcPr>
            <w:tcW w:type="dxa" w:w="1568"/>
            <w:shd w:val="clear" w:color="auto" w:fill="2E74B5"/>
          </w:tcPr>
          <w:p>
            <w:r>
              <w:rPr>
                <w:rFonts w:ascii="Meiryo UI" w:hAnsi="Meiryo UI"/>
                <w:b/>
                <w:color w:val="FFFFFF"/>
                <w:sz w:val="18"/>
              </w:rPr>
              <w:t>投与頻度</w:t>
            </w:r>
          </w:p>
        </w:tc>
        <w:tc>
          <w:tcPr>
            <w:tcW w:type="dxa" w:w="1568"/>
            <w:shd w:val="clear" w:color="auto" w:fill="2E74B5"/>
          </w:tcPr>
          <w:p>
            <w:r>
              <w:rPr>
                <w:rFonts w:ascii="Meiryo UI" w:hAnsi="Meiryo UI"/>
                <w:b/>
                <w:color w:val="FFFFFF"/>
                <w:sz w:val="18"/>
              </w:rPr>
              <w:t>年間API使用量</w:t>
            </w:r>
          </w:p>
        </w:tc>
        <w:tc>
          <w:tcPr>
            <w:tcW w:type="dxa" w:w="1568"/>
            <w:shd w:val="clear" w:color="auto" w:fill="2E74B5"/>
          </w:tcPr>
          <w:p>
            <w:r>
              <w:rPr>
                <w:rFonts w:ascii="Meiryo UI" w:hAnsi="Meiryo UI"/>
                <w:b/>
                <w:color w:val="FFFFFF"/>
                <w:sz w:val="18"/>
              </w:rPr>
              <w:t>大阪ソーダ中間体需要</w:t>
            </w:r>
          </w:p>
        </w:tc>
      </w:tr>
      <w:tr>
        <w:tc>
          <w:tcPr>
            <w:tcW w:type="dxa" w:w="1568"/>
          </w:tcPr>
          <w:p>
            <w:r>
              <w:rPr>
                <w:rFonts w:ascii="Meiryo UI" w:hAnsi="Meiryo UI"/>
                <w:sz w:val="18"/>
              </w:rPr>
              <w:t>セマグルチド（オゼンピック/ウゴービ）</w:t>
            </w:r>
          </w:p>
        </w:tc>
        <w:tc>
          <w:tcPr>
            <w:tcW w:type="dxa" w:w="1568"/>
          </w:tcPr>
          <w:p>
            <w:r>
              <w:rPr>
                <w:rFonts w:ascii="Meiryo UI" w:hAnsi="Meiryo UI"/>
                <w:sz w:val="18"/>
              </w:rPr>
              <w:t>注射</w:t>
            </w:r>
          </w:p>
        </w:tc>
        <w:tc>
          <w:tcPr>
            <w:tcW w:type="dxa" w:w="1568"/>
          </w:tcPr>
          <w:p>
            <w:r>
              <w:rPr>
                <w:rFonts w:ascii="Meiryo UI" w:hAnsi="Meiryo UI"/>
                <w:sz w:val="18"/>
              </w:rPr>
              <w:t>0.5〜2.0mg</w:t>
            </w:r>
          </w:p>
        </w:tc>
        <w:tc>
          <w:tcPr>
            <w:tcW w:type="dxa" w:w="1568"/>
          </w:tcPr>
          <w:p>
            <w:r>
              <w:rPr>
                <w:rFonts w:ascii="Meiryo UI" w:hAnsi="Meiryo UI"/>
                <w:sz w:val="18"/>
              </w:rPr>
              <w:t>週1回</w:t>
            </w:r>
          </w:p>
        </w:tc>
        <w:tc>
          <w:tcPr>
            <w:tcW w:type="dxa" w:w="1568"/>
          </w:tcPr>
          <w:p>
            <w:r>
              <w:rPr>
                <w:rFonts w:ascii="Meiryo UI" w:hAnsi="Meiryo UI"/>
                <w:sz w:val="18"/>
              </w:rPr>
              <w:t>26〜104mg/年</w:t>
            </w:r>
          </w:p>
        </w:tc>
        <w:tc>
          <w:tcPr>
            <w:tcW w:type="dxa" w:w="1568"/>
          </w:tcPr>
          <w:p>
            <w:r>
              <w:rPr>
                <w:rFonts w:ascii="Meiryo UI" w:hAnsi="Meiryo UI"/>
                <w:sz w:val="18"/>
              </w:rPr>
              <w:t>小〜中</w:t>
            </w:r>
          </w:p>
        </w:tc>
      </w:tr>
      <w:tr>
        <w:tc>
          <w:tcPr>
            <w:tcW w:type="dxa" w:w="1568"/>
            <w:shd w:val="clear" w:color="auto" w:fill="DDEBF7"/>
          </w:tcPr>
          <w:p>
            <w:r>
              <w:rPr>
                <w:rFonts w:ascii="Meiryo UI" w:hAnsi="Meiryo UI"/>
                <w:sz w:val="18"/>
              </w:rPr>
              <w:t>チルゼパチド（マンジャロ/ゼップバウンド）</w:t>
            </w:r>
          </w:p>
        </w:tc>
        <w:tc>
          <w:tcPr>
            <w:tcW w:type="dxa" w:w="1568"/>
            <w:shd w:val="clear" w:color="auto" w:fill="DDEBF7"/>
          </w:tcPr>
          <w:p>
            <w:r>
              <w:rPr>
                <w:rFonts w:ascii="Meiryo UI" w:hAnsi="Meiryo UI"/>
                <w:sz w:val="18"/>
              </w:rPr>
              <w:t>注射</w:t>
            </w:r>
          </w:p>
        </w:tc>
        <w:tc>
          <w:tcPr>
            <w:tcW w:type="dxa" w:w="1568"/>
            <w:shd w:val="clear" w:color="auto" w:fill="DDEBF7"/>
          </w:tcPr>
          <w:p>
            <w:r>
              <w:rPr>
                <w:rFonts w:ascii="Meiryo UI" w:hAnsi="Meiryo UI"/>
                <w:sz w:val="18"/>
              </w:rPr>
              <w:t>2.5〜15mg</w:t>
            </w:r>
          </w:p>
        </w:tc>
        <w:tc>
          <w:tcPr>
            <w:tcW w:type="dxa" w:w="1568"/>
            <w:shd w:val="clear" w:color="auto" w:fill="DDEBF7"/>
          </w:tcPr>
          <w:p>
            <w:r>
              <w:rPr>
                <w:rFonts w:ascii="Meiryo UI" w:hAnsi="Meiryo UI"/>
                <w:sz w:val="18"/>
              </w:rPr>
              <w:t>週1回</w:t>
            </w:r>
          </w:p>
        </w:tc>
        <w:tc>
          <w:tcPr>
            <w:tcW w:type="dxa" w:w="1568"/>
            <w:shd w:val="clear" w:color="auto" w:fill="DDEBF7"/>
          </w:tcPr>
          <w:p>
            <w:r>
              <w:rPr>
                <w:rFonts w:ascii="Meiryo UI" w:hAnsi="Meiryo UI"/>
                <w:sz w:val="18"/>
              </w:rPr>
              <w:t>130〜780mg/年</w:t>
            </w:r>
          </w:p>
        </w:tc>
        <w:tc>
          <w:tcPr>
            <w:tcW w:type="dxa" w:w="1568"/>
            <w:shd w:val="clear" w:color="auto" w:fill="DDEBF7"/>
          </w:tcPr>
          <w:p>
            <w:r>
              <w:rPr>
                <w:rFonts w:ascii="Meiryo UI" w:hAnsi="Meiryo UI"/>
                <w:sz w:val="18"/>
              </w:rPr>
              <w:t>中</w:t>
            </w:r>
          </w:p>
        </w:tc>
      </w:tr>
      <w:tr>
        <w:tc>
          <w:tcPr>
            <w:tcW w:type="dxa" w:w="1568"/>
          </w:tcPr>
          <w:p>
            <w:r>
              <w:rPr>
                <w:rFonts w:ascii="Meiryo UI" w:hAnsi="Meiryo UI"/>
                <w:sz w:val="18"/>
              </w:rPr>
              <w:t>セマグルチド経口（Rybelsus）</w:t>
            </w:r>
          </w:p>
        </w:tc>
        <w:tc>
          <w:tcPr>
            <w:tcW w:type="dxa" w:w="1568"/>
          </w:tcPr>
          <w:p>
            <w:r>
              <w:rPr>
                <w:rFonts w:ascii="Meiryo UI" w:hAnsi="Meiryo UI"/>
                <w:sz w:val="18"/>
              </w:rPr>
              <w:t>経口錠</w:t>
            </w:r>
          </w:p>
        </w:tc>
        <w:tc>
          <w:tcPr>
            <w:tcW w:type="dxa" w:w="1568"/>
          </w:tcPr>
          <w:p>
            <w:r>
              <w:rPr>
                <w:rFonts w:ascii="Meiryo UI" w:hAnsi="Meiryo UI"/>
                <w:sz w:val="18"/>
              </w:rPr>
              <w:t>3〜14mg</w:t>
            </w:r>
          </w:p>
        </w:tc>
        <w:tc>
          <w:tcPr>
            <w:tcW w:type="dxa" w:w="1568"/>
          </w:tcPr>
          <w:p>
            <w:r>
              <w:rPr>
                <w:rFonts w:ascii="Meiryo UI" w:hAnsi="Meiryo UI"/>
                <w:sz w:val="18"/>
              </w:rPr>
              <w:t>1日1回</w:t>
            </w:r>
          </w:p>
        </w:tc>
        <w:tc>
          <w:tcPr>
            <w:tcW w:type="dxa" w:w="1568"/>
          </w:tcPr>
          <w:p>
            <w:r>
              <w:rPr>
                <w:rFonts w:ascii="Meiryo UI" w:hAnsi="Meiryo UI"/>
                <w:sz w:val="18"/>
              </w:rPr>
              <w:t>1,095〜5,110mg/年</w:t>
            </w:r>
          </w:p>
        </w:tc>
        <w:tc>
          <w:tcPr>
            <w:tcW w:type="dxa" w:w="1568"/>
          </w:tcPr>
          <w:p>
            <w:r>
              <w:rPr>
                <w:rFonts w:ascii="Meiryo UI" w:hAnsi="Meiryo UI"/>
                <w:sz w:val="18"/>
              </w:rPr>
              <w:t>大</w:t>
            </w:r>
          </w:p>
        </w:tc>
      </w:tr>
      <w:tr>
        <w:tc>
          <w:tcPr>
            <w:tcW w:type="dxa" w:w="1568"/>
            <w:shd w:val="clear" w:color="auto" w:fill="DDEBF7"/>
          </w:tcPr>
          <w:p>
            <w:r>
              <w:rPr>
                <w:rFonts w:ascii="Meiryo UI" w:hAnsi="Meiryo UI"/>
                <w:sz w:val="18"/>
              </w:rPr>
              <w:t>次世代経口GLP-1（開発中・高吸収型）</w:t>
            </w:r>
          </w:p>
        </w:tc>
        <w:tc>
          <w:tcPr>
            <w:tcW w:type="dxa" w:w="1568"/>
            <w:shd w:val="clear" w:color="auto" w:fill="DDEBF7"/>
          </w:tcPr>
          <w:p>
            <w:r>
              <w:rPr>
                <w:rFonts w:ascii="Meiryo UI" w:hAnsi="Meiryo UI"/>
                <w:sz w:val="18"/>
              </w:rPr>
              <w:t>経口錠</w:t>
            </w:r>
          </w:p>
        </w:tc>
        <w:tc>
          <w:tcPr>
            <w:tcW w:type="dxa" w:w="1568"/>
            <w:shd w:val="clear" w:color="auto" w:fill="DDEBF7"/>
          </w:tcPr>
          <w:p>
            <w:r>
              <w:rPr>
                <w:rFonts w:ascii="Meiryo UI" w:hAnsi="Meiryo UI"/>
                <w:sz w:val="18"/>
              </w:rPr>
              <w:t>未定（推定0.5〜3mg）</w:t>
            </w:r>
          </w:p>
        </w:tc>
        <w:tc>
          <w:tcPr>
            <w:tcW w:type="dxa" w:w="1568"/>
            <w:shd w:val="clear" w:color="auto" w:fill="DDEBF7"/>
          </w:tcPr>
          <w:p>
            <w:r>
              <w:rPr>
                <w:rFonts w:ascii="Meiryo UI" w:hAnsi="Meiryo UI"/>
                <w:sz w:val="18"/>
              </w:rPr>
              <w:t>1日1回</w:t>
            </w:r>
          </w:p>
        </w:tc>
        <w:tc>
          <w:tcPr>
            <w:tcW w:type="dxa" w:w="1568"/>
            <w:shd w:val="clear" w:color="auto" w:fill="DDEBF7"/>
          </w:tcPr>
          <w:p>
            <w:r>
              <w:rPr>
                <w:rFonts w:ascii="Meiryo UI" w:hAnsi="Meiryo UI"/>
                <w:sz w:val="18"/>
              </w:rPr>
              <w:t>180〜1,095mg/年</w:t>
            </w:r>
          </w:p>
        </w:tc>
        <w:tc>
          <w:tcPr>
            <w:tcW w:type="dxa" w:w="1568"/>
            <w:shd w:val="clear" w:color="auto" w:fill="DDEBF7"/>
          </w:tcPr>
          <w:p>
            <w:r>
              <w:rPr>
                <w:rFonts w:ascii="Meiryo UI" w:hAnsi="Meiryo UI"/>
                <w:sz w:val="18"/>
              </w:rPr>
              <w:t>中〜大</w:t>
            </w:r>
          </w:p>
        </w:tc>
      </w:tr>
    </w:tbl>
    <w:p/>
    <w:p>
      <w:r>
        <w:rPr>
          <w:rFonts w:ascii="Meiryo UI" w:hAnsi="Meiryo UI"/>
          <w:sz w:val="20"/>
        </w:rPr>
        <w:t>【バイオアベイラビリティ比較と投与量倍率計算】</w:t>
      </w:r>
    </w:p>
    <w:p/>
    <w:p>
      <w:pPr>
        <w:shd w:val="clear" w:color="auto" w:fill="F2F2F2"/>
      </w:pPr>
      <w:r>
        <w:rPr>
          <w:rFonts w:ascii="Courier New" w:hAnsi="Courier New"/>
          <w:sz w:val="16"/>
        </w:rPr>
        <w:t>注射セマグルチド：バイオアベイラビリティ ≈ 100%（皮下注射）</w:t>
        <w:br/>
        <w:t>経口セマグルチド（Rybelsus）：バイオアベイラビリティ ≈ 0.4〜1.0%</w:t>
        <w:br/>
        <w:t>→ 同一全身暴露量を得るための投与量倍率 = 100÷1 = 100倍（理論値）</w:t>
        <w:br/>
        <w:t>→ 実際の用量倍率 = 14mg/日÷2mg/週 ÷ 7日 = 14÷0.286 ≈ 49倍/日投与量</w:t>
        <w:br/>
        <w:t>→ 年間積算：注射2mg×52週=104mg vs 経口14mg×365日=5,110mg ≈ 約50倍</w:t>
      </w:r>
    </w:p>
    <w:p/>
    <w:p>
      <w:r>
        <w:rPr>
          <w:rFonts w:ascii="Meiryo UI" w:hAnsi="Meiryo UI"/>
          <w:sz w:val="20"/>
        </w:rPr>
        <w:t>深井の定量試算（最重要）：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比較軸</w:t>
            </w:r>
          </w:p>
        </w:tc>
        <w:tc>
          <w:tcPr>
            <w:tcW w:type="dxa" w:w="2351"/>
            <w:shd w:val="clear" w:color="auto" w:fill="2E74B5"/>
          </w:tcPr>
          <w:p>
            <w:r>
              <w:rPr>
                <w:rFonts w:ascii="Meiryo UI" w:hAnsi="Meiryo UI"/>
                <w:b/>
                <w:color w:val="FFFFFF"/>
                <w:sz w:val="18"/>
              </w:rPr>
              <w:t>注射剤</w:t>
            </w:r>
          </w:p>
        </w:tc>
        <w:tc>
          <w:tcPr>
            <w:tcW w:type="dxa" w:w="2351"/>
            <w:shd w:val="clear" w:color="auto" w:fill="2E74B5"/>
          </w:tcPr>
          <w:p>
            <w:r>
              <w:rPr>
                <w:rFonts w:ascii="Meiryo UI" w:hAnsi="Meiryo UI"/>
                <w:b/>
                <w:color w:val="FFFFFF"/>
                <w:sz w:val="18"/>
              </w:rPr>
              <w:t>現行経口（Rybelsus型）</w:t>
            </w:r>
          </w:p>
        </w:tc>
        <w:tc>
          <w:tcPr>
            <w:tcW w:type="dxa" w:w="2351"/>
            <w:shd w:val="clear" w:color="auto" w:fill="2E74B5"/>
          </w:tcPr>
          <w:p>
            <w:r>
              <w:rPr>
                <w:rFonts w:ascii="Meiryo UI" w:hAnsi="Meiryo UI"/>
                <w:b/>
                <w:color w:val="FFFFFF"/>
                <w:sz w:val="18"/>
              </w:rPr>
              <w:t>次世代高吸収経口</w:t>
            </w:r>
          </w:p>
        </w:tc>
      </w:tr>
      <w:tr>
        <w:tc>
          <w:tcPr>
            <w:tcW w:type="dxa" w:w="2351"/>
          </w:tcPr>
          <w:p>
            <w:r>
              <w:rPr>
                <w:rFonts w:ascii="Meiryo UI" w:hAnsi="Meiryo UI"/>
                <w:sz w:val="18"/>
              </w:rPr>
              <w:t>1患者/年API量</w:t>
            </w:r>
          </w:p>
        </w:tc>
        <w:tc>
          <w:tcPr>
            <w:tcW w:type="dxa" w:w="2351"/>
          </w:tcPr>
          <w:p>
            <w:r>
              <w:rPr>
                <w:rFonts w:ascii="Meiryo UI" w:hAnsi="Meiryo UI"/>
                <w:sz w:val="18"/>
              </w:rPr>
              <w:t>104mg</w:t>
            </w:r>
          </w:p>
        </w:tc>
        <w:tc>
          <w:tcPr>
            <w:tcW w:type="dxa" w:w="2351"/>
          </w:tcPr>
          <w:p>
            <w:r>
              <w:rPr>
                <w:rFonts w:ascii="Meiryo UI" w:hAnsi="Meiryo UI"/>
                <w:sz w:val="18"/>
              </w:rPr>
              <w:t>5,110mg</w:t>
            </w:r>
          </w:p>
        </w:tc>
        <w:tc>
          <w:tcPr>
            <w:tcW w:type="dxa" w:w="2351"/>
          </w:tcPr>
          <w:p>
            <w:r>
              <w:rPr>
                <w:rFonts w:ascii="Meiryo UI" w:hAnsi="Meiryo UI"/>
                <w:sz w:val="18"/>
              </w:rPr>
              <w:t>~1,000mg（推定）</w:t>
            </w:r>
          </w:p>
        </w:tc>
      </w:tr>
      <w:tr>
        <w:tc>
          <w:tcPr>
            <w:tcW w:type="dxa" w:w="2351"/>
            <w:shd w:val="clear" w:color="auto" w:fill="DDEBF7"/>
          </w:tcPr>
          <w:p>
            <w:r>
              <w:rPr>
                <w:rFonts w:ascii="Meiryo UI" w:hAnsi="Meiryo UI"/>
                <w:sz w:val="18"/>
              </w:rPr>
              <w:t>対注射比</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49.1×</w:t>
            </w:r>
          </w:p>
        </w:tc>
        <w:tc>
          <w:tcPr>
            <w:tcW w:type="dxa" w:w="2351"/>
            <w:shd w:val="clear" w:color="auto" w:fill="DDEBF7"/>
          </w:tcPr>
          <w:p>
            <w:r>
              <w:rPr>
                <w:rFonts w:ascii="Meiryo UI" w:hAnsi="Meiryo UI"/>
                <w:sz w:val="18"/>
              </w:rPr>
              <w:t>~9.6×</w:t>
            </w:r>
          </w:p>
        </w:tc>
      </w:tr>
      <w:tr>
        <w:tc>
          <w:tcPr>
            <w:tcW w:type="dxa" w:w="2351"/>
          </w:tcPr>
          <w:p>
            <w:r>
              <w:rPr>
                <w:rFonts w:ascii="Meiryo UI" w:hAnsi="Meiryo UI"/>
                <w:sz w:val="18"/>
              </w:rPr>
              <w:t>吸収率</w:t>
            </w:r>
          </w:p>
        </w:tc>
        <w:tc>
          <w:tcPr>
            <w:tcW w:type="dxa" w:w="2351"/>
          </w:tcPr>
          <w:p>
            <w:r>
              <w:rPr>
                <w:rFonts w:ascii="Meiryo UI" w:hAnsi="Meiryo UI"/>
                <w:sz w:val="18"/>
              </w:rPr>
              <w:t>100%</w:t>
            </w:r>
          </w:p>
        </w:tc>
        <w:tc>
          <w:tcPr>
            <w:tcW w:type="dxa" w:w="2351"/>
          </w:tcPr>
          <w:p>
            <w:r>
              <w:rPr>
                <w:rFonts w:ascii="Meiryo UI" w:hAnsi="Meiryo UI"/>
                <w:sz w:val="18"/>
              </w:rPr>
              <w:t>~0.4〜1%</w:t>
            </w:r>
          </w:p>
        </w:tc>
        <w:tc>
          <w:tcPr>
            <w:tcW w:type="dxa" w:w="2351"/>
          </w:tcPr>
          <w:p>
            <w:r>
              <w:rPr>
                <w:rFonts w:ascii="Meiryo UI" w:hAnsi="Meiryo UI"/>
                <w:sz w:val="18"/>
              </w:rPr>
              <w:t>~5〜15%（目標）</w:t>
            </w:r>
          </w:p>
        </w:tc>
      </w:tr>
    </w:tbl>
    <w:p/>
    <w:p>
      <w:r>
        <w:rPr>
          <w:rFonts w:ascii="Meiryo UI" w:hAnsi="Meiryo UI"/>
          <w:sz w:val="20"/>
        </w:rPr>
        <w:t>結論①（現行技術ベース）：経口シフトはAPI総量を劇的に増加させる。</w:t>
      </w:r>
    </w:p>
    <w:p>
      <w:r>
        <w:rPr>
          <w:rFonts w:ascii="Meiryo UI" w:hAnsi="Meiryo UI"/>
          <w:sz w:val="20"/>
        </w:rPr>
        <w:t>現行Rybelsus型の技術が主流であれば、1患者あたりのAPI消費量は注射比で約50倍になる。これは大阪ソーダの中間体需要に対して極めて強力なポジティブ要因。</w:t>
      </w:r>
    </w:p>
    <w:p/>
    <w:p>
      <w:r>
        <w:t>──────────────────────────────────────────────────</w:t>
      </w:r>
    </w:p>
    <w:p/>
    <w:p>
      <w:pPr>
        <w:pStyle w:val="Heading4"/>
      </w:pPr>
      <w:r>
        <w:rPr>
          <w:rFonts w:ascii="Meiryo UI" w:hAnsi="Meiryo UI"/>
          <w:color w:val="2E74B5"/>
        </w:rPr>
        <w:t>■ 核心分析②：患者数拡大による総API需要への影響</w:t>
      </w:r>
    </w:p>
    <w:p/>
    <w:p>
      <w:r>
        <w:rPr>
          <w:rFonts w:ascii="Meiryo UI" w:hAnsi="Meiryo UI"/>
          <w:sz w:val="20"/>
        </w:rPr>
        <w:t>【世界肥満・2型糖尿病患者数と薬物治療カバー率】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経口普及後（推定）</w:t>
            </w:r>
          </w:p>
        </w:tc>
      </w:tr>
      <w:tr>
        <w:tc>
          <w:tcPr>
            <w:tcW w:type="dxa" w:w="3135"/>
          </w:tcPr>
          <w:p>
            <w:r>
              <w:rPr>
                <w:rFonts w:ascii="Meiryo UI" w:hAnsi="Meiryo UI"/>
                <w:sz w:val="18"/>
              </w:rPr>
              <w:t>世界肥満患者数（BMI≥30）</w:t>
            </w:r>
          </w:p>
        </w:tc>
        <w:tc>
          <w:tcPr>
            <w:tcW w:type="dxa" w:w="3135"/>
          </w:tcPr>
          <w:p>
            <w:r>
              <w:rPr>
                <w:rFonts w:ascii="Meiryo UI" w:hAnsi="Meiryo UI"/>
                <w:sz w:val="18"/>
              </w:rPr>
              <w:t>約10億人</w:t>
            </w:r>
          </w:p>
        </w:tc>
        <w:tc>
          <w:tcPr>
            <w:tcW w:type="dxa" w:w="3135"/>
          </w:tcPr>
          <w:p>
            <w:r>
              <w:rPr>
                <w:rFonts w:ascii="Meiryo UI" w:hAnsi="Meiryo UI"/>
                <w:sz w:val="18"/>
              </w:rPr>
              <w:t>同上（増加中）</w:t>
            </w:r>
          </w:p>
        </w:tc>
      </w:tr>
      <w:tr>
        <w:tc>
          <w:tcPr>
            <w:tcW w:type="dxa" w:w="3135"/>
            <w:shd w:val="clear" w:color="auto" w:fill="DDEBF7"/>
          </w:tcPr>
          <w:p>
            <w:r>
              <w:rPr>
                <w:rFonts w:ascii="Meiryo UI" w:hAnsi="Meiryo UI"/>
                <w:sz w:val="18"/>
              </w:rPr>
              <w:t>2型糖尿病患者数</w:t>
            </w:r>
          </w:p>
        </w:tc>
        <w:tc>
          <w:tcPr>
            <w:tcW w:type="dxa" w:w="3135"/>
            <w:shd w:val="clear" w:color="auto" w:fill="DDEBF7"/>
          </w:tcPr>
          <w:p>
            <w:r>
              <w:rPr>
                <w:rFonts w:ascii="Meiryo UI" w:hAnsi="Meiryo UI"/>
                <w:sz w:val="18"/>
              </w:rPr>
              <w:t>約5億3000万人</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GLP-1薬物治療カバー率（現在）</w:t>
            </w:r>
          </w:p>
        </w:tc>
        <w:tc>
          <w:tcPr>
            <w:tcW w:type="dxa" w:w="3135"/>
          </w:tcPr>
          <w:p>
            <w:r>
              <w:rPr>
                <w:rFonts w:ascii="Meiryo UI" w:hAnsi="Meiryo UI"/>
                <w:sz w:val="18"/>
              </w:rPr>
              <w:t>2〜3%（約2,000〜3,000万人）</w:t>
            </w:r>
          </w:p>
        </w:tc>
        <w:tc>
          <w:tcPr>
            <w:tcW w:type="dxa" w:w="3135"/>
          </w:tcPr>
          <w:p>
            <w:r>
              <w:rPr>
                <w:rFonts w:ascii="Meiryo UI" w:hAnsi="Meiryo UI"/>
                <w:sz w:val="18"/>
              </w:rPr>
              <w:t>8〜15%（8,000〜15,000万人へ）</w:t>
            </w:r>
          </w:p>
        </w:tc>
      </w:tr>
      <w:tr>
        <w:tc>
          <w:tcPr>
            <w:tcW w:type="dxa" w:w="3135"/>
            <w:shd w:val="clear" w:color="auto" w:fill="DDEBF7"/>
          </w:tcPr>
          <w:p>
            <w:r>
              <w:rPr>
                <w:rFonts w:ascii="Meiryo UI" w:hAnsi="Meiryo UI"/>
                <w:sz w:val="18"/>
              </w:rPr>
              <w:t>注射忌避率（注射恐怖症・自己注射困難）</w:t>
            </w:r>
          </w:p>
        </w:tc>
        <w:tc>
          <w:tcPr>
            <w:tcW w:type="dxa" w:w="3135"/>
            <w:shd w:val="clear" w:color="auto" w:fill="DDEBF7"/>
          </w:tcPr>
          <w:p>
            <w:r>
              <w:rPr>
                <w:rFonts w:ascii="Meiryo UI" w:hAnsi="Meiryo UI"/>
                <w:sz w:val="18"/>
              </w:rPr>
              <w:t>40〜50%の患者が注射剤を拒否</w:t>
            </w:r>
          </w:p>
        </w:tc>
        <w:tc>
          <w:tcPr>
            <w:tcW w:type="dxa" w:w="3135"/>
            <w:shd w:val="clear" w:color="auto" w:fill="DDEBF7"/>
          </w:tcPr>
          <w:p>
            <w:r>
              <w:rPr>
                <w:rFonts w:ascii="Meiryo UI" w:hAnsi="Meiryo UI"/>
                <w:sz w:val="18"/>
              </w:rPr>
              <w:t>経口化でこの層が参入</w:t>
            </w:r>
          </w:p>
        </w:tc>
      </w:tr>
    </w:tbl>
    <w:p/>
    <w:p>
      <w:r>
        <w:rPr>
          <w:rFonts w:ascii="Meiryo UI" w:hAnsi="Meiryo UI"/>
          <w:sz w:val="20"/>
        </w:rPr>
        <w:t>【総API需要：経口シフト前後の比較試算】</w:t>
      </w:r>
    </w:p>
    <w:p/>
    <w:p>
      <w:pPr>
        <w:shd w:val="clear" w:color="auto" w:fill="F2F2F2"/>
      </w:pPr>
      <w:r>
        <w:rPr>
          <w:rFonts w:ascii="Courier New" w:hAnsi="Courier New"/>
          <w:sz w:val="16"/>
        </w:rPr>
        <w:t>■ 現状（注射剤主流・患者数2,500万人）</w:t>
        <w:br/>
        <w:t>総API需要 = 2,500万人 × 104mg/年 = 2.6 兆mg = 2,600トン/年</w:t>
        <w:br/>
        <w:br/>
        <w:t>■ 経口シフト後・シナリオA（Rybelsus型×患者数1億人）</w:t>
        <w:br/>
        <w:t>総API需要 = 1億人 × 5,110mg/年 = 511兆mg = 511,000トン/年</w:t>
        <w:br/>
        <w:t>→ 現状比 約197倍の総需要</w:t>
        <w:br/>
        <w:br/>
        <w:t>■ 経口シフト後・シナリオB（次世代高吸収×患者数1億人）</w:t>
        <w:br/>
        <w:t>総API需要 = 1億人 × 1,000mg/年 = 100兆mg = 100,000トン/年</w:t>
        <w:br/>
        <w:t>→ 現状比 約38倍の総需要</w:t>
        <w:br/>
        <w:br/>
        <w:t>■ 経口シフト後・シナリオC（超高吸収分子×患者数5,000万人）</w:t>
        <w:br/>
        <w:t>総API需要 = 5,000万人 × 200mg/年 = 10,000トン/年</w:t>
        <w:br/>
        <w:t>→ 現状比 約3.8倍（大幅縮小リスク）</w:t>
      </w:r>
    </w:p>
    <w:p/>
    <w:p>
      <w:r>
        <w:rPr>
          <w:rFonts w:ascii="Meiryo UI" w:hAnsi="Meiryo UI"/>
          <w:sz w:val="20"/>
        </w:rPr>
        <w:t>大阪ソーダへの収益インパクト試算（ファインケミカルセグメント）：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総需要倍率</w:t>
            </w:r>
          </w:p>
        </w:tc>
        <w:tc>
          <w:tcPr>
            <w:tcW w:type="dxa" w:w="2351"/>
            <w:shd w:val="clear" w:color="auto" w:fill="2E74B5"/>
          </w:tcPr>
          <w:p>
            <w:r>
              <w:rPr>
                <w:rFonts w:ascii="Meiryo UI" w:hAnsi="Meiryo UI"/>
                <w:b/>
                <w:color w:val="FFFFFF"/>
                <w:sz w:val="18"/>
              </w:rPr>
              <w:t>大阪ソーダのGLP-1関連売上（現在推定¥5〜8B）</w:t>
            </w:r>
          </w:p>
        </w:tc>
        <w:tc>
          <w:tcPr>
            <w:tcW w:type="dxa" w:w="2351"/>
            <w:shd w:val="clear" w:color="auto" w:fill="2E74B5"/>
          </w:tcPr>
          <w:p>
            <w:r>
              <w:rPr>
                <w:rFonts w:ascii="Meiryo UI" w:hAnsi="Meiryo UI"/>
                <w:b/>
                <w:color w:val="FFFFFF"/>
                <w:sz w:val="18"/>
              </w:rPr>
              <w:t>潜在売上（10年後）</w:t>
            </w:r>
          </w:p>
        </w:tc>
      </w:tr>
      <w:tr>
        <w:tc>
          <w:tcPr>
            <w:tcW w:type="dxa" w:w="2351"/>
          </w:tcPr>
          <w:p>
            <w:r>
              <w:rPr>
                <w:rFonts w:ascii="Meiryo UI" w:hAnsi="Meiryo UI"/>
                <w:sz w:val="18"/>
              </w:rPr>
              <w:t>A（経口爆発）</w:t>
            </w:r>
          </w:p>
        </w:tc>
        <w:tc>
          <w:tcPr>
            <w:tcW w:type="dxa" w:w="2351"/>
          </w:tcPr>
          <w:p>
            <w:r>
              <w:rPr>
                <w:rFonts w:ascii="Meiryo UI" w:hAnsi="Meiryo UI"/>
                <w:sz w:val="18"/>
              </w:rPr>
              <w:t>197×</w:t>
            </w:r>
          </w:p>
        </w:tc>
        <w:tc>
          <w:tcPr>
            <w:tcW w:type="dxa" w:w="2351"/>
          </w:tcPr>
          <w:p>
            <w:r>
              <w:rPr>
                <w:rFonts w:ascii="Meiryo UI" w:hAnsi="Meiryo UI"/>
                <w:sz w:val="18"/>
              </w:rPr>
              <w:t>¥6B → ¥1,182B（非現実的・市場シェア現実化後）</w:t>
            </w:r>
          </w:p>
        </w:tc>
        <w:tc>
          <w:tcPr>
            <w:tcW w:type="dxa" w:w="2351"/>
          </w:tcPr>
          <w:p>
            <w:r>
              <w:rPr>
                <w:rFonts w:ascii="Meiryo UI" w:hAnsi="Meiryo UI"/>
                <w:sz w:val="18"/>
              </w:rPr>
              <w:t>¥30〜80B</w:t>
            </w:r>
          </w:p>
        </w:tc>
      </w:tr>
      <w:tr>
        <w:tc>
          <w:tcPr>
            <w:tcW w:type="dxa" w:w="2351"/>
            <w:shd w:val="clear" w:color="auto" w:fill="DDEBF7"/>
          </w:tcPr>
          <w:p>
            <w:r>
              <w:rPr>
                <w:rFonts w:ascii="Meiryo UI" w:hAnsi="Meiryo UI"/>
                <w:sz w:val="18"/>
              </w:rPr>
              <w:t>B（次世代経口）</w:t>
            </w:r>
          </w:p>
        </w:tc>
        <w:tc>
          <w:tcPr>
            <w:tcW w:type="dxa" w:w="2351"/>
            <w:shd w:val="clear" w:color="auto" w:fill="DDEBF7"/>
          </w:tcPr>
          <w:p>
            <w:r>
              <w:rPr>
                <w:rFonts w:ascii="Meiryo UI" w:hAnsi="Meiryo UI"/>
                <w:sz w:val="18"/>
              </w:rPr>
              <w:t>38×</w:t>
            </w:r>
          </w:p>
        </w:tc>
        <w:tc>
          <w:tcPr>
            <w:tcW w:type="dxa" w:w="2351"/>
            <w:shd w:val="clear" w:color="auto" w:fill="DDEBF7"/>
          </w:tcPr>
          <w:p>
            <w:r>
              <w:rPr>
                <w:rFonts w:ascii="Meiryo UI" w:hAnsi="Meiryo UI"/>
                <w:sz w:val="18"/>
              </w:rPr>
              <w:t>¥6B → 理論値¥228B</w:t>
            </w:r>
          </w:p>
        </w:tc>
        <w:tc>
          <w:tcPr>
            <w:tcW w:type="dxa" w:w="2351"/>
            <w:shd w:val="clear" w:color="auto" w:fill="DDEBF7"/>
          </w:tcPr>
          <w:p>
            <w:r>
              <w:rPr>
                <w:rFonts w:ascii="Meiryo UI" w:hAnsi="Meiryo UI"/>
                <w:sz w:val="18"/>
              </w:rPr>
              <w:t>¥15〜40B</w:t>
            </w:r>
          </w:p>
        </w:tc>
      </w:tr>
      <w:tr>
        <w:tc>
          <w:tcPr>
            <w:tcW w:type="dxa" w:w="2351"/>
          </w:tcPr>
          <w:p>
            <w:r>
              <w:rPr>
                <w:rFonts w:ascii="Meiryo UI" w:hAnsi="Meiryo UI"/>
                <w:sz w:val="18"/>
              </w:rPr>
              <w:t>C（超高吸収）</w:t>
            </w:r>
          </w:p>
        </w:tc>
        <w:tc>
          <w:tcPr>
            <w:tcW w:type="dxa" w:w="2351"/>
          </w:tcPr>
          <w:p>
            <w:r>
              <w:rPr>
                <w:rFonts w:ascii="Meiryo UI" w:hAnsi="Meiryo UI"/>
                <w:sz w:val="18"/>
              </w:rPr>
              <w:t>3.8×</w:t>
            </w:r>
          </w:p>
        </w:tc>
        <w:tc>
          <w:tcPr>
            <w:tcW w:type="dxa" w:w="2351"/>
          </w:tcPr>
          <w:p>
            <w:r>
              <w:rPr>
                <w:rFonts w:ascii="Meiryo UI" w:hAnsi="Meiryo UI"/>
                <w:sz w:val="18"/>
              </w:rPr>
              <w:t>¥6B → ¥23B</w:t>
            </w:r>
          </w:p>
        </w:tc>
        <w:tc>
          <w:tcPr>
            <w:tcW w:type="dxa" w:w="2351"/>
          </w:tcPr>
          <w:p>
            <w:r>
              <w:rPr>
                <w:rFonts w:ascii="Meiryo UI" w:hAnsi="Meiryo UI"/>
                <w:sz w:val="18"/>
              </w:rPr>
              <w:t>¥8〜15B</w:t>
            </w:r>
          </w:p>
        </w:tc>
      </w:tr>
    </w:tbl>
    <w:p/>
    <w:p>
      <w:r>
        <w:rPr>
          <w:rFonts w:ascii="Meiryo UI" w:hAnsi="Meiryo UI"/>
          <w:sz w:val="20"/>
        </w:rPr>
        <w:t>&gt; 深井注： 大阪ソーダの世界シェアは0.1〜1%程度の中間体サプライヤーであり、全需要増加をそのまま受け取れるわけではない。現実的な取り込み率を0.5〜2%として試算した。それでも現在のファインケミカル売上（推定¥25〜28B）に対して+¥5〜30Bの上積みポテンシャルがある。</w:t>
      </w:r>
    </w:p>
    <w:p/>
    <w:p>
      <w:r>
        <w:t>──────────────────────────────────────────────────</w:t>
      </w:r>
    </w:p>
    <w:p/>
    <w:p>
      <w:pPr>
        <w:pStyle w:val="Heading4"/>
      </w:pPr>
      <w:r>
        <w:rPr>
          <w:rFonts w:ascii="Meiryo UI" w:hAnsi="Meiryo UI"/>
          <w:color w:val="2E74B5"/>
        </w:rPr>
        <w:t>■ 核心分析③：次世代経口分子の効率化リスク（2028〜2030年の脅威）</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開発品</w:t>
            </w:r>
          </w:p>
        </w:tc>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特徴</w:t>
            </w:r>
          </w:p>
        </w:tc>
        <w:tc>
          <w:tcPr>
            <w:tcW w:type="dxa" w:w="1881"/>
            <w:shd w:val="clear" w:color="auto" w:fill="2E74B5"/>
          </w:tcPr>
          <w:p>
            <w:r>
              <w:rPr>
                <w:rFonts w:ascii="Meiryo UI" w:hAnsi="Meiryo UI"/>
                <w:b/>
                <w:color w:val="FFFFFF"/>
                <w:sz w:val="18"/>
              </w:rPr>
              <w:t>投与量予測</w:t>
            </w:r>
          </w:p>
        </w:tc>
        <w:tc>
          <w:tcPr>
            <w:tcW w:type="dxa" w:w="1881"/>
            <w:shd w:val="clear" w:color="auto" w:fill="2E74B5"/>
          </w:tcPr>
          <w:p>
            <w:r>
              <w:rPr>
                <w:rFonts w:ascii="Meiryo UI" w:hAnsi="Meiryo UI"/>
                <w:b/>
                <w:color w:val="FFFFFF"/>
                <w:sz w:val="18"/>
              </w:rPr>
              <w:t>リスク度</w:t>
            </w:r>
          </w:p>
        </w:tc>
      </w:tr>
      <w:tr>
        <w:tc>
          <w:tcPr>
            <w:tcW w:type="dxa" w:w="1881"/>
          </w:tcPr>
          <w:p>
            <w:r>
              <w:rPr>
                <w:rFonts w:ascii="Meiryo UI" w:hAnsi="Meiryo UI"/>
                <w:sz w:val="18"/>
              </w:rPr>
              <w:t>オラルフォルシグ（OW-0001）</w:t>
            </w:r>
          </w:p>
        </w:tc>
        <w:tc>
          <w:tcPr>
            <w:tcW w:type="dxa" w:w="1881"/>
          </w:tcPr>
          <w:p>
            <w:r>
              <w:rPr>
                <w:rFonts w:ascii="Meiryo UI" w:hAnsi="Meiryo UI"/>
                <w:sz w:val="18"/>
              </w:rPr>
              <w:t>開発中</w:t>
            </w:r>
          </w:p>
        </w:tc>
        <w:tc>
          <w:tcPr>
            <w:tcW w:type="dxa" w:w="1881"/>
          </w:tcPr>
          <w:p>
            <w:r>
              <w:rPr>
                <w:rFonts w:ascii="Meiryo UI" w:hAnsi="Meiryo UI"/>
                <w:sz w:val="18"/>
              </w:rPr>
              <w:t>高吸収型・腸溶性コーティング</w:t>
            </w:r>
          </w:p>
        </w:tc>
        <w:tc>
          <w:tcPr>
            <w:tcW w:type="dxa" w:w="1881"/>
          </w:tcPr>
          <w:p>
            <w:r>
              <w:rPr>
                <w:rFonts w:ascii="Meiryo UI" w:hAnsi="Meiryo UI"/>
                <w:sz w:val="18"/>
              </w:rPr>
              <w:t>注射比5〜10倍程度</w:t>
            </w:r>
          </w:p>
        </w:tc>
        <w:tc>
          <w:tcPr>
            <w:tcW w:type="dxa" w:w="1881"/>
          </w:tcPr>
          <w:p>
            <w:r>
              <w:rPr>
                <w:rFonts w:ascii="Meiryo UI" w:hAnsi="Meiryo UI"/>
                <w:sz w:val="18"/>
              </w:rPr>
              <w:t>中〜高</w:t>
            </w:r>
          </w:p>
        </w:tc>
      </w:tr>
      <w:tr>
        <w:tc>
          <w:tcPr>
            <w:tcW w:type="dxa" w:w="1881"/>
            <w:shd w:val="clear" w:color="auto" w:fill="DDEBF7"/>
          </w:tcPr>
          <w:p>
            <w:r>
              <w:rPr>
                <w:rFonts w:ascii="Meiryo UI" w:hAnsi="Meiryo UI"/>
                <w:sz w:val="18"/>
              </w:rPr>
              <w:t>マルシグルチド（GLP-1/GIP二重）経口</w:t>
            </w:r>
          </w:p>
        </w:tc>
        <w:tc>
          <w:tcPr>
            <w:tcW w:type="dxa" w:w="1881"/>
            <w:shd w:val="clear" w:color="auto" w:fill="DDEBF7"/>
          </w:tcPr>
          <w:p>
            <w:r>
              <w:rPr>
                <w:rFonts w:ascii="Meiryo UI" w:hAnsi="Meiryo UI"/>
                <w:sz w:val="18"/>
              </w:rPr>
              <w:t>イーライリリー</w:t>
            </w:r>
          </w:p>
        </w:tc>
        <w:tc>
          <w:tcPr>
            <w:tcW w:type="dxa" w:w="1881"/>
            <w:shd w:val="clear" w:color="auto" w:fill="DDEBF7"/>
          </w:tcPr>
          <w:p>
            <w:r>
              <w:rPr>
                <w:rFonts w:ascii="Meiryo UI" w:hAnsi="Meiryo UI"/>
                <w:sz w:val="18"/>
              </w:rPr>
              <w:t>投与量最適化</w:t>
            </w:r>
          </w:p>
        </w:tc>
        <w:tc>
          <w:tcPr>
            <w:tcW w:type="dxa" w:w="1881"/>
            <w:shd w:val="clear" w:color="auto" w:fill="DDEBF7"/>
          </w:tcPr>
          <w:p>
            <w:r>
              <w:rPr>
                <w:rFonts w:ascii="Meiryo UI" w:hAnsi="Meiryo UI"/>
                <w:sz w:val="18"/>
              </w:rPr>
              <w:t>未開示</w:t>
            </w:r>
          </w:p>
        </w:tc>
        <w:tc>
          <w:tcPr>
            <w:tcW w:type="dxa" w:w="1881"/>
            <w:shd w:val="clear" w:color="auto" w:fill="DDEBF7"/>
          </w:tcPr>
          <w:p>
            <w:r>
              <w:rPr>
                <w:rFonts w:ascii="Meiryo UI" w:hAnsi="Meiryo UI"/>
                <w:sz w:val="18"/>
              </w:rPr>
              <w:t>中</w:t>
            </w:r>
          </w:p>
        </w:tc>
      </w:tr>
      <w:tr>
        <w:tc>
          <w:tcPr>
            <w:tcW w:type="dxa" w:w="1881"/>
          </w:tcPr>
          <w:p>
            <w:r>
              <w:rPr>
                <w:rFonts w:ascii="Meiryo UI" w:hAnsi="Meiryo UI"/>
                <w:sz w:val="18"/>
              </w:rPr>
              <w:t>NN-9535後継</w:t>
            </w:r>
          </w:p>
        </w:tc>
        <w:tc>
          <w:tcPr>
            <w:tcW w:type="dxa" w:w="1881"/>
          </w:tcPr>
          <w:p>
            <w:r>
              <w:rPr>
                <w:rFonts w:ascii="Meiryo UI" w:hAnsi="Meiryo UI"/>
                <w:sz w:val="18"/>
              </w:rPr>
              <w:t>ノボノルディスク</w:t>
            </w:r>
          </w:p>
        </w:tc>
        <w:tc>
          <w:tcPr>
            <w:tcW w:type="dxa" w:w="1881"/>
          </w:tcPr>
          <w:p>
            <w:r>
              <w:rPr>
                <w:rFonts w:ascii="Meiryo UI" w:hAnsi="Meiryo UI"/>
                <w:sz w:val="18"/>
              </w:rPr>
              <w:t>経口吸収エンハンサー技術改良</w:t>
            </w:r>
          </w:p>
        </w:tc>
        <w:tc>
          <w:tcPr>
            <w:tcW w:type="dxa" w:w="1881"/>
          </w:tcPr>
          <w:p>
            <w:r>
              <w:rPr>
                <w:rFonts w:ascii="Meiryo UI" w:hAnsi="Meiryo UI"/>
                <w:sz w:val="18"/>
              </w:rPr>
              <w:t>注射比10〜20倍</w:t>
            </w:r>
          </w:p>
        </w:tc>
        <w:tc>
          <w:tcPr>
            <w:tcW w:type="dxa" w:w="1881"/>
          </w:tcPr>
          <w:p>
            <w:r>
              <w:rPr>
                <w:rFonts w:ascii="Meiryo UI" w:hAnsi="Meiryo UI"/>
                <w:sz w:val="18"/>
              </w:rPr>
              <w:t>中</w:t>
            </w:r>
          </w:p>
        </w:tc>
      </w:tr>
      <w:tr>
        <w:tc>
          <w:tcPr>
            <w:tcW w:type="dxa" w:w="1881"/>
            <w:shd w:val="clear" w:color="auto" w:fill="DDEBF7"/>
          </w:tcPr>
          <w:p>
            <w:r>
              <w:rPr>
                <w:rFonts w:ascii="Meiryo UI" w:hAnsi="Meiryo UI"/>
                <w:sz w:val="18"/>
              </w:rPr>
              <w:t>Pfizer：経口GLP-1（danuglipron後継）</w:t>
            </w:r>
          </w:p>
        </w:tc>
        <w:tc>
          <w:tcPr>
            <w:tcW w:type="dxa" w:w="1881"/>
            <w:shd w:val="clear" w:color="auto" w:fill="DDEBF7"/>
          </w:tcPr>
          <w:p>
            <w:r>
              <w:rPr>
                <w:rFonts w:ascii="Meiryo UI" w:hAnsi="Meiryo UI"/>
                <w:sz w:val="18"/>
              </w:rPr>
              <w:t>ファイザー</w:t>
            </w:r>
          </w:p>
        </w:tc>
        <w:tc>
          <w:tcPr>
            <w:tcW w:type="dxa" w:w="1881"/>
            <w:shd w:val="clear" w:color="auto" w:fill="DDEBF7"/>
          </w:tcPr>
          <w:p>
            <w:r>
              <w:rPr>
                <w:rFonts w:ascii="Meiryo UI" w:hAnsi="Meiryo UI"/>
                <w:sz w:val="18"/>
              </w:rPr>
              <w:t>低分子GLP-1</w:t>
            </w:r>
          </w:p>
        </w:tc>
        <w:tc>
          <w:tcPr>
            <w:tcW w:type="dxa" w:w="1881"/>
            <w:shd w:val="clear" w:color="auto" w:fill="DDEBF7"/>
          </w:tcPr>
          <w:p>
            <w:r>
              <w:rPr>
                <w:rFonts w:ascii="Meiryo UI" w:hAnsi="Meiryo UI"/>
                <w:sz w:val="18"/>
              </w:rPr>
              <w:t>注射比5〜15倍</w:t>
            </w:r>
          </w:p>
        </w:tc>
        <w:tc>
          <w:tcPr>
            <w:tcW w:type="dxa" w:w="1881"/>
            <w:shd w:val="clear" w:color="auto" w:fill="DDEBF7"/>
          </w:tcPr>
          <w:p>
            <w:r>
              <w:rPr>
                <w:rFonts w:ascii="Meiryo UI" w:hAnsi="Meiryo UI"/>
                <w:sz w:val="18"/>
              </w:rPr>
              <w:t>高（最重要リスク）</w:t>
            </w:r>
          </w:p>
        </w:tc>
      </w:tr>
    </w:tbl>
    <w:p/>
    <w:p>
      <w:r>
        <w:rPr>
          <w:rFonts w:ascii="Meiryo UI" w:hAnsi="Meiryo UI"/>
          <w:sz w:val="20"/>
        </w:rPr>
        <w:t>深井の判定： 次世代高吸収分子が2028〜2030年に主流化した場合、1患者あたりAPI量は現行経口比で1/5〜1/10に縮小する可能性がある。これが大阪ソーダにとっての最大の長期技術リスク。ただし患者数が10倍以上に拡大すれば総量は依然拡大トレンドを維持する。</w:t>
      </w:r>
    </w:p>
    <w:p/>
    <w:p>
      <w:r>
        <w:rPr>
          <w:rFonts w:ascii="Meiryo UI" w:hAnsi="Meiryo UI"/>
          <w:sz w:val="20"/>
        </w:rPr>
        <w:t>→ 結論②（長期）：「量の効率化」と「患者数爆増」の綱引きは患者数拡大が優勢と判断。ただし2028年以降の技術変化には要監視。</w:t>
      </w:r>
    </w:p>
    <w:p/>
    <w:p>
      <w:r>
        <w:t>──────────────────────────────────────────────────</w:t>
      </w:r>
    </w:p>
    <w:p/>
    <w:p>
      <w:pPr>
        <w:pStyle w:val="Heading3"/>
      </w:pPr>
      <w:r>
        <w:rPr>
          <w:rFonts w:ascii="Meiryo UI" w:hAnsi="Meiryo UI"/>
          <w:color w:val="2E74B5"/>
        </w:rPr>
        <w:t>2-2. ナフサ高騰リスクの定量分析</w:t>
      </w:r>
    </w:p>
    <w:p/>
    <w:p>
      <w:pPr>
        <w:pStyle w:val="Heading4"/>
      </w:pPr>
      <w:r>
        <w:rPr>
          <w:rFonts w:ascii="Meiryo UI" w:hAnsi="Meiryo UI"/>
          <w:color w:val="2E74B5"/>
        </w:rPr>
        <w:t>■ 現在のナフサ価格水準</w:t>
      </w:r>
    </w:p>
    <w:p/>
    <w:p>
      <w:pPr>
        <w:shd w:val="clear" w:color="auto" w:fill="F2F2F2"/>
      </w:pPr>
      <w:r>
        <w:rPr>
          <w:rFonts w:ascii="Courier New" w:hAnsi="Courier New"/>
          <w:sz w:val="16"/>
        </w:rPr>
        <w:t>WTI原油（2026-04-07）= $112.75/bbl</w:t>
        <w:br/>
        <w:t>ナフサ価格推計（WTI連動・アジア価格係数0.82〜0.88適用）：</w:t>
        <w:br/>
        <w:t xml:space="preserve">  → ナフサ価格 ≈ $112.75 × 0.85 × 0.98（精製マージン調整）= $93.9/bbl相当</w:t>
        <w:br/>
        <w:t xml:space="preserve">  → トン換算：$112.75 × 6.35（bbl/ton換算）× 0.85 ≈ $608/トン</w:t>
        <w:br/>
        <w:t xml:space="preserve">  → 円換算（USD/JPY 148円想定）= ¥90,000/トン前後</w:t>
        <w:br/>
        <w:br/>
        <w:t>平時（WTI $70水準）のナフサ価格：</w:t>
        <w:br/>
        <w:t xml:space="preserve">  → $70 × 6.35 × 0.85 × 148 = ¥56,000/トン前後</w:t>
        <w:br/>
        <w:br/>
        <w:t>コスト増加率：¥90,000 ÷ ¥56,000 - 1 ≈ +61%（平時比）</w:t>
      </w:r>
    </w:p>
    <w:p/>
    <w:p>
      <w:pPr>
        <w:pStyle w:val="Heading4"/>
      </w:pPr>
      <w:r>
        <w:rPr>
          <w:rFonts w:ascii="Meiryo UI" w:hAnsi="Meiryo UI"/>
          <w:color w:val="2E74B5"/>
        </w:rPr>
        <w:t>■ 大阪ソーダのナフサ・エチレン感応度試算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年間ナフサ・エチレン調達量（推計）</w:t>
            </w:r>
          </w:p>
        </w:tc>
        <w:tc>
          <w:tcPr>
            <w:tcW w:type="dxa" w:w="4703"/>
          </w:tcPr>
          <w:p>
            <w:r>
              <w:rPr>
                <w:rFonts w:ascii="Meiryo UI" w:hAnsi="Meiryo UI"/>
                <w:sz w:val="18"/>
              </w:rPr>
              <w:t>約15〜20万トン/年</w:t>
            </w:r>
          </w:p>
        </w:tc>
      </w:tr>
      <w:tr>
        <w:tc>
          <w:tcPr>
            <w:tcW w:type="dxa" w:w="4703"/>
            <w:shd w:val="clear" w:color="auto" w:fill="DDEBF7"/>
          </w:tcPr>
          <w:p>
            <w:r>
              <w:rPr>
                <w:rFonts w:ascii="Meiryo UI" w:hAnsi="Meiryo UI"/>
                <w:sz w:val="18"/>
              </w:rPr>
              <w:t>ナフサ+10%あたりの追加コスト</w:t>
            </w:r>
          </w:p>
        </w:tc>
        <w:tc>
          <w:tcPr>
            <w:tcW w:type="dxa" w:w="4703"/>
            <w:shd w:val="clear" w:color="auto" w:fill="DDEBF7"/>
          </w:tcPr>
          <w:p>
            <w:r>
              <w:rPr>
                <w:rFonts w:ascii="Meiryo UI" w:hAnsi="Meiryo UI"/>
                <w:sz w:val="18"/>
              </w:rPr>
              <w:t>¥800〜1,200M/年</w:t>
            </w:r>
          </w:p>
        </w:tc>
      </w:tr>
      <w:tr>
        <w:tc>
          <w:tcPr>
            <w:tcW w:type="dxa" w:w="4703"/>
          </w:tcPr>
          <w:p>
            <w:r>
              <w:rPr>
                <w:rFonts w:ascii="Meiryo UI" w:hAnsi="Meiryo UI"/>
                <w:sz w:val="18"/>
              </w:rPr>
              <w:t>現状（平時比+61%）での追加コスト</w:t>
            </w:r>
          </w:p>
        </w:tc>
        <w:tc>
          <w:tcPr>
            <w:tcW w:type="dxa" w:w="4703"/>
          </w:tcPr>
          <w:p>
            <w:r>
              <w:rPr>
                <w:rFonts w:ascii="Meiryo UI" w:hAnsi="Meiryo UI"/>
                <w:sz w:val="18"/>
              </w:rPr>
              <w:t>¥4,900〜7,300M/年</w:t>
            </w:r>
          </w:p>
        </w:tc>
      </w:tr>
      <w:tr>
        <w:tc>
          <w:tcPr>
            <w:tcW w:type="dxa" w:w="4703"/>
            <w:shd w:val="clear" w:color="auto" w:fill="DDEBF7"/>
          </w:tcPr>
          <w:p>
            <w:r>
              <w:rPr>
                <w:rFonts w:ascii="Meiryo UI" w:hAnsi="Meiryo UI"/>
                <w:sz w:val="18"/>
              </w:rPr>
              <w:t>FY2025営業利益（推計）への影響</w:t>
            </w:r>
          </w:p>
        </w:tc>
        <w:tc>
          <w:tcPr>
            <w:tcW w:type="dxa" w:w="4703"/>
            <w:shd w:val="clear" w:color="auto" w:fill="DDEBF7"/>
          </w:tcPr>
          <w:p>
            <w:r>
              <w:rPr>
                <w:rFonts w:ascii="Meiryo UI" w:hAnsi="Meiryo UI"/>
                <w:sz w:val="18"/>
              </w:rPr>
              <w:t>営業利益¥8,800Mの▲56〜83%相当</w:t>
            </w:r>
          </w:p>
        </w:tc>
      </w:tr>
      <w:tr>
        <w:tc>
          <w:tcPr>
            <w:tcW w:type="dxa" w:w="4703"/>
          </w:tcPr>
          <w:p>
            <w:r>
              <w:rPr>
                <w:rFonts w:ascii="Meiryo UI" w:hAnsi="Meiryo UI"/>
                <w:sz w:val="18"/>
              </w:rPr>
              <w:t>実際の価格転嫁率（業界平均）</w:t>
            </w:r>
          </w:p>
        </w:tc>
        <w:tc>
          <w:tcPr>
            <w:tcW w:type="dxa" w:w="4703"/>
          </w:tcPr>
          <w:p>
            <w:r>
              <w:rPr>
                <w:rFonts w:ascii="Meiryo UI" w:hAnsi="Meiryo UI"/>
                <w:sz w:val="18"/>
              </w:rPr>
              <w:t>30〜50%（転嫁ラグ3〜6ヶ月）</w:t>
            </w:r>
          </w:p>
        </w:tc>
      </w:tr>
      <w:tr>
        <w:tc>
          <w:tcPr>
            <w:tcW w:type="dxa" w:w="4703"/>
            <w:shd w:val="clear" w:color="auto" w:fill="DDEBF7"/>
          </w:tcPr>
          <w:p>
            <w:r>
              <w:rPr>
                <w:rFonts w:ascii="Meiryo UI" w:hAnsi="Meiryo UI"/>
                <w:sz w:val="18"/>
              </w:rPr>
              <w:t>転嫁後の実効コスト負担増</w:t>
            </w:r>
          </w:p>
        </w:tc>
        <w:tc>
          <w:tcPr>
            <w:tcW w:type="dxa" w:w="4703"/>
            <w:shd w:val="clear" w:color="auto" w:fill="DDEBF7"/>
          </w:tcPr>
          <w:p>
            <w:r>
              <w:rPr>
                <w:rFonts w:ascii="Meiryo UI" w:hAnsi="Meiryo UI"/>
                <w:sz w:val="18"/>
              </w:rPr>
              <w:t>¥2,500〜5,100M/年</w:t>
            </w:r>
          </w:p>
        </w:tc>
      </w:tr>
    </w:tbl>
    <w:p/>
    <w:p>
      <w:r>
        <w:rPr>
          <w:rFonts w:ascii="Meiryo UI" w:hAnsi="Meiryo UI"/>
          <w:sz w:val="20"/>
        </w:rPr>
        <w:t>&gt; これは甚大。ナフサ高が継続する場合、営業利益は平時比で30〜40%圧縮される可能性がある。</w:t>
      </w:r>
    </w:p>
    <w:p/>
    <w:p>
      <w:pPr>
        <w:pStyle w:val="Heading4"/>
      </w:pPr>
      <w:r>
        <w:rPr>
          <w:rFonts w:ascii="Meiryo UI" w:hAnsi="Meiryo UI"/>
          <w:color w:val="2E74B5"/>
        </w:rPr>
        <w:t>■ 電力コスト重複影響（クロールアルカリ事業）</w:t>
      </w:r>
    </w:p>
    <w:p/>
    <w:p>
      <w:r>
        <w:rPr>
          <w:rFonts w:ascii="Meiryo UI" w:hAnsi="Meiryo UI"/>
          <w:sz w:val="20"/>
        </w:rPr>
        <w:t>クロールアルカリ（電解製法）は電力集約型産業。電力コスト上昇のインパクト：</w:t>
      </w:r>
    </w:p>
    <w:p/>
    <w:p>
      <w:pPr>
        <w:shd w:val="clear" w:color="auto" w:fill="F2F2F2"/>
      </w:pPr>
      <w:r>
        <w:rPr>
          <w:rFonts w:ascii="Courier New" w:hAnsi="Courier New"/>
          <w:sz w:val="16"/>
        </w:rPr>
        <w:t>電力調達量推計：年間約300〜400 GWh/年（関西電力エリア・特高）</w:t>
        <w:br/>
        <w:t>ホルムズ危機→LNG高騰→電力価格上昇（+15〜25%と推定）</w:t>
        <w:br/>
        <w:t>追加コスト：300GWh × ¥15/kWh（上昇分推計）= ¥4,500M/年</w:t>
        <w:br/>
        <w:t>実効転嫁後：¥1,500〜2,500M/年の追加負担</w:t>
      </w:r>
    </w:p>
    <w:p/>
    <w:p>
      <w:pPr>
        <w:pStyle w:val="Heading4"/>
      </w:pPr>
      <w:r>
        <w:rPr>
          <w:rFonts w:ascii="Meiryo UI" w:hAnsi="Meiryo UI"/>
          <w:color w:val="2E74B5"/>
        </w:rPr>
        <w:t>■ 過去のナフサ急騰局面での業績参照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局面</w:t>
            </w:r>
          </w:p>
        </w:tc>
        <w:tc>
          <w:tcPr>
            <w:tcW w:type="dxa" w:w="2351"/>
            <w:shd w:val="clear" w:color="auto" w:fill="2E74B5"/>
          </w:tcPr>
          <w:p>
            <w:r>
              <w:rPr>
                <w:rFonts w:ascii="Meiryo UI" w:hAnsi="Meiryo UI"/>
                <w:b/>
                <w:color w:val="FFFFFF"/>
                <w:sz w:val="18"/>
              </w:rPr>
              <w:t>ナフサ価格</w:t>
            </w:r>
          </w:p>
        </w:tc>
        <w:tc>
          <w:tcPr>
            <w:tcW w:type="dxa" w:w="2351"/>
            <w:shd w:val="clear" w:color="auto" w:fill="2E74B5"/>
          </w:tcPr>
          <w:p>
            <w:r>
              <w:rPr>
                <w:rFonts w:ascii="Meiryo UI" w:hAnsi="Meiryo UI"/>
                <w:b/>
                <w:color w:val="FFFFFF"/>
                <w:sz w:val="18"/>
              </w:rPr>
              <w:t>大阪ソーダ営業利益</w:t>
            </w:r>
          </w:p>
        </w:tc>
        <w:tc>
          <w:tcPr>
            <w:tcW w:type="dxa" w:w="2351"/>
            <w:shd w:val="clear" w:color="auto" w:fill="2E74B5"/>
          </w:tcPr>
          <w:p>
            <w:r>
              <w:rPr>
                <w:rFonts w:ascii="Meiryo UI" w:hAnsi="Meiryo UI"/>
                <w:b/>
                <w:color w:val="FFFFFF"/>
                <w:sz w:val="18"/>
              </w:rPr>
              <w:t>影響</w:t>
            </w:r>
          </w:p>
        </w:tc>
      </w:tr>
      <w:tr>
        <w:tc>
          <w:tcPr>
            <w:tcW w:type="dxa" w:w="2351"/>
          </w:tcPr>
          <w:p>
            <w:r>
              <w:rPr>
                <w:rFonts w:ascii="Meiryo UI" w:hAnsi="Meiryo UI"/>
                <w:sz w:val="18"/>
              </w:rPr>
              <w:t>2008年（WTI $147ピーク）</w:t>
            </w:r>
          </w:p>
        </w:tc>
        <w:tc>
          <w:tcPr>
            <w:tcW w:type="dxa" w:w="2351"/>
          </w:tcPr>
          <w:p>
            <w:r>
              <w:rPr>
                <w:rFonts w:ascii="Meiryo UI" w:hAnsi="Meiryo UI"/>
                <w:sz w:val="18"/>
              </w:rPr>
              <w:t>極めて高値</w:t>
            </w:r>
          </w:p>
        </w:tc>
        <w:tc>
          <w:tcPr>
            <w:tcW w:type="dxa" w:w="2351"/>
          </w:tcPr>
          <w:p>
            <w:r>
              <w:rPr>
                <w:rFonts w:ascii="Meiryo UI" w:hAnsi="Meiryo UI"/>
                <w:sz w:val="18"/>
              </w:rPr>
              <w:t>大幅減益（▲30〜50%推定）</w:t>
            </w:r>
          </w:p>
        </w:tc>
        <w:tc>
          <w:tcPr>
            <w:tcW w:type="dxa" w:w="2351"/>
          </w:tcPr>
          <w:p>
            <w:r>
              <w:rPr>
                <w:rFonts w:ascii="Meiryo UI" w:hAnsi="Meiryo UI"/>
                <w:sz w:val="18"/>
              </w:rPr>
              <w:t>深刻</w:t>
            </w:r>
          </w:p>
        </w:tc>
      </w:tr>
      <w:tr>
        <w:tc>
          <w:tcPr>
            <w:tcW w:type="dxa" w:w="2351"/>
            <w:shd w:val="clear" w:color="auto" w:fill="DDEBF7"/>
          </w:tcPr>
          <w:p>
            <w:r>
              <w:rPr>
                <w:rFonts w:ascii="Meiryo UI" w:hAnsi="Meiryo UI"/>
                <w:sz w:val="18"/>
              </w:rPr>
              <w:t>2022年（ウクライナ危機）</w:t>
            </w:r>
          </w:p>
        </w:tc>
        <w:tc>
          <w:tcPr>
            <w:tcW w:type="dxa" w:w="2351"/>
            <w:shd w:val="clear" w:color="auto" w:fill="DDEBF7"/>
          </w:tcPr>
          <w:p>
            <w:r>
              <w:rPr>
                <w:rFonts w:ascii="Meiryo UI" w:hAnsi="Meiryo UI"/>
                <w:sz w:val="18"/>
              </w:rPr>
              <w:t>WTI $100〜120</w:t>
            </w:r>
          </w:p>
        </w:tc>
        <w:tc>
          <w:tcPr>
            <w:tcW w:type="dxa" w:w="2351"/>
            <w:shd w:val="clear" w:color="auto" w:fill="DDEBF7"/>
          </w:tcPr>
          <w:p>
            <w:r>
              <w:rPr>
                <w:rFonts w:ascii="Meiryo UI" w:hAnsi="Meiryo UI"/>
                <w:sz w:val="18"/>
              </w:rPr>
              <w:t>価格転嫁で部分カバー、一時減益</w:t>
            </w:r>
          </w:p>
        </w:tc>
        <w:tc>
          <w:tcPr>
            <w:tcW w:type="dxa" w:w="2351"/>
            <w:shd w:val="clear" w:color="auto" w:fill="DDEBF7"/>
          </w:tcPr>
          <w:p>
            <w:r>
              <w:rPr>
                <w:rFonts w:ascii="Meiryo UI" w:hAnsi="Meiryo UI"/>
                <w:sz w:val="18"/>
              </w:rPr>
              <w:t>中程度</w:t>
            </w:r>
          </w:p>
        </w:tc>
      </w:tr>
      <w:tr>
        <w:tc>
          <w:tcPr>
            <w:tcW w:type="dxa" w:w="2351"/>
          </w:tcPr>
          <w:p>
            <w:r>
              <w:rPr>
                <w:rFonts w:ascii="Meiryo UI" w:hAnsi="Meiryo UI"/>
                <w:sz w:val="18"/>
              </w:rPr>
              <w:t>現在（2026年・ホルムズ）</w:t>
            </w:r>
          </w:p>
        </w:tc>
        <w:tc>
          <w:tcPr>
            <w:tcW w:type="dxa" w:w="2351"/>
          </w:tcPr>
          <w:p>
            <w:r>
              <w:rPr>
                <w:rFonts w:ascii="Meiryo UI" w:hAnsi="Meiryo UI"/>
                <w:sz w:val="18"/>
              </w:rPr>
              <w:t>WTI $112.75</w:t>
            </w:r>
          </w:p>
        </w:tc>
        <w:tc>
          <w:tcPr>
            <w:tcW w:type="dxa" w:w="2351"/>
          </w:tcPr>
          <w:p>
            <w:r>
              <w:rPr>
                <w:rFonts w:ascii="Meiryo UI" w:hAnsi="Meiryo UI"/>
                <w:sz w:val="18"/>
              </w:rPr>
              <w:t>進行中</w:t>
            </w:r>
          </w:p>
        </w:tc>
        <w:tc>
          <w:tcPr>
            <w:tcW w:type="dxa" w:w="2351"/>
          </w:tcPr>
          <w:p>
            <w:r>
              <w:rPr>
                <w:rFonts w:ascii="Meiryo UI" w:hAnsi="Meiryo UI"/>
                <w:sz w:val="18"/>
              </w:rPr>
              <w:t>深刻・継続</w:t>
            </w:r>
          </w:p>
        </w:tc>
      </w:tr>
    </w:tbl>
    <w:p/>
    <w:p>
      <w:r>
        <w:rPr>
          <w:rFonts w:ascii="Meiryo UI" w:hAnsi="Meiryo UI"/>
          <w:sz w:val="20"/>
        </w:rPr>
        <w:t>→ 結論③：現在のナフサ・電力コスト上昇は大阪ソーダの業績に対して年間¥4,000〜7,600Mの追加コスト圧力となっており、転嫁後でも¥3,000〜5,000Mが残存する。これが直近3ヶ月▲21.5%下落の主因と判断する。</w:t>
      </w:r>
    </w:p>
    <w:p/>
    <w:p>
      <w:r>
        <w:t>──────────────────────────────────────────────────</w:t>
      </w:r>
    </w:p>
    <w:p/>
    <w:p>
      <w:pPr>
        <w:pStyle w:val="Heading3"/>
      </w:pPr>
      <w:r>
        <w:rPr>
          <w:rFonts w:ascii="Meiryo UI" w:hAnsi="Meiryo UI"/>
          <w:color w:val="2E74B5"/>
        </w:rPr>
        <w:t>2-3. 直近▲21.5%下落の主因判定</w:t>
      </w:r>
    </w:p>
    <w:p/>
    <w:p>
      <w:r>
        <w:rPr>
          <w:rFonts w:ascii="Meiryo UI" w:hAnsi="Meiryo UI"/>
          <w:sz w:val="20"/>
        </w:rPr>
        <w:t>深井の判定：「ナフサ高」が主因（70%）、「GLP-1期待剥落」が副因（30%）</w:t>
      </w:r>
    </w:p>
    <w:p/>
    <w:p>
      <w:r>
        <w:rPr>
          <w:rFonts w:ascii="Meiryo UI" w:hAnsi="Meiryo UI"/>
          <w:sz w:val="20"/>
        </w:rPr>
        <w:t>根拠：</w:t>
      </w:r>
    </w:p>
    <w:p>
      <w:pPr>
        <w:pStyle w:val="ListNumber"/>
      </w:pPr>
      <w:r>
        <w:rPr>
          <w:rFonts w:ascii="Meiryo UI" w:hAnsi="Meiryo UI"/>
          <w:sz w:val="20"/>
        </w:rPr>
        <w:t>下落タイミングがホルムズ危機激化（2026年初頭）と一致</w:t>
      </w:r>
    </w:p>
    <w:p>
      <w:pPr>
        <w:pStyle w:val="ListNumber"/>
      </w:pPr>
      <w:r>
        <w:rPr>
          <w:rFonts w:ascii="Meiryo UI" w:hAnsi="Meiryo UI"/>
          <w:sz w:val="20"/>
        </w:rPr>
        <w:t>同業・東ソー（4042）・信越化学（4063）も同期間に下落（セクター全体）</w:t>
      </w:r>
    </w:p>
    <w:p>
      <w:pPr>
        <w:pStyle w:val="ListNumber"/>
      </w:pPr>
      <w:r>
        <w:rPr>
          <w:rFonts w:ascii="Meiryo UI" w:hAnsi="Meiryo UI"/>
          <w:sz w:val="20"/>
        </w:rPr>
        <w:t>GLP-1テーマはむしろ2026年初頭に新たなトライアル発表で期待維持</w:t>
      </w:r>
    </w:p>
    <w:p>
      <w:pPr>
        <w:pStyle w:val="ListNumber"/>
      </w:pPr>
      <w:r>
        <w:rPr>
          <w:rFonts w:ascii="Meiryo UI" w:hAnsi="Meiryo UI"/>
          <w:sz w:val="20"/>
        </w:rPr>
        <w:t>ただしGLP-1中間体の顧客製薬会社による内製化検討報道が一部あり、これが「期待剥落」30%の背景</w:t>
      </w:r>
    </w:p>
    <w:p/>
    <w:p>
      <w:r>
        <w:t>──────────────────────────────────────────────────</w:t>
      </w:r>
    </w:p>
    <w:p/>
    <w:p>
      <w:pPr>
        <w:pStyle w:val="Heading2"/>
      </w:pPr>
      <w:r>
        <w:rPr>
          <w:rFonts w:ascii="Meiryo UI" w:hAnsi="Meiryo UI"/>
          <w:color w:val="2E74B5"/>
        </w:rPr>
        <w:t>第3章　競争優位性と参入障壁</w:t>
      </w:r>
    </w:p>
    <w:p/>
    <w:p>
      <w:pPr>
        <w:pStyle w:val="Heading3"/>
      </w:pPr>
      <w:r>
        <w:rPr>
          <w:rFonts w:ascii="Meiryo UI" w:hAnsi="Meiryo UI"/>
          <w:color w:val="2E74B5"/>
        </w:rPr>
        <w:t>3-1. 医薬品中間体・APIの規制障壁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障壁</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GMP認証</w:t>
            </w:r>
          </w:p>
        </w:tc>
        <w:tc>
          <w:tcPr>
            <w:tcW w:type="dxa" w:w="3135"/>
          </w:tcPr>
          <w:p>
            <w:r>
              <w:rPr>
                <w:rFonts w:ascii="Meiryo UI" w:hAnsi="Meiryo UI"/>
                <w:sz w:val="18"/>
              </w:rPr>
              <w:t>FDA・EMA・PMDA各当局のGood Manufacturing Practice認証。取得に2〜5年・¥10〜30億の設備投資</w:t>
            </w:r>
          </w:p>
        </w:tc>
        <w:tc>
          <w:tcPr>
            <w:tcW w:type="dxa" w:w="3135"/>
          </w:tcPr>
          <w:p>
            <w:r>
              <w:rPr>
                <w:rFonts w:ascii="Meiryo UI" w:hAnsi="Meiryo UI"/>
                <w:sz w:val="18"/>
              </w:rPr>
              <w:t>高（参入障壁として機能）</w:t>
            </w:r>
          </w:p>
        </w:tc>
      </w:tr>
      <w:tr>
        <w:tc>
          <w:tcPr>
            <w:tcW w:type="dxa" w:w="3135"/>
            <w:shd w:val="clear" w:color="auto" w:fill="DDEBF7"/>
          </w:tcPr>
          <w:p>
            <w:r>
              <w:rPr>
                <w:rFonts w:ascii="Meiryo UI" w:hAnsi="Meiryo UI"/>
                <w:sz w:val="18"/>
              </w:rPr>
              <w:t>DMF（Drug Master File）申請</w:t>
            </w:r>
          </w:p>
        </w:tc>
        <w:tc>
          <w:tcPr>
            <w:tcW w:type="dxa" w:w="3135"/>
            <w:shd w:val="clear" w:color="auto" w:fill="DDEBF7"/>
          </w:tcPr>
          <w:p>
            <w:r>
              <w:rPr>
                <w:rFonts w:ascii="Meiryo UI" w:hAnsi="Meiryo UI"/>
                <w:sz w:val="18"/>
              </w:rPr>
              <w:t>原薬製造に必要な薬剤マスターファイル。品目ごとに申請・維持コスト大</w:t>
            </w:r>
          </w:p>
        </w:tc>
        <w:tc>
          <w:tcPr>
            <w:tcW w:type="dxa" w:w="3135"/>
            <w:shd w:val="clear" w:color="auto" w:fill="DDEBF7"/>
          </w:tcPr>
          <w:p>
            <w:r>
              <w:rPr>
                <w:rFonts w:ascii="Meiryo UI" w:hAnsi="Meiryo UI"/>
                <w:sz w:val="18"/>
              </w:rPr>
              <w:t>高</w:t>
            </w:r>
          </w:p>
        </w:tc>
      </w:tr>
      <w:tr>
        <w:tc>
          <w:tcPr>
            <w:tcW w:type="dxa" w:w="3135"/>
          </w:tcPr>
          <w:p>
            <w:r>
              <w:rPr>
                <w:rFonts w:ascii="Meiryo UI" w:hAnsi="Meiryo UI"/>
                <w:sz w:val="18"/>
              </w:rPr>
              <w:t>薬局方適合</w:t>
            </w:r>
          </w:p>
        </w:tc>
        <w:tc>
          <w:tcPr>
            <w:tcW w:type="dxa" w:w="3135"/>
          </w:tcPr>
          <w:p>
            <w:r>
              <w:rPr>
                <w:rFonts w:ascii="Meiryo UI" w:hAnsi="Meiryo UI"/>
                <w:sz w:val="18"/>
              </w:rPr>
              <w:t>JP・USP・EP各薬局方規格適合。分析法バリデーション必要</w:t>
            </w:r>
          </w:p>
        </w:tc>
        <w:tc>
          <w:tcPr>
            <w:tcW w:type="dxa" w:w="3135"/>
          </w:tcPr>
          <w:p>
            <w:r>
              <w:rPr>
                <w:rFonts w:ascii="Meiryo UI" w:hAnsi="Meiryo UI"/>
                <w:sz w:val="18"/>
              </w:rPr>
              <w:t>中〜高</w:t>
            </w:r>
          </w:p>
        </w:tc>
      </w:tr>
      <w:tr>
        <w:tc>
          <w:tcPr>
            <w:tcW w:type="dxa" w:w="3135"/>
            <w:shd w:val="clear" w:color="auto" w:fill="DDEBF7"/>
          </w:tcPr>
          <w:p>
            <w:r>
              <w:rPr>
                <w:rFonts w:ascii="Meiryo UI" w:hAnsi="Meiryo UI"/>
                <w:sz w:val="18"/>
              </w:rPr>
              <w:t>顧客供給承認（SPL）</w:t>
            </w:r>
          </w:p>
        </w:tc>
        <w:tc>
          <w:tcPr>
            <w:tcW w:type="dxa" w:w="3135"/>
            <w:shd w:val="clear" w:color="auto" w:fill="DDEBF7"/>
          </w:tcPr>
          <w:p>
            <w:r>
              <w:rPr>
                <w:rFonts w:ascii="Meiryo UI" w:hAnsi="Meiryo UI"/>
                <w:sz w:val="18"/>
              </w:rPr>
              <w:t>製薬会社ごとの供給業者認定。切り替えコスト大</w:t>
            </w:r>
          </w:p>
        </w:tc>
        <w:tc>
          <w:tcPr>
            <w:tcW w:type="dxa" w:w="3135"/>
            <w:shd w:val="clear" w:color="auto" w:fill="DDEBF7"/>
          </w:tcPr>
          <w:p>
            <w:r>
              <w:rPr>
                <w:rFonts w:ascii="Meiryo UI" w:hAnsi="Meiryo UI"/>
                <w:sz w:val="18"/>
              </w:rPr>
              <w:t>極めて高</w:t>
            </w:r>
          </w:p>
        </w:tc>
      </w:tr>
      <w:tr>
        <w:tc>
          <w:tcPr>
            <w:tcW w:type="dxa" w:w="3135"/>
          </w:tcPr>
          <w:p>
            <w:r>
              <w:rPr>
                <w:rFonts w:ascii="Meiryo UI" w:hAnsi="Meiryo UI"/>
                <w:sz w:val="18"/>
              </w:rPr>
              <w:t>長期サプライ実績</w:t>
            </w:r>
          </w:p>
        </w:tc>
        <w:tc>
          <w:tcPr>
            <w:tcW w:type="dxa" w:w="3135"/>
          </w:tcPr>
          <w:p>
            <w:r>
              <w:rPr>
                <w:rFonts w:ascii="Meiryo UI" w:hAnsi="Meiryo UI"/>
                <w:sz w:val="18"/>
              </w:rPr>
              <w:t>10〜20年の供給実績が信頼の証。新参入者は実績ゼロ</w:t>
            </w:r>
          </w:p>
        </w:tc>
        <w:tc>
          <w:tcPr>
            <w:tcW w:type="dxa" w:w="3135"/>
          </w:tcPr>
          <w:p>
            <w:r>
              <w:rPr>
                <w:rFonts w:ascii="Meiryo UI" w:hAnsi="Meiryo UI"/>
                <w:sz w:val="18"/>
              </w:rPr>
              <w:t>高</w:t>
            </w:r>
          </w:p>
        </w:tc>
      </w:tr>
    </w:tbl>
    <w:p/>
    <w:p>
      <w:r>
        <w:rPr>
          <w:rFonts w:ascii="Meiryo UI" w:hAnsi="Meiryo UI"/>
          <w:sz w:val="20"/>
        </w:rPr>
        <w:t>→ 一度採用されたサプライヤーは簡単に変更されない。医薬品中間体の参入障壁は非常に高く、大阪ソーダの既存ポジションは強固。</w:t>
      </w:r>
    </w:p>
    <w:p/>
    <w:p>
      <w:pPr>
        <w:pStyle w:val="Heading3"/>
      </w:pPr>
      <w:r>
        <w:rPr>
          <w:rFonts w:ascii="Meiryo UI" w:hAnsi="Meiryo UI"/>
          <w:color w:val="2E74B5"/>
        </w:rPr>
        <w:t>3-2. クロールアルカリ事業の内需寡占性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国内電解設備投資</w:t>
            </w:r>
          </w:p>
        </w:tc>
        <w:tc>
          <w:tcPr>
            <w:tcW w:type="dxa" w:w="4703"/>
          </w:tcPr>
          <w:p>
            <w:r>
              <w:rPr>
                <w:rFonts w:ascii="Meiryo UI" w:hAnsi="Meiryo UI"/>
                <w:sz w:val="18"/>
              </w:rPr>
              <w:t>1プラントで¥50〜100億規模。簡単に新規参入できない</w:t>
            </w:r>
          </w:p>
        </w:tc>
      </w:tr>
      <w:tr>
        <w:tc>
          <w:tcPr>
            <w:tcW w:type="dxa" w:w="4703"/>
            <w:shd w:val="clear" w:color="auto" w:fill="DDEBF7"/>
          </w:tcPr>
          <w:p>
            <w:r>
              <w:rPr>
                <w:rFonts w:ascii="Meiryo UI" w:hAnsi="Meiryo UI"/>
                <w:sz w:val="18"/>
              </w:rPr>
              <w:t>内需寡占</w:t>
            </w:r>
          </w:p>
        </w:tc>
        <w:tc>
          <w:tcPr>
            <w:tcW w:type="dxa" w:w="4703"/>
            <w:shd w:val="clear" w:color="auto" w:fill="DDEBF7"/>
          </w:tcPr>
          <w:p>
            <w:r>
              <w:rPr>
                <w:rFonts w:ascii="Meiryo UI" w:hAnsi="Meiryo UI"/>
                <w:sz w:val="18"/>
              </w:rPr>
              <w:t>東ソー・カネカ・大阪ソーダ等少数で国内市場をほぼ寡占</w:t>
            </w:r>
          </w:p>
        </w:tc>
      </w:tr>
      <w:tr>
        <w:tc>
          <w:tcPr>
            <w:tcW w:type="dxa" w:w="4703"/>
          </w:tcPr>
          <w:p>
            <w:r>
              <w:rPr>
                <w:rFonts w:ascii="Meiryo UI" w:hAnsi="Meiryo UI"/>
                <w:sz w:val="18"/>
              </w:rPr>
              <w:t>物流制約</w:t>
            </w:r>
          </w:p>
        </w:tc>
        <w:tc>
          <w:tcPr>
            <w:tcW w:type="dxa" w:w="4703"/>
          </w:tcPr>
          <w:p>
            <w:r>
              <w:rPr>
                <w:rFonts w:ascii="Meiryo UI" w:hAnsi="Meiryo UI"/>
                <w:sz w:val="18"/>
              </w:rPr>
              <w:t>苛性ソーダは腐食性・輸送コスト大。輸入品との競合限定的</w:t>
            </w:r>
          </w:p>
        </w:tc>
      </w:tr>
      <w:tr>
        <w:tc>
          <w:tcPr>
            <w:tcW w:type="dxa" w:w="4703"/>
            <w:shd w:val="clear" w:color="auto" w:fill="DDEBF7"/>
          </w:tcPr>
          <w:p>
            <w:r>
              <w:rPr>
                <w:rFonts w:ascii="Meiryo UI" w:hAnsi="Meiryo UI"/>
                <w:sz w:val="18"/>
              </w:rPr>
              <w:t>塩素需給</w:t>
            </w:r>
          </w:p>
        </w:tc>
        <w:tc>
          <w:tcPr>
            <w:tcW w:type="dxa" w:w="4703"/>
            <w:shd w:val="clear" w:color="auto" w:fill="DDEBF7"/>
          </w:tcPr>
          <w:p>
            <w:r>
              <w:rPr>
                <w:rFonts w:ascii="Meiryo UI" w:hAnsi="Meiryo UI"/>
                <w:sz w:val="18"/>
              </w:rPr>
              <w:t>苛性ソーダと塩素は電気分解で同時生成（連産品）。片方の需要減が全体収益を圧迫するリスク</w:t>
            </w:r>
          </w:p>
        </w:tc>
      </w:tr>
    </w:tbl>
    <w:p/>
    <w:p>
      <w:r>
        <w:t>──────────────────────────────────────────────────</w:t>
      </w:r>
    </w:p>
    <w:p/>
    <w:p>
      <w:pPr>
        <w:pStyle w:val="Heading2"/>
      </w:pPr>
      <w:r>
        <w:rPr>
          <w:rFonts w:ascii="Meiryo UI" w:hAnsi="Meiryo UI"/>
          <w:color w:val="2E74B5"/>
        </w:rPr>
        <w:t>第4章　財務状況の定量把握</w:t>
      </w:r>
    </w:p>
    <w:p/>
    <w:p>
      <w:pPr>
        <w:pStyle w:val="Heading3"/>
      </w:pPr>
      <w:r>
        <w:rPr>
          <w:rFonts w:ascii="Meiryo UI" w:hAnsi="Meiryo UI"/>
          <w:color w:val="2E74B5"/>
        </w:rPr>
        <w:t>4-1. 主要財務指標（yfinance確認値・リアルタイム）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¥1,766</w:t>
            </w:r>
          </w:p>
        </w:tc>
        <w:tc>
          <w:tcPr>
            <w:tcW w:type="dxa" w:w="3135"/>
          </w:tcPr>
          <w:p>
            <w:r>
              <w:rPr>
                <w:rFonts w:ascii="Meiryo UI" w:hAnsi="Meiryo UI"/>
                <w:sz w:val="18"/>
              </w:rPr>
              <w:t>yfinance 2026-04-07</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18.2倍</w:t>
            </w:r>
          </w:p>
        </w:tc>
        <w:tc>
          <w:tcPr>
            <w:tcW w:type="dxa" w:w="3135"/>
            <w:shd w:val="clear" w:color="auto" w:fill="DDEBF7"/>
          </w:tcPr>
          <w:p>
            <w:r>
              <w:rPr>
                <w:rFonts w:ascii="Meiryo UI" w:hAnsi="Meiryo UI"/>
                <w:sz w:val="18"/>
              </w:rPr>
              <w:t>yfinance 確認値</w:t>
            </w:r>
          </w:p>
        </w:tc>
      </w:tr>
      <w:tr>
        <w:tc>
          <w:tcPr>
            <w:tcW w:type="dxa" w:w="3135"/>
          </w:tcPr>
          <w:p>
            <w:r>
              <w:rPr>
                <w:rFonts w:ascii="Meiryo UI" w:hAnsi="Meiryo UI"/>
                <w:sz w:val="18"/>
              </w:rPr>
              <w:t>PBR</w:t>
            </w:r>
          </w:p>
        </w:tc>
        <w:tc>
          <w:tcPr>
            <w:tcW w:type="dxa" w:w="3135"/>
          </w:tcPr>
          <w:p>
            <w:r>
              <w:rPr>
                <w:rFonts w:ascii="Meiryo UI" w:hAnsi="Meiryo UI"/>
                <w:sz w:val="18"/>
              </w:rPr>
              <w:t>1.77倍</w:t>
            </w:r>
          </w:p>
        </w:tc>
        <w:tc>
          <w:tcPr>
            <w:tcW w:type="dxa" w:w="3135"/>
          </w:tcPr>
          <w:p>
            <w:r>
              <w:rPr>
                <w:rFonts w:ascii="Meiryo UI" w:hAnsi="Meiryo UI"/>
                <w:sz w:val="18"/>
              </w:rPr>
              <w:t>yfinance 確認値（絶対遵守）</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¥97</w:t>
            </w:r>
          </w:p>
        </w:tc>
        <w:tc>
          <w:tcPr>
            <w:tcW w:type="dxa" w:w="3135"/>
            <w:shd w:val="clear" w:color="auto" w:fill="DDEBF7"/>
          </w:tcPr>
          <w:p>
            <w:r>
              <w:rPr>
                <w:rFonts w:ascii="Meiryo UI" w:hAnsi="Meiryo UI"/>
                <w:sz w:val="18"/>
              </w:rPr>
              <w:t>yfinance 確認値</w:t>
            </w:r>
          </w:p>
        </w:tc>
      </w:tr>
      <w:tr>
        <w:tc>
          <w:tcPr>
            <w:tcW w:type="dxa" w:w="3135"/>
          </w:tcPr>
          <w:p>
            <w:r>
              <w:rPr>
                <w:rFonts w:ascii="Meiryo UI" w:hAnsi="Meiryo UI"/>
                <w:sz w:val="18"/>
              </w:rPr>
              <w:t>BPS</w:t>
            </w:r>
          </w:p>
        </w:tc>
        <w:tc>
          <w:tcPr>
            <w:tcW w:type="dxa" w:w="3135"/>
          </w:tcPr>
          <w:p>
            <w:r>
              <w:rPr>
                <w:rFonts w:ascii="Meiryo UI" w:hAnsi="Meiryo UI"/>
                <w:sz w:val="18"/>
              </w:rPr>
              <w:t>¥996</w:t>
            </w:r>
          </w:p>
        </w:tc>
        <w:tc>
          <w:tcPr>
            <w:tcW w:type="dxa" w:w="3135"/>
          </w:tcPr>
          <w:p>
            <w:r>
              <w:rPr>
                <w:rFonts w:ascii="Meiryo UI" w:hAnsi="Meiryo UI"/>
                <w:sz w:val="18"/>
              </w:rPr>
              <w:t>yfinance 確認値（絶対遵守）</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10.9%</w:t>
            </w:r>
          </w:p>
        </w:tc>
        <w:tc>
          <w:tcPr>
            <w:tcW w:type="dxa" w:w="3135"/>
            <w:shd w:val="clear" w:color="auto" w:fill="DDEBF7"/>
          </w:tcPr>
          <w:p>
            <w:r>
              <w:rPr>
                <w:rFonts w:ascii="Meiryo UI" w:hAnsi="Meiryo UI"/>
                <w:sz w:val="18"/>
              </w:rPr>
              <w:t>yfinance 確認値</w:t>
            </w:r>
          </w:p>
        </w:tc>
      </w:tr>
      <w:tr>
        <w:tc>
          <w:tcPr>
            <w:tcW w:type="dxa" w:w="3135"/>
          </w:tcPr>
          <w:p>
            <w:r>
              <w:rPr>
                <w:rFonts w:ascii="Meiryo UI" w:hAnsi="Meiryo UI"/>
                <w:sz w:val="18"/>
              </w:rPr>
              <w:t>配当利回り</w:t>
            </w:r>
          </w:p>
        </w:tc>
        <w:tc>
          <w:tcPr>
            <w:tcW w:type="dxa" w:w="3135"/>
          </w:tcPr>
          <w:p>
            <w:r>
              <w:rPr>
                <w:rFonts w:ascii="Meiryo UI" w:hAnsi="Meiryo UI"/>
                <w:sz w:val="18"/>
              </w:rPr>
              <w:t>1.42%</w:t>
            </w:r>
          </w:p>
        </w:tc>
        <w:tc>
          <w:tcPr>
            <w:tcW w:type="dxa" w:w="3135"/>
          </w:tcPr>
          <w:p>
            <w:r>
              <w:rPr>
                <w:rFonts w:ascii="Meiryo UI" w:hAnsi="Meiryo UI"/>
                <w:sz w:val="18"/>
              </w:rPr>
              <w:t>銘柄マスター</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約55〜60%（推計）</w:t>
            </w:r>
          </w:p>
        </w:tc>
        <w:tc>
          <w:tcPr>
            <w:tcW w:type="dxa" w:w="3135"/>
            <w:shd w:val="clear" w:color="auto" w:fill="DDEBF7"/>
          </w:tcPr>
          <w:p>
            <w:r>
              <w:rPr>
                <w:rFonts w:ascii="Meiryo UI" w:hAnsi="Meiryo UI"/>
                <w:sz w:val="18"/>
              </w:rPr>
              <w:t>公開情報</w:t>
            </w:r>
          </w:p>
        </w:tc>
      </w:tr>
      <w:tr>
        <w:tc>
          <w:tcPr>
            <w:tcW w:type="dxa" w:w="3135"/>
          </w:tcPr>
          <w:p>
            <w:r>
              <w:rPr>
                <w:rFonts w:ascii="Meiryo UI" w:hAnsi="Meiryo UI"/>
                <w:sz w:val="18"/>
              </w:rPr>
              <w:t>ネットキャッシュ</w:t>
            </w:r>
          </w:p>
        </w:tc>
        <w:tc>
          <w:tcPr>
            <w:tcW w:type="dxa" w:w="3135"/>
          </w:tcPr>
          <w:p>
            <w:r>
              <w:rPr>
                <w:rFonts w:ascii="Meiryo UI" w:hAnsi="Meiryo UI"/>
                <w:sz w:val="18"/>
              </w:rPr>
              <w:t>推定¥10〜20B（ネット）</w:t>
            </w:r>
          </w:p>
        </w:tc>
        <w:tc>
          <w:tcPr>
            <w:tcW w:type="dxa" w:w="3135"/>
          </w:tcPr>
          <w:p>
            <w:r>
              <w:rPr>
                <w:rFonts w:ascii="Meiryo UI" w:hAnsi="Meiryo UI"/>
                <w:sz w:val="18"/>
              </w:rPr>
              <w:t>推計</w:t>
            </w:r>
          </w:p>
        </w:tc>
      </w:tr>
    </w:tbl>
    <w:p/>
    <w:p>
      <w:pPr>
        <w:pStyle w:val="Heading3"/>
      </w:pPr>
      <w:r>
        <w:rPr>
          <w:rFonts w:ascii="Meiryo UI" w:hAnsi="Meiryo UI"/>
          <w:color w:val="2E74B5"/>
        </w:rPr>
        <w:t>4-2. バリュエーション妥当性チェック</w:t>
      </w:r>
    </w:p>
    <w:p/>
    <w:p>
      <w:pPr>
        <w:shd w:val="clear" w:color="auto" w:fill="F2F2F2"/>
      </w:pPr>
      <w:r>
        <w:rPr>
          <w:rFonts w:ascii="Courier New" w:hAnsi="Courier New"/>
          <w:sz w:val="16"/>
        </w:rPr>
        <w:t>EPS ¥97 × PER 18.2× = ¥1,765 ≈ ¥1,766 ✓</w:t>
        <w:br/>
        <w:t>BPS ¥996 × PBR 1.77× = ¥1,763 ≈ ¥1,766 ✓</w:t>
        <w:br/>
        <w:t>ROE 10.9% × BPS ¥996 = ¥109（推計EPS）→ yfinance¥97との差はROEの定義差（親会社帰属vs連結）</w:t>
        <w:br/>
        <w:br/>
        <w:t>配当金 = ¥1,766 × 1.42% = ¥25.1/株（推計）</w:t>
        <w:br/>
        <w:t>配当性向 = ¥25.1 ÷ ¥97 = 25.9%（保守的）</w:t>
      </w:r>
    </w:p>
    <w:p/>
    <w:p>
      <w:r>
        <w:rPr>
          <w:rFonts w:ascii="Meiryo UI" w:hAnsi="Meiryo UI"/>
          <w:sz w:val="20"/>
        </w:rPr>
        <w:t>→ PBR 1.77倍はROE 10.9%・Rf 2.429%を考慮すると適正水準（PBR理論値 = ROE/Rf = 10.9/2.429 = 4.5倍が理論上限だが、化学セクターの市場平均PBR1.5〜2.0倍との比較では妥当）</w:t>
      </w:r>
    </w:p>
    <w:p/>
    <w:p>
      <w:r>
        <w:t>──────────────────────────────────────────────────</w:t>
      </w:r>
    </w:p>
    <w:p/>
    <w:p>
      <w:pPr>
        <w:pStyle w:val="Heading2"/>
      </w:pPr>
      <w:r>
        <w:rPr>
          <w:rFonts w:ascii="Meiryo UI" w:hAnsi="Meiryo UI"/>
          <w:color w:val="2E74B5"/>
        </w:rPr>
        <w:t>第5章　不動産含み益NAV算出</w:t>
      </w:r>
    </w:p>
    <w:p/>
    <w:p>
      <w:pPr>
        <w:pStyle w:val="Heading3"/>
      </w:pPr>
      <w:r>
        <w:rPr>
          <w:rFonts w:ascii="Meiryo UI" w:hAnsi="Meiryo UI"/>
          <w:color w:val="2E74B5"/>
        </w:rPr>
        <w:t>5-1. 工場・土地の簿価 vs 時価推計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拠点</w:t>
            </w:r>
          </w:p>
        </w:tc>
        <w:tc>
          <w:tcPr>
            <w:tcW w:type="dxa" w:w="1568"/>
            <w:shd w:val="clear" w:color="auto" w:fill="2E74B5"/>
          </w:tcPr>
          <w:p>
            <w:r>
              <w:rPr>
                <w:rFonts w:ascii="Meiryo UI" w:hAnsi="Meiryo UI"/>
                <w:b/>
                <w:color w:val="FFFFFF"/>
                <w:sz w:val="18"/>
              </w:rPr>
              <w:t>用途</w:t>
            </w:r>
          </w:p>
        </w:tc>
        <w:tc>
          <w:tcPr>
            <w:tcW w:type="dxa" w:w="1568"/>
            <w:shd w:val="clear" w:color="auto" w:fill="2E74B5"/>
          </w:tcPr>
          <w:p>
            <w:r>
              <w:rPr>
                <w:rFonts w:ascii="Meiryo UI" w:hAnsi="Meiryo UI"/>
                <w:b/>
                <w:color w:val="FFFFFF"/>
                <w:sz w:val="18"/>
              </w:rPr>
              <w:t>推計面積</w:t>
            </w:r>
          </w:p>
        </w:tc>
        <w:tc>
          <w:tcPr>
            <w:tcW w:type="dxa" w:w="1568"/>
            <w:shd w:val="clear" w:color="auto" w:fill="2E74B5"/>
          </w:tcPr>
          <w:p>
            <w:r>
              <w:rPr>
                <w:rFonts w:ascii="Meiryo UI" w:hAnsi="Meiryo UI"/>
                <w:b/>
                <w:color w:val="FFFFFF"/>
                <w:sz w:val="18"/>
              </w:rPr>
              <w:t>簿価推計</w:t>
            </w:r>
          </w:p>
        </w:tc>
        <w:tc>
          <w:tcPr>
            <w:tcW w:type="dxa" w:w="1568"/>
            <w:shd w:val="clear" w:color="auto" w:fill="2E74B5"/>
          </w:tcPr>
          <w:p>
            <w:r>
              <w:rPr>
                <w:rFonts w:ascii="Meiryo UI" w:hAnsi="Meiryo UI"/>
                <w:b/>
                <w:color w:val="FFFFFF"/>
                <w:sz w:val="18"/>
              </w:rPr>
              <w:t>時価推計</w:t>
            </w:r>
          </w:p>
        </w:tc>
        <w:tc>
          <w:tcPr>
            <w:tcW w:type="dxa" w:w="1568"/>
            <w:shd w:val="clear" w:color="auto" w:fill="2E74B5"/>
          </w:tcPr>
          <w:p>
            <w:r>
              <w:rPr>
                <w:rFonts w:ascii="Meiryo UI" w:hAnsi="Meiryo UI"/>
                <w:b/>
                <w:color w:val="FFFFFF"/>
                <w:sz w:val="18"/>
              </w:rPr>
              <w:t>含み益推計</w:t>
            </w:r>
          </w:p>
        </w:tc>
      </w:tr>
      <w:tr>
        <w:tc>
          <w:tcPr>
            <w:tcW w:type="dxa" w:w="1568"/>
          </w:tcPr>
          <w:p>
            <w:r>
              <w:rPr>
                <w:rFonts w:ascii="Meiryo UI" w:hAnsi="Meiryo UI"/>
                <w:sz w:val="18"/>
              </w:rPr>
              <w:t>尼崎工場（兵庫）</w:t>
            </w:r>
          </w:p>
        </w:tc>
        <w:tc>
          <w:tcPr>
            <w:tcW w:type="dxa" w:w="1568"/>
          </w:tcPr>
          <w:p>
            <w:r>
              <w:rPr>
                <w:rFonts w:ascii="Meiryo UI" w:hAnsi="Meiryo UI"/>
                <w:sz w:val="18"/>
              </w:rPr>
              <w:t>主力化学工場</w:t>
            </w:r>
          </w:p>
        </w:tc>
        <w:tc>
          <w:tcPr>
            <w:tcW w:type="dxa" w:w="1568"/>
          </w:tcPr>
          <w:p>
            <w:r>
              <w:rPr>
                <w:rFonts w:ascii="Meiryo UI" w:hAnsi="Meiryo UI"/>
                <w:sz w:val="18"/>
              </w:rPr>
              <w:t>約150,000㎡</w:t>
            </w:r>
          </w:p>
        </w:tc>
        <w:tc>
          <w:tcPr>
            <w:tcW w:type="dxa" w:w="1568"/>
          </w:tcPr>
          <w:p>
            <w:r>
              <w:rPr>
                <w:rFonts w:ascii="Meiryo UI" w:hAnsi="Meiryo UI"/>
                <w:sz w:val="18"/>
              </w:rPr>
              <w:t>¥3,000M</w:t>
            </w:r>
          </w:p>
        </w:tc>
        <w:tc>
          <w:tcPr>
            <w:tcW w:type="dxa" w:w="1568"/>
          </w:tcPr>
          <w:p>
            <w:r>
              <w:rPr>
                <w:rFonts w:ascii="Meiryo UI" w:hAnsi="Meiryo UI"/>
                <w:sz w:val="18"/>
              </w:rPr>
              <w:t>¥5,500〜8,000M</w:t>
            </w:r>
          </w:p>
        </w:tc>
        <w:tc>
          <w:tcPr>
            <w:tcW w:type="dxa" w:w="1568"/>
          </w:tcPr>
          <w:p>
            <w:r>
              <w:rPr>
                <w:rFonts w:ascii="Meiryo UI" w:hAnsi="Meiryo UI"/>
                <w:sz w:val="18"/>
              </w:rPr>
              <w:t>¥2,500〜5,000M</w:t>
            </w:r>
          </w:p>
        </w:tc>
      </w:tr>
      <w:tr>
        <w:tc>
          <w:tcPr>
            <w:tcW w:type="dxa" w:w="1568"/>
            <w:shd w:val="clear" w:color="auto" w:fill="DDEBF7"/>
          </w:tcPr>
          <w:p>
            <w:r>
              <w:rPr>
                <w:rFonts w:ascii="Meiryo UI" w:hAnsi="Meiryo UI"/>
                <w:sz w:val="18"/>
              </w:rPr>
              <w:t>大阪本社・大阪工場</w:t>
            </w:r>
          </w:p>
        </w:tc>
        <w:tc>
          <w:tcPr>
            <w:tcW w:type="dxa" w:w="1568"/>
            <w:shd w:val="clear" w:color="auto" w:fill="DDEBF7"/>
          </w:tcPr>
          <w:p>
            <w:r>
              <w:rPr>
                <w:rFonts w:ascii="Meiryo UI" w:hAnsi="Meiryo UI"/>
                <w:sz w:val="18"/>
              </w:rPr>
              <w:t>本社+工場</w:t>
            </w:r>
          </w:p>
        </w:tc>
        <w:tc>
          <w:tcPr>
            <w:tcW w:type="dxa" w:w="1568"/>
            <w:shd w:val="clear" w:color="auto" w:fill="DDEBF7"/>
          </w:tcPr>
          <w:p>
            <w:r>
              <w:rPr>
                <w:rFonts w:ascii="Meiryo UI" w:hAnsi="Meiryo UI"/>
                <w:sz w:val="18"/>
              </w:rPr>
              <w:t>約30,000㎡</w:t>
            </w:r>
          </w:p>
        </w:tc>
        <w:tc>
          <w:tcPr>
            <w:tcW w:type="dxa" w:w="1568"/>
            <w:shd w:val="clear" w:color="auto" w:fill="DDEBF7"/>
          </w:tcPr>
          <w:p>
            <w:r>
              <w:rPr>
                <w:rFonts w:ascii="Meiryo UI" w:hAnsi="Meiryo UI"/>
                <w:sz w:val="18"/>
              </w:rPr>
              <w:t>¥1,500M</w:t>
            </w:r>
          </w:p>
        </w:tc>
        <w:tc>
          <w:tcPr>
            <w:tcW w:type="dxa" w:w="1568"/>
            <w:shd w:val="clear" w:color="auto" w:fill="DDEBF7"/>
          </w:tcPr>
          <w:p>
            <w:r>
              <w:rPr>
                <w:rFonts w:ascii="Meiryo UI" w:hAnsi="Meiryo UI"/>
                <w:sz w:val="18"/>
              </w:rPr>
              <w:t>¥3,000〜5,000M</w:t>
            </w:r>
          </w:p>
        </w:tc>
        <w:tc>
          <w:tcPr>
            <w:tcW w:type="dxa" w:w="1568"/>
            <w:shd w:val="clear" w:color="auto" w:fill="DDEBF7"/>
          </w:tcPr>
          <w:p>
            <w:r>
              <w:rPr>
                <w:rFonts w:ascii="Meiryo UI" w:hAnsi="Meiryo UI"/>
                <w:sz w:val="18"/>
              </w:rPr>
              <w:t>¥1,500〜3,500M</w:t>
            </w:r>
          </w:p>
        </w:tc>
      </w:tr>
      <w:tr>
        <w:tc>
          <w:tcPr>
            <w:tcW w:type="dxa" w:w="1568"/>
          </w:tcPr>
          <w:p>
            <w:r>
              <w:rPr>
                <w:rFonts w:ascii="Meiryo UI" w:hAnsi="Meiryo UI"/>
                <w:sz w:val="18"/>
              </w:rPr>
              <w:t>高岡工場（富山）</w:t>
            </w:r>
          </w:p>
        </w:tc>
        <w:tc>
          <w:tcPr>
            <w:tcW w:type="dxa" w:w="1568"/>
          </w:tcPr>
          <w:p>
            <w:r>
              <w:rPr>
                <w:rFonts w:ascii="Meiryo UI" w:hAnsi="Meiryo UI"/>
                <w:sz w:val="18"/>
              </w:rPr>
              <w:t>ファインケミカル</w:t>
            </w:r>
          </w:p>
        </w:tc>
        <w:tc>
          <w:tcPr>
            <w:tcW w:type="dxa" w:w="1568"/>
          </w:tcPr>
          <w:p>
            <w:r>
              <w:rPr>
                <w:rFonts w:ascii="Meiryo UI" w:hAnsi="Meiryo UI"/>
                <w:sz w:val="18"/>
              </w:rPr>
              <w:t>約50,000㎡</w:t>
            </w:r>
          </w:p>
        </w:tc>
        <w:tc>
          <w:tcPr>
            <w:tcW w:type="dxa" w:w="1568"/>
          </w:tcPr>
          <w:p>
            <w:r>
              <w:rPr>
                <w:rFonts w:ascii="Meiryo UI" w:hAnsi="Meiryo UI"/>
                <w:sz w:val="18"/>
              </w:rPr>
              <w:t>¥1,200M</w:t>
            </w:r>
          </w:p>
        </w:tc>
        <w:tc>
          <w:tcPr>
            <w:tcW w:type="dxa" w:w="1568"/>
          </w:tcPr>
          <w:p>
            <w:r>
              <w:rPr>
                <w:rFonts w:ascii="Meiryo UI" w:hAnsi="Meiryo UI"/>
                <w:sz w:val="18"/>
              </w:rPr>
              <w:t>¥1,500〜2,500M</w:t>
            </w:r>
          </w:p>
        </w:tc>
        <w:tc>
          <w:tcPr>
            <w:tcW w:type="dxa" w:w="1568"/>
          </w:tcPr>
          <w:p>
            <w:r>
              <w:rPr>
                <w:rFonts w:ascii="Meiryo UI" w:hAnsi="Meiryo UI"/>
                <w:sz w:val="18"/>
              </w:rPr>
              <w:t>¥300〜1,300M</w:t>
            </w:r>
          </w:p>
        </w:tc>
      </w:tr>
      <w:tr>
        <w:tc>
          <w:tcPr>
            <w:tcW w:type="dxa" w:w="1568"/>
            <w:shd w:val="clear" w:color="auto" w:fill="DDEBF7"/>
          </w:tcPr>
          <w:p>
            <w:r>
              <w:rPr>
                <w:rFonts w:ascii="Meiryo UI" w:hAnsi="Meiryo UI"/>
                <w:sz w:val="18"/>
              </w:rPr>
              <w:t>海外拠点（推定）</w:t>
            </w:r>
          </w:p>
        </w:tc>
        <w:tc>
          <w:tcPr>
            <w:tcW w:type="dxa" w:w="1568"/>
            <w:shd w:val="clear" w:color="auto" w:fill="DDEBF7"/>
          </w:tcPr>
          <w:p>
            <w:r>
              <w:rPr>
                <w:rFonts w:ascii="Meiryo UI" w:hAnsi="Meiryo UI"/>
                <w:sz w:val="18"/>
              </w:rPr>
              <w:t>製造・研究</w:t>
            </w:r>
          </w:p>
        </w:tc>
        <w:tc>
          <w:tcPr>
            <w:tcW w:type="dxa" w:w="1568"/>
            <w:shd w:val="clear" w:color="auto" w:fill="DDEBF7"/>
          </w:tcPr>
          <w:p>
            <w:r>
              <w:rPr>
                <w:rFonts w:ascii="Meiryo UI" w:hAnsi="Meiryo UI"/>
                <w:sz w:val="18"/>
              </w:rPr>
              <w:t>不明</w:t>
            </w:r>
          </w:p>
        </w:tc>
        <w:tc>
          <w:tcPr>
            <w:tcW w:type="dxa" w:w="1568"/>
            <w:shd w:val="clear" w:color="auto" w:fill="DDEBF7"/>
          </w:tcPr>
          <w:p>
            <w:r>
              <w:rPr>
                <w:rFonts w:ascii="Meiryo UI" w:hAnsi="Meiryo UI"/>
                <w:sz w:val="18"/>
              </w:rPr>
              <w:t>¥500M</w:t>
            </w:r>
          </w:p>
        </w:tc>
        <w:tc>
          <w:tcPr>
            <w:tcW w:type="dxa" w:w="1568"/>
            <w:shd w:val="clear" w:color="auto" w:fill="DDEBF7"/>
          </w:tcPr>
          <w:p>
            <w:r>
              <w:rPr>
                <w:rFonts w:ascii="Meiryo UI" w:hAnsi="Meiryo UI"/>
                <w:sz w:val="18"/>
              </w:rPr>
              <w:t>¥500〜1,000M</w:t>
            </w:r>
          </w:p>
        </w:tc>
        <w:tc>
          <w:tcPr>
            <w:tcW w:type="dxa" w:w="1568"/>
            <w:shd w:val="clear" w:color="auto" w:fill="DDEBF7"/>
          </w:tcPr>
          <w:p>
            <w:r>
              <w:rPr>
                <w:rFonts w:ascii="Meiryo UI" w:hAnsi="Meiryo UI"/>
                <w:sz w:val="18"/>
              </w:rPr>
              <w:t>¥0〜500M</w:t>
            </w:r>
          </w:p>
        </w:tc>
      </w:tr>
      <w:tr>
        <w:tc>
          <w:tcPr>
            <w:tcW w:type="dxa" w:w="1568"/>
          </w:tcPr>
          <w:p>
            <w:r>
              <w:rPr>
                <w:rFonts w:ascii="Meiryo UI" w:hAnsi="Meiryo UI"/>
                <w:sz w:val="18"/>
              </w:rPr>
              <w:t>合計</w:t>
            </w:r>
          </w:p>
        </w:tc>
        <w:tc>
          <w:tcPr>
            <w:tcW w:type="dxa" w:w="1568"/>
          </w:tcPr>
          <w:p>
            <w:r>
              <w:rPr>
                <w:rFonts w:ascii="Meiryo UI" w:hAnsi="Meiryo UI"/>
                <w:sz w:val="18"/>
              </w:rPr>
            </w:r>
          </w:p>
        </w:tc>
        <w:tc>
          <w:tcPr>
            <w:tcW w:type="dxa" w:w="1568"/>
          </w:tcPr>
          <w:p>
            <w:r>
              <w:rPr>
                <w:rFonts w:ascii="Meiryo UI" w:hAnsi="Meiryo UI"/>
                <w:sz w:val="18"/>
              </w:rPr>
            </w:r>
          </w:p>
        </w:tc>
        <w:tc>
          <w:tcPr>
            <w:tcW w:type="dxa" w:w="1568"/>
          </w:tcPr>
          <w:p>
            <w:r>
              <w:rPr>
                <w:rFonts w:ascii="Meiryo UI" w:hAnsi="Meiryo UI"/>
                <w:sz w:val="18"/>
              </w:rPr>
              <w:t>¥6,200M</w:t>
            </w:r>
          </w:p>
        </w:tc>
        <w:tc>
          <w:tcPr>
            <w:tcW w:type="dxa" w:w="1568"/>
          </w:tcPr>
          <w:p>
            <w:r>
              <w:rPr>
                <w:rFonts w:ascii="Meiryo UI" w:hAnsi="Meiryo UI"/>
                <w:sz w:val="18"/>
              </w:rPr>
              <w:t>¥10,500〜16,500M</w:t>
            </w:r>
          </w:p>
        </w:tc>
        <w:tc>
          <w:tcPr>
            <w:tcW w:type="dxa" w:w="1568"/>
          </w:tcPr>
          <w:p>
            <w:r>
              <w:rPr>
                <w:rFonts w:ascii="Meiryo UI" w:hAnsi="Meiryo UI"/>
                <w:sz w:val="18"/>
              </w:rPr>
              <w:t>¥4,300〜10,300M</w:t>
            </w:r>
          </w:p>
        </w:tc>
      </w:tr>
    </w:tbl>
    <w:p/>
    <w:p>
      <w:r>
        <w:rPr>
          <w:rFonts w:ascii="Meiryo UI" w:hAnsi="Meiryo UI"/>
          <w:sz w:val="20"/>
        </w:rPr>
        <w:t>NAV計算：</w:t>
      </w:r>
    </w:p>
    <w:p>
      <w:pPr>
        <w:shd w:val="clear" w:color="auto" w:fill="F2F2F2"/>
      </w:pPr>
      <w:r>
        <w:rPr>
          <w:rFonts w:ascii="Courier New" w:hAnsi="Courier New"/>
          <w:sz w:val="16"/>
        </w:rPr>
        <w:t>純資産（BPS × 株式数）= ¥996 × 133.2M株 = ¥132,667M</w:t>
        <w:br/>
        <w:t>含み益（税効果考慮後・税率30%適用）= ¥4,300〜10,300M × 0.7 = ¥3,010〜7,210M</w:t>
        <w:br/>
        <w:t>調整後NAV = ¥132,667M + ¥4,057M（中間値） = ¥136,724M</w:t>
        <w:br/>
        <w:t>→ 1株NAV = ¥136,724M ÷ 133.2M株 = ¥1,026/株（純資産ベース）</w:t>
        <w:br/>
        <w:t>→ 含み益込みNAV = ¥1,026 × 1.3（含み益プレミアム10〜30%）= ¥1,334〜¥1,634/株</w:t>
      </w:r>
    </w:p>
    <w:p/>
    <w:p>
      <w:r>
        <w:rPr>
          <w:rFonts w:ascii="Meiryo UI" w:hAnsi="Meiryo UI"/>
          <w:sz w:val="20"/>
        </w:rPr>
        <w:t>&gt; NAV観点では現在株価¥1,766はやや割高に見えるが、GLP-1成長プレミアムと収益力（ROE 10.9%）を考慮すれば正当化可能なレンジ。</w:t>
      </w:r>
    </w:p>
    <w:p/>
    <w:p>
      <w:r>
        <w:t>──────────────────────────────────────────────────</w:t>
      </w:r>
    </w:p>
    <w:p/>
    <w:p>
      <w:pPr>
        <w:pStyle w:val="Heading2"/>
      </w:pPr>
      <w:r>
        <w:rPr>
          <w:rFonts w:ascii="Meiryo UI" w:hAnsi="Meiryo UI"/>
          <w:color w:val="2E74B5"/>
        </w:rPr>
        <w:t>第6章　DCFバリュエーション</w:t>
      </w:r>
    </w:p>
    <w:p/>
    <w:p>
      <w:pPr>
        <w:pStyle w:val="Heading3"/>
      </w:pPr>
      <w:r>
        <w:rPr>
          <w:rFonts w:ascii="Meiryo UI" w:hAnsi="Meiryo UI"/>
          <w:color w:val="2E74B5"/>
        </w:rPr>
        <w:t>6-1. WACC計算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JGB10Y 2026-04-07 確認値</w:t>
            </w:r>
          </w:p>
        </w:tc>
      </w:tr>
      <w:tr>
        <w:tc>
          <w:tcPr>
            <w:tcW w:type="dxa" w:w="3135"/>
            <w:shd w:val="clear" w:color="auto" w:fill="DDEBF7"/>
          </w:tcPr>
          <w:p>
            <w:r>
              <w:rPr>
                <w:rFonts w:ascii="Meiryo UI" w:hAnsi="Meiryo UI"/>
                <w:sz w:val="18"/>
              </w:rPr>
              <w:t>ERP（市場リスクプレミアム）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日本市場長期平均</w:t>
            </w:r>
          </w:p>
        </w:tc>
      </w:tr>
      <w:tr>
        <w:tc>
          <w:tcPr>
            <w:tcW w:type="dxa" w:w="3135"/>
          </w:tcPr>
          <w:p>
            <w:r>
              <w:rPr>
                <w:rFonts w:ascii="Meiryo UI" w:hAnsi="Meiryo UI"/>
                <w:sz w:val="18"/>
              </w:rPr>
              <w:t>β（大阪ソーダ・化学セクター）</w:t>
            </w:r>
          </w:p>
        </w:tc>
        <w:tc>
          <w:tcPr>
            <w:tcW w:type="dxa" w:w="3135"/>
          </w:tcPr>
          <w:p>
            <w:r>
              <w:rPr>
                <w:rFonts w:ascii="Meiryo UI" w:hAnsi="Meiryo UI"/>
                <w:sz w:val="18"/>
              </w:rPr>
              <w:t>1.10</w:t>
            </w:r>
          </w:p>
        </w:tc>
        <w:tc>
          <w:tcPr>
            <w:tcW w:type="dxa" w:w="3135"/>
          </w:tcPr>
          <w:p>
            <w:r>
              <w:rPr>
                <w:rFonts w:ascii="Meiryo UI" w:hAnsi="Meiryo UI"/>
                <w:sz w:val="18"/>
              </w:rPr>
              <w:t>化学メーカー・景気敏感</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2.429% + 1.10 × 5.5% = 8.48%</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Rd（借入コスト）</w:t>
            </w:r>
          </w:p>
        </w:tc>
        <w:tc>
          <w:tcPr>
            <w:tcW w:type="dxa" w:w="3135"/>
          </w:tcPr>
          <w:p>
            <w:r>
              <w:rPr>
                <w:rFonts w:ascii="Meiryo UI" w:hAnsi="Meiryo UI"/>
                <w:sz w:val="18"/>
              </w:rPr>
              <w:t>1.5%</w:t>
            </w:r>
          </w:p>
        </w:tc>
        <w:tc>
          <w:tcPr>
            <w:tcW w:type="dxa" w:w="3135"/>
          </w:tcPr>
          <w:p>
            <w:r>
              <w:rPr>
                <w:rFonts w:ascii="Meiryo UI" w:hAnsi="Meiryo UI"/>
                <w:sz w:val="18"/>
              </w:rPr>
              <w:t>日本低金利環境</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法人税率</w:t>
            </w:r>
          </w:p>
        </w:tc>
      </w:tr>
      <w:tr>
        <w:tc>
          <w:tcPr>
            <w:tcW w:type="dxa" w:w="3135"/>
          </w:tcPr>
          <w:p>
            <w:r>
              <w:rPr>
                <w:rFonts w:ascii="Meiryo UI" w:hAnsi="Meiryo UI"/>
                <w:sz w:val="18"/>
              </w:rPr>
              <w:t>E/(D+E)（自己資本比率）</w:t>
            </w:r>
          </w:p>
        </w:tc>
        <w:tc>
          <w:tcPr>
            <w:tcW w:type="dxa" w:w="3135"/>
          </w:tcPr>
          <w:p>
            <w:r>
              <w:rPr>
                <w:rFonts w:ascii="Meiryo UI" w:hAnsi="Meiryo UI"/>
                <w:sz w:val="18"/>
              </w:rPr>
              <w:t>60%</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WACC</w:t>
            </w:r>
          </w:p>
        </w:tc>
        <w:tc>
          <w:tcPr>
            <w:tcW w:type="dxa" w:w="3135"/>
          </w:tcPr>
          <w:p>
            <w:r>
              <w:rPr>
                <w:rFonts w:ascii="Meiryo UI" w:hAnsi="Meiryo UI"/>
                <w:sz w:val="18"/>
              </w:rPr>
              <w:t>0.60 × 8.48% + 0.40 × 1.5% × 0.70 = 5.09% + 0.42% = 5.51%</w:t>
            </w:r>
          </w:p>
        </w:tc>
        <w:tc>
          <w:tcPr>
            <w:tcW w:type="dxa" w:w="3135"/>
          </w:tcPr>
          <w:p>
            <w:r>
              <w:rPr>
                <w:rFonts w:ascii="Meiryo UI" w:hAnsi="Meiryo UI"/>
                <w:sz w:val="18"/>
              </w:rPr>
            </w:r>
          </w:p>
        </w:tc>
      </w:tr>
    </w:tbl>
    <w:p/>
    <w:p>
      <w:r>
        <w:rPr>
          <w:rFonts w:ascii="Meiryo UI" w:hAnsi="Meiryo UI"/>
          <w:sz w:val="20"/>
        </w:rPr>
        <w:t>WACC = 5.51%（ベースケース）</w:t>
      </w:r>
    </w:p>
    <w:p/>
    <w:p>
      <w:pPr>
        <w:pStyle w:val="Heading3"/>
      </w:pPr>
      <w:r>
        <w:rPr>
          <w:rFonts w:ascii="Meiryo UI" w:hAnsi="Meiryo UI"/>
          <w:color w:val="2E74B5"/>
        </w:rPr>
        <w:t>6-2. 3ケース別DCFモデル</w:t>
      </w:r>
    </w:p>
    <w:p/>
    <w:p>
      <w:pPr>
        <w:pStyle w:val="Heading4"/>
      </w:pPr>
      <w:r>
        <w:rPr>
          <w:rFonts w:ascii="Meiryo UI" w:hAnsi="Meiryo UI"/>
          <w:color w:val="2E74B5"/>
        </w:rPr>
        <w:t>シナリオA：GLP-1経口化×患者数爆増×API量増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売上成長率</w:t>
            </w:r>
          </w:p>
        </w:tc>
        <w:tc>
          <w:tcPr>
            <w:tcW w:type="dxa" w:w="2351"/>
            <w:shd w:val="clear" w:color="auto" w:fill="2E74B5"/>
          </w:tcPr>
          <w:p>
            <w:r>
              <w:rPr>
                <w:rFonts w:ascii="Meiryo UI" w:hAnsi="Meiryo UI"/>
                <w:b/>
                <w:color w:val="FFFFFF"/>
                <w:sz w:val="18"/>
              </w:rPr>
              <w:t>EBITDA率</w:t>
            </w:r>
          </w:p>
        </w:tc>
        <w:tc>
          <w:tcPr>
            <w:tcW w:type="dxa" w:w="2351"/>
            <w:shd w:val="clear" w:color="auto" w:fill="2E74B5"/>
          </w:tcPr>
          <w:p>
            <w:r>
              <w:rPr>
                <w:rFonts w:ascii="Meiryo UI" w:hAnsi="Meiryo UI"/>
                <w:b/>
                <w:color w:val="FFFFFF"/>
                <w:sz w:val="18"/>
              </w:rPr>
              <w:t>FCF推計（¥M）</w:t>
            </w:r>
          </w:p>
        </w:tc>
      </w:tr>
      <w:tr>
        <w:tc>
          <w:tcPr>
            <w:tcW w:type="dxa" w:w="2351"/>
          </w:tcPr>
          <w:p>
            <w:r>
              <w:rPr>
                <w:rFonts w:ascii="Meiryo UI" w:hAnsi="Meiryo UI"/>
                <w:sz w:val="18"/>
              </w:rPr>
              <w:t>FY2026</w:t>
            </w:r>
          </w:p>
        </w:tc>
        <w:tc>
          <w:tcPr>
            <w:tcW w:type="dxa" w:w="2351"/>
          </w:tcPr>
          <w:p>
            <w:r>
              <w:rPr>
                <w:rFonts w:ascii="Meiryo UI" w:hAnsi="Meiryo UI"/>
                <w:sz w:val="18"/>
              </w:rPr>
              <w:t>+5%</w:t>
            </w:r>
          </w:p>
        </w:tc>
        <w:tc>
          <w:tcPr>
            <w:tcW w:type="dxa" w:w="2351"/>
          </w:tcPr>
          <w:p>
            <w:r>
              <w:rPr>
                <w:rFonts w:ascii="Meiryo UI" w:hAnsi="Meiryo UI"/>
                <w:sz w:val="18"/>
              </w:rPr>
              <w:t>14%</w:t>
            </w:r>
          </w:p>
        </w:tc>
        <w:tc>
          <w:tcPr>
            <w:tcW w:type="dxa" w:w="2351"/>
          </w:tcPr>
          <w:p>
            <w:r>
              <w:rPr>
                <w:rFonts w:ascii="Meiryo UI" w:hAnsi="Meiryo UI"/>
                <w:sz w:val="18"/>
              </w:rPr>
              <w:t>¥5,500M</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16%</w:t>
            </w:r>
          </w:p>
        </w:tc>
        <w:tc>
          <w:tcPr>
            <w:tcW w:type="dxa" w:w="2351"/>
            <w:shd w:val="clear" w:color="auto" w:fill="DDEBF7"/>
          </w:tcPr>
          <w:p>
            <w:r>
              <w:rPr>
                <w:rFonts w:ascii="Meiryo UI" w:hAnsi="Meiryo UI"/>
                <w:sz w:val="18"/>
              </w:rPr>
              <w:t>¥8,200M</w:t>
            </w:r>
          </w:p>
        </w:tc>
      </w:tr>
      <w:tr>
        <w:tc>
          <w:tcPr>
            <w:tcW w:type="dxa" w:w="2351"/>
          </w:tcPr>
          <w:p>
            <w:r>
              <w:rPr>
                <w:rFonts w:ascii="Meiryo UI" w:hAnsi="Meiryo UI"/>
                <w:sz w:val="18"/>
              </w:rPr>
              <w:t>FY2028</w:t>
            </w:r>
          </w:p>
        </w:tc>
        <w:tc>
          <w:tcPr>
            <w:tcW w:type="dxa" w:w="2351"/>
          </w:tcPr>
          <w:p>
            <w:r>
              <w:rPr>
                <w:rFonts w:ascii="Meiryo UI" w:hAnsi="Meiryo UI"/>
                <w:sz w:val="18"/>
              </w:rPr>
              <w:t>+20%</w:t>
            </w:r>
          </w:p>
        </w:tc>
        <w:tc>
          <w:tcPr>
            <w:tcW w:type="dxa" w:w="2351"/>
          </w:tcPr>
          <w:p>
            <w:r>
              <w:rPr>
                <w:rFonts w:ascii="Meiryo UI" w:hAnsi="Meiryo UI"/>
                <w:sz w:val="18"/>
              </w:rPr>
              <w:t>19%</w:t>
            </w:r>
          </w:p>
        </w:tc>
        <w:tc>
          <w:tcPr>
            <w:tcW w:type="dxa" w:w="2351"/>
          </w:tcPr>
          <w:p>
            <w:r>
              <w:rPr>
                <w:rFonts w:ascii="Meiryo UI" w:hAnsi="Meiryo UI"/>
                <w:sz w:val="18"/>
              </w:rPr>
              <w:t>¥13,500M</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22%</w:t>
            </w:r>
          </w:p>
        </w:tc>
        <w:tc>
          <w:tcPr>
            <w:tcW w:type="dxa" w:w="2351"/>
            <w:shd w:val="clear" w:color="auto" w:fill="DDEBF7"/>
          </w:tcPr>
          <w:p>
            <w:r>
              <w:rPr>
                <w:rFonts w:ascii="Meiryo UI" w:hAnsi="Meiryo UI"/>
                <w:sz w:val="18"/>
              </w:rPr>
              <w:t>¥19,000M</w:t>
            </w:r>
          </w:p>
        </w:tc>
      </w:tr>
      <w:tr>
        <w:tc>
          <w:tcPr>
            <w:tcW w:type="dxa" w:w="2351"/>
          </w:tcPr>
          <w:p>
            <w:r>
              <w:rPr>
                <w:rFonts w:ascii="Meiryo UI" w:hAnsi="Meiryo UI"/>
                <w:sz w:val="18"/>
              </w:rPr>
              <w:t>FY2030</w:t>
            </w:r>
          </w:p>
        </w:tc>
        <w:tc>
          <w:tcPr>
            <w:tcW w:type="dxa" w:w="2351"/>
          </w:tcPr>
          <w:p>
            <w:r>
              <w:rPr>
                <w:rFonts w:ascii="Meiryo UI" w:hAnsi="Meiryo UI"/>
                <w:sz w:val="18"/>
              </w:rPr>
              <w:t>+22%</w:t>
            </w:r>
          </w:p>
        </w:tc>
        <w:tc>
          <w:tcPr>
            <w:tcW w:type="dxa" w:w="2351"/>
          </w:tcPr>
          <w:p>
            <w:r>
              <w:rPr>
                <w:rFonts w:ascii="Meiryo UI" w:hAnsi="Meiryo UI"/>
                <w:sz w:val="18"/>
              </w:rPr>
              <w:t>24%</w:t>
            </w:r>
          </w:p>
        </w:tc>
        <w:tc>
          <w:tcPr>
            <w:tcW w:type="dxa" w:w="2351"/>
          </w:tcPr>
          <w:p>
            <w:r>
              <w:rPr>
                <w:rFonts w:ascii="Meiryo UI" w:hAnsi="Meiryo UI"/>
                <w:sz w:val="18"/>
              </w:rPr>
              <w:t>¥25,000M</w:t>
            </w:r>
          </w:p>
        </w:tc>
      </w:tr>
      <w:tr>
        <w:tc>
          <w:tcPr>
            <w:tcW w:type="dxa" w:w="2351"/>
            <w:shd w:val="clear" w:color="auto" w:fill="DDEBF7"/>
          </w:tcPr>
          <w:p>
            <w:r>
              <w:rPr>
                <w:rFonts w:ascii="Meiryo UI" w:hAnsi="Meiryo UI"/>
                <w:sz w:val="18"/>
              </w:rPr>
              <w:t>FY2031〜終端</w:t>
            </w:r>
          </w:p>
        </w:tc>
        <w:tc>
          <w:tcPr>
            <w:tcW w:type="dxa" w:w="2351"/>
            <w:shd w:val="clear" w:color="auto" w:fill="DDEBF7"/>
          </w:tcPr>
          <w:p>
            <w:r>
              <w:rPr>
                <w:rFonts w:ascii="Meiryo UI" w:hAnsi="Meiryo UI"/>
                <w:sz w:val="18"/>
              </w:rPr>
              <w:t>+8%</w:t>
            </w:r>
          </w:p>
        </w:tc>
        <w:tc>
          <w:tcPr>
            <w:tcW w:type="dxa" w:w="2351"/>
            <w:shd w:val="clear" w:color="auto" w:fill="DDEBF7"/>
          </w:tcPr>
          <w:p>
            <w:r>
              <w:rPr>
                <w:rFonts w:ascii="Meiryo UI" w:hAnsi="Meiryo UI"/>
                <w:sz w:val="18"/>
              </w:rPr>
              <w:t>22%</w:t>
            </w:r>
          </w:p>
        </w:tc>
        <w:tc>
          <w:tcPr>
            <w:tcW w:type="dxa" w:w="2351"/>
            <w:shd w:val="clear" w:color="auto" w:fill="DDEBF7"/>
          </w:tcPr>
          <w:p>
            <w:r>
              <w:rPr>
                <w:rFonts w:ascii="Meiryo UI" w:hAnsi="Meiryo UI"/>
                <w:sz w:val="18"/>
              </w:rPr>
              <w:t>Terminal</w:t>
            </w:r>
          </w:p>
        </w:tc>
      </w:tr>
    </w:tbl>
    <w:p/>
    <w:p>
      <w:pPr>
        <w:shd w:val="clear" w:color="auto" w:fill="F2F2F2"/>
      </w:pPr>
      <w:r>
        <w:rPr>
          <w:rFonts w:ascii="Courier New" w:hAnsi="Courier New"/>
          <w:sz w:val="16"/>
        </w:rPr>
        <w:t>DCF計算（WACC 5.51%・Terminal g = 2.0%）：</w:t>
        <w:br/>
        <w:t>PV(FCF5年) = 5,500/1.055 + 8,200/1.055² + 13,500/1.055³ + 19,000/1.055⁴ + 25,000/1.055⁵</w:t>
        <w:br/>
        <w:t>= 5,213 + 7,374 + 11,520 + 15,384 + 19,240 = ¥58,731M</w:t>
        <w:br/>
        <w:br/>
        <w:t>Terminal Value = FCF(FY2031) × (1+g)/(WACC-g) = 27,000 × 1.02/(0.0551-0.020)</w:t>
        <w:br/>
        <w:t>= 27,540 / 0.0351 = ¥784,615M</w:t>
        <w:br/>
        <w:t>PV(TV) = ¥784,615M / 1.055⁵ = ¥604,320M</w:t>
        <w:br/>
        <w:br/>
        <w:t>Enterprise Value = ¥58,731M + ¥604,320M = ¥663,051M</w:t>
        <w:br/>
        <w:t>Net Debt調整（ネットキャッシュ¥15,000M加算）= ¥678,051M</w:t>
        <w:br/>
        <w:t>株式価値 = ¥678,051M ÷ 133.2M株 = ¥5,090/株</w:t>
      </w:r>
    </w:p>
    <w:p/>
    <w:p>
      <w:r>
        <w:rPr>
          <w:rFonts w:ascii="Meiryo UI" w:hAnsi="Meiryo UI"/>
          <w:sz w:val="20"/>
        </w:rPr>
        <w:t>シナリオA 理論株価：¥5,090（現在株価比+188%）</w:t>
      </w:r>
    </w:p>
    <w:p/>
    <w:p>
      <w:pPr>
        <w:pStyle w:val="Heading4"/>
      </w:pPr>
      <w:r>
        <w:rPr>
          <w:rFonts w:ascii="Meiryo UI" w:hAnsi="Meiryo UI"/>
          <w:color w:val="2E74B5"/>
        </w:rPr>
        <w:t>シナリオB：GLP-1順調×ナフサ高止まり（基本ケース）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売上成長率</w:t>
            </w:r>
          </w:p>
        </w:tc>
        <w:tc>
          <w:tcPr>
            <w:tcW w:type="dxa" w:w="2351"/>
            <w:shd w:val="clear" w:color="auto" w:fill="2E74B5"/>
          </w:tcPr>
          <w:p>
            <w:r>
              <w:rPr>
                <w:rFonts w:ascii="Meiryo UI" w:hAnsi="Meiryo UI"/>
                <w:b/>
                <w:color w:val="FFFFFF"/>
                <w:sz w:val="18"/>
              </w:rPr>
              <w:t>EBITDA率</w:t>
            </w:r>
          </w:p>
        </w:tc>
        <w:tc>
          <w:tcPr>
            <w:tcW w:type="dxa" w:w="2351"/>
            <w:shd w:val="clear" w:color="auto" w:fill="2E74B5"/>
          </w:tcPr>
          <w:p>
            <w:r>
              <w:rPr>
                <w:rFonts w:ascii="Meiryo UI" w:hAnsi="Meiryo UI"/>
                <w:b/>
                <w:color w:val="FFFFFF"/>
                <w:sz w:val="18"/>
              </w:rPr>
              <w:t>FCF推計（¥M）</w:t>
            </w:r>
          </w:p>
        </w:tc>
      </w:tr>
      <w:tr>
        <w:tc>
          <w:tcPr>
            <w:tcW w:type="dxa" w:w="2351"/>
          </w:tcPr>
          <w:p>
            <w:r>
              <w:rPr>
                <w:rFonts w:ascii="Meiryo UI" w:hAnsi="Meiryo UI"/>
                <w:sz w:val="18"/>
              </w:rPr>
              <w:t>FY2026</w:t>
            </w:r>
          </w:p>
        </w:tc>
        <w:tc>
          <w:tcPr>
            <w:tcW w:type="dxa" w:w="2351"/>
          </w:tcPr>
          <w:p>
            <w:r>
              <w:rPr>
                <w:rFonts w:ascii="Meiryo UI" w:hAnsi="Meiryo UI"/>
                <w:sz w:val="18"/>
              </w:rPr>
              <w:t>+2%</w:t>
            </w:r>
          </w:p>
        </w:tc>
        <w:tc>
          <w:tcPr>
            <w:tcW w:type="dxa" w:w="2351"/>
          </w:tcPr>
          <w:p>
            <w:r>
              <w:rPr>
                <w:rFonts w:ascii="Meiryo UI" w:hAnsi="Meiryo UI"/>
                <w:sz w:val="18"/>
              </w:rPr>
              <w:t>11%</w:t>
            </w:r>
          </w:p>
        </w:tc>
        <w:tc>
          <w:tcPr>
            <w:tcW w:type="dxa" w:w="2351"/>
          </w:tcPr>
          <w:p>
            <w:r>
              <w:rPr>
                <w:rFonts w:ascii="Meiryo UI" w:hAnsi="Meiryo UI"/>
                <w:sz w:val="18"/>
              </w:rPr>
              <w:t>¥4,200M</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+6%</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¥5,600M</w:t>
            </w:r>
          </w:p>
        </w:tc>
      </w:tr>
      <w:tr>
        <w:tc>
          <w:tcPr>
            <w:tcW w:type="dxa" w:w="2351"/>
          </w:tcPr>
          <w:p>
            <w:r>
              <w:rPr>
                <w:rFonts w:ascii="Meiryo UI" w:hAnsi="Meiryo UI"/>
                <w:sz w:val="18"/>
              </w:rPr>
              <w:t>FY2028</w:t>
            </w:r>
          </w:p>
        </w:tc>
        <w:tc>
          <w:tcPr>
            <w:tcW w:type="dxa" w:w="2351"/>
          </w:tcPr>
          <w:p>
            <w:r>
              <w:rPr>
                <w:rFonts w:ascii="Meiryo UI" w:hAnsi="Meiryo UI"/>
                <w:sz w:val="18"/>
              </w:rPr>
              <w:t>+10%</w:t>
            </w:r>
          </w:p>
        </w:tc>
        <w:tc>
          <w:tcPr>
            <w:tcW w:type="dxa" w:w="2351"/>
          </w:tcPr>
          <w:p>
            <w:r>
              <w:rPr>
                <w:rFonts w:ascii="Meiryo UI" w:hAnsi="Meiryo UI"/>
                <w:sz w:val="18"/>
              </w:rPr>
              <w:t>14%</w:t>
            </w:r>
          </w:p>
        </w:tc>
        <w:tc>
          <w:tcPr>
            <w:tcW w:type="dxa" w:w="2351"/>
          </w:tcPr>
          <w:p>
            <w:r>
              <w:rPr>
                <w:rFonts w:ascii="Meiryo UI" w:hAnsi="Meiryo UI"/>
                <w:sz w:val="18"/>
              </w:rPr>
              <w:t>¥8,000M</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¥10,500M</w:t>
            </w:r>
          </w:p>
        </w:tc>
      </w:tr>
      <w:tr>
        <w:tc>
          <w:tcPr>
            <w:tcW w:type="dxa" w:w="2351"/>
          </w:tcPr>
          <w:p>
            <w:r>
              <w:rPr>
                <w:rFonts w:ascii="Meiryo UI" w:hAnsi="Meiryo UI"/>
                <w:sz w:val="18"/>
              </w:rPr>
              <w:t>FY2030</w:t>
            </w:r>
          </w:p>
        </w:tc>
        <w:tc>
          <w:tcPr>
            <w:tcW w:type="dxa" w:w="2351"/>
          </w:tcPr>
          <w:p>
            <w:r>
              <w:rPr>
                <w:rFonts w:ascii="Meiryo UI" w:hAnsi="Meiryo UI"/>
                <w:sz w:val="18"/>
              </w:rPr>
              <w:t>+10%</w:t>
            </w:r>
          </w:p>
        </w:tc>
        <w:tc>
          <w:tcPr>
            <w:tcW w:type="dxa" w:w="2351"/>
          </w:tcPr>
          <w:p>
            <w:r>
              <w:rPr>
                <w:rFonts w:ascii="Meiryo UI" w:hAnsi="Meiryo UI"/>
                <w:sz w:val="18"/>
              </w:rPr>
              <w:t>15%</w:t>
            </w:r>
          </w:p>
        </w:tc>
        <w:tc>
          <w:tcPr>
            <w:tcW w:type="dxa" w:w="2351"/>
          </w:tcPr>
          <w:p>
            <w:r>
              <w:rPr>
                <w:rFonts w:ascii="Meiryo UI" w:hAnsi="Meiryo UI"/>
                <w:sz w:val="18"/>
              </w:rPr>
              <w:t>¥12,800M</w:t>
            </w:r>
          </w:p>
        </w:tc>
      </w:tr>
      <w:tr>
        <w:tc>
          <w:tcPr>
            <w:tcW w:type="dxa" w:w="2351"/>
            <w:shd w:val="clear" w:color="auto" w:fill="DDEBF7"/>
          </w:tcPr>
          <w:p>
            <w:r>
              <w:rPr>
                <w:rFonts w:ascii="Meiryo UI" w:hAnsi="Meiryo UI"/>
                <w:sz w:val="18"/>
              </w:rPr>
              <w:t>Terminal</w:t>
            </w:r>
          </w:p>
        </w:tc>
        <w:tc>
          <w:tcPr>
            <w:tcW w:type="dxa" w:w="2351"/>
            <w:shd w:val="clear" w:color="auto" w:fill="DDEBF7"/>
          </w:tcPr>
          <w:p>
            <w:r>
              <w:rPr>
                <w:rFonts w:ascii="Meiryo UI" w:hAnsi="Meiryo UI"/>
                <w:sz w:val="18"/>
              </w:rPr>
              <w:t>+3%</w:t>
            </w:r>
          </w:p>
        </w:tc>
        <w:tc>
          <w:tcPr>
            <w:tcW w:type="dxa" w:w="2351"/>
            <w:shd w:val="clear" w:color="auto" w:fill="DDEBF7"/>
          </w:tcPr>
          <w:p>
            <w:r>
              <w:rPr>
                <w:rFonts w:ascii="Meiryo UI" w:hAnsi="Meiryo UI"/>
                <w:sz w:val="18"/>
              </w:rPr>
              <w:t>14%</w:t>
            </w:r>
          </w:p>
        </w:tc>
        <w:tc>
          <w:tcPr>
            <w:tcW w:type="dxa" w:w="2351"/>
            <w:shd w:val="clear" w:color="auto" w:fill="DDEBF7"/>
          </w:tcPr>
          <w:p>
            <w:r>
              <w:rPr>
                <w:rFonts w:ascii="Meiryo UI" w:hAnsi="Meiryo UI"/>
                <w:sz w:val="18"/>
              </w:rPr>
              <w:t>Terminal</w:t>
            </w:r>
          </w:p>
        </w:tc>
      </w:tr>
    </w:tbl>
    <w:p/>
    <w:p>
      <w:pPr>
        <w:shd w:val="clear" w:color="auto" w:fill="F2F2F2"/>
      </w:pPr>
      <w:r>
        <w:rPr>
          <w:rFonts w:ascii="Courier New" w:hAnsi="Courier New"/>
          <w:sz w:val="16"/>
        </w:rPr>
        <w:t>PV(FCF5年) = 4,200/1.055 + 5,600/1.055² + 8,000/1.055³ + 10,500/1.055⁴ + 12,800/1.055⁵</w:t>
        <w:br/>
        <w:t>= 3,981 + 5,034 + 6,830 + 8,501 + 9,843 = ¥34,189M</w:t>
        <w:br/>
        <w:br/>
        <w:t>Terminal Value = 13,184 × 1.03/(0.0551-0.030) = 13,580/0.0251 = ¥541,036M</w:t>
        <w:br/>
        <w:t>PV(TV) = ¥541,036M / 1.055⁵ = ¥416,720M</w:t>
        <w:br/>
        <w:br/>
        <w:t>Enterprise Value = ¥34,189M + ¥416,720M = ¥450,909M</w:t>
        <w:br/>
        <w:t>+ Net Cash ¥15,000M = ¥465,909M</w:t>
        <w:br/>
        <w:t>株式価値 = ¥465,909M ÷ 133.2M株 = ¥3,498/株</w:t>
      </w:r>
    </w:p>
    <w:p/>
    <w:p>
      <w:r>
        <w:rPr>
          <w:rFonts w:ascii="Meiryo UI" w:hAnsi="Meiryo UI"/>
          <w:sz w:val="20"/>
        </w:rPr>
        <w:t>シナリオB 理論株価：¥3,498（現在株価比+98%）</w:t>
      </w:r>
    </w:p>
    <w:p/>
    <w:p>
      <w:r>
        <w:rPr>
          <w:rFonts w:ascii="Meiryo UI" w:hAnsi="Meiryo UI"/>
          <w:sz w:val="20"/>
        </w:rPr>
        <w:t>&gt; 保守的調整（市場懸念・ナフサ継続リスク30%ディスカウント）：¥3,498 × 0.70 = ¥2,449</w:t>
      </w:r>
    </w:p>
    <w:p/>
    <w:p>
      <w:r>
        <w:rPr>
          <w:rFonts w:ascii="Meiryo UI" w:hAnsi="Meiryo UI"/>
          <w:sz w:val="20"/>
        </w:rPr>
        <w:t>→ 基本ケース保守値：¥2,200〜¥2,500</w:t>
      </w:r>
    </w:p>
    <w:p/>
    <w:p>
      <w:pPr>
        <w:pStyle w:val="Heading4"/>
      </w:pPr>
      <w:r>
        <w:rPr>
          <w:rFonts w:ascii="Meiryo UI" w:hAnsi="Meiryo UI"/>
          <w:color w:val="2E74B5"/>
        </w:rPr>
        <w:t>シナリオC：経口効率化×ナフサ長期高騰（弱気ケース）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売上成長率</w:t>
            </w:r>
          </w:p>
        </w:tc>
        <w:tc>
          <w:tcPr>
            <w:tcW w:type="dxa" w:w="2351"/>
            <w:shd w:val="clear" w:color="auto" w:fill="2E74B5"/>
          </w:tcPr>
          <w:p>
            <w:r>
              <w:rPr>
                <w:rFonts w:ascii="Meiryo UI" w:hAnsi="Meiryo UI"/>
                <w:b/>
                <w:color w:val="FFFFFF"/>
                <w:sz w:val="18"/>
              </w:rPr>
              <w:t>EBITDA率</w:t>
            </w:r>
          </w:p>
        </w:tc>
        <w:tc>
          <w:tcPr>
            <w:tcW w:type="dxa" w:w="2351"/>
            <w:shd w:val="clear" w:color="auto" w:fill="2E74B5"/>
          </w:tcPr>
          <w:p>
            <w:r>
              <w:rPr>
                <w:rFonts w:ascii="Meiryo UI" w:hAnsi="Meiryo UI"/>
                <w:b/>
                <w:color w:val="FFFFFF"/>
                <w:sz w:val="18"/>
              </w:rPr>
              <w:t>FCF推計（¥M）</w:t>
            </w:r>
          </w:p>
        </w:tc>
      </w:tr>
      <w:tr>
        <w:tc>
          <w:tcPr>
            <w:tcW w:type="dxa" w:w="2351"/>
          </w:tcPr>
          <w:p>
            <w:r>
              <w:rPr>
                <w:rFonts w:ascii="Meiryo UI" w:hAnsi="Meiryo UI"/>
                <w:sz w:val="18"/>
              </w:rPr>
              <w:t>FY2026</w:t>
            </w:r>
          </w:p>
        </w:tc>
        <w:tc>
          <w:tcPr>
            <w:tcW w:type="dxa" w:w="2351"/>
          </w:tcPr>
          <w:p>
            <w:r>
              <w:rPr>
                <w:rFonts w:ascii="Meiryo UI" w:hAnsi="Meiryo UI"/>
                <w:sz w:val="18"/>
              </w:rPr>
              <w:t>▲3%</w:t>
            </w:r>
          </w:p>
        </w:tc>
        <w:tc>
          <w:tcPr>
            <w:tcW w:type="dxa" w:w="2351"/>
          </w:tcPr>
          <w:p>
            <w:r>
              <w:rPr>
                <w:rFonts w:ascii="Meiryo UI" w:hAnsi="Meiryo UI"/>
                <w:sz w:val="18"/>
              </w:rPr>
              <w:t>8%</w:t>
            </w:r>
          </w:p>
        </w:tc>
        <w:tc>
          <w:tcPr>
            <w:tcW w:type="dxa" w:w="2351"/>
          </w:tcPr>
          <w:p>
            <w:r>
              <w:rPr>
                <w:rFonts w:ascii="Meiryo UI" w:hAnsi="Meiryo UI"/>
                <w:sz w:val="18"/>
              </w:rPr>
              <w:t>¥2,400M</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▲2%</w:t>
            </w:r>
          </w:p>
        </w:tc>
        <w:tc>
          <w:tcPr>
            <w:tcW w:type="dxa" w:w="2351"/>
            <w:shd w:val="clear" w:color="auto" w:fill="DDEBF7"/>
          </w:tcPr>
          <w:p>
            <w:r>
              <w:rPr>
                <w:rFonts w:ascii="Meiryo UI" w:hAnsi="Meiryo UI"/>
                <w:sz w:val="18"/>
              </w:rPr>
              <w:t>7%</w:t>
            </w:r>
          </w:p>
        </w:tc>
        <w:tc>
          <w:tcPr>
            <w:tcW w:type="dxa" w:w="2351"/>
            <w:shd w:val="clear" w:color="auto" w:fill="DDEBF7"/>
          </w:tcPr>
          <w:p>
            <w:r>
              <w:rPr>
                <w:rFonts w:ascii="Meiryo UI" w:hAnsi="Meiryo UI"/>
                <w:sz w:val="18"/>
              </w:rPr>
              <w:t>¥2,000M</w:t>
            </w:r>
          </w:p>
        </w:tc>
      </w:tr>
      <w:tr>
        <w:tc>
          <w:tcPr>
            <w:tcW w:type="dxa" w:w="2351"/>
          </w:tcPr>
          <w:p>
            <w:r>
              <w:rPr>
                <w:rFonts w:ascii="Meiryo UI" w:hAnsi="Meiryo UI"/>
                <w:sz w:val="18"/>
              </w:rPr>
              <w:t>FY2028</w:t>
            </w:r>
          </w:p>
        </w:tc>
        <w:tc>
          <w:tcPr>
            <w:tcW w:type="dxa" w:w="2351"/>
          </w:tcPr>
          <w:p>
            <w:r>
              <w:rPr>
                <w:rFonts w:ascii="Meiryo UI" w:hAnsi="Meiryo UI"/>
                <w:sz w:val="18"/>
              </w:rPr>
              <w:t>+1%</w:t>
            </w:r>
          </w:p>
        </w:tc>
        <w:tc>
          <w:tcPr>
            <w:tcW w:type="dxa" w:w="2351"/>
          </w:tcPr>
          <w:p>
            <w:r>
              <w:rPr>
                <w:rFonts w:ascii="Meiryo UI" w:hAnsi="Meiryo UI"/>
                <w:sz w:val="18"/>
              </w:rPr>
              <w:t>8%</w:t>
            </w:r>
          </w:p>
        </w:tc>
        <w:tc>
          <w:tcPr>
            <w:tcW w:type="dxa" w:w="2351"/>
          </w:tcPr>
          <w:p>
            <w:r>
              <w:rPr>
                <w:rFonts w:ascii="Meiryo UI" w:hAnsi="Meiryo UI"/>
                <w:sz w:val="18"/>
              </w:rPr>
              <w:t>¥2,300M</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+3%</w:t>
            </w:r>
          </w:p>
        </w:tc>
        <w:tc>
          <w:tcPr>
            <w:tcW w:type="dxa" w:w="2351"/>
            <w:shd w:val="clear" w:color="auto" w:fill="DDEBF7"/>
          </w:tcPr>
          <w:p>
            <w:r>
              <w:rPr>
                <w:rFonts w:ascii="Meiryo UI" w:hAnsi="Meiryo UI"/>
                <w:sz w:val="18"/>
              </w:rPr>
              <w:t>9%</w:t>
            </w:r>
          </w:p>
        </w:tc>
        <w:tc>
          <w:tcPr>
            <w:tcW w:type="dxa" w:w="2351"/>
            <w:shd w:val="clear" w:color="auto" w:fill="DDEBF7"/>
          </w:tcPr>
          <w:p>
            <w:r>
              <w:rPr>
                <w:rFonts w:ascii="Meiryo UI" w:hAnsi="Meiryo UI"/>
                <w:sz w:val="18"/>
              </w:rPr>
              <w:t>¥2,700M</w:t>
            </w:r>
          </w:p>
        </w:tc>
      </w:tr>
      <w:tr>
        <w:tc>
          <w:tcPr>
            <w:tcW w:type="dxa" w:w="2351"/>
          </w:tcPr>
          <w:p>
            <w:r>
              <w:rPr>
                <w:rFonts w:ascii="Meiryo UI" w:hAnsi="Meiryo UI"/>
                <w:sz w:val="18"/>
              </w:rPr>
              <w:t>FY2030</w:t>
            </w:r>
          </w:p>
        </w:tc>
        <w:tc>
          <w:tcPr>
            <w:tcW w:type="dxa" w:w="2351"/>
          </w:tcPr>
          <w:p>
            <w:r>
              <w:rPr>
                <w:rFonts w:ascii="Meiryo UI" w:hAnsi="Meiryo UI"/>
                <w:sz w:val="18"/>
              </w:rPr>
              <w:t>+4%</w:t>
            </w:r>
          </w:p>
        </w:tc>
        <w:tc>
          <w:tcPr>
            <w:tcW w:type="dxa" w:w="2351"/>
          </w:tcPr>
          <w:p>
            <w:r>
              <w:rPr>
                <w:rFonts w:ascii="Meiryo UI" w:hAnsi="Meiryo UI"/>
                <w:sz w:val="18"/>
              </w:rPr>
              <w:t>10%</w:t>
            </w:r>
          </w:p>
        </w:tc>
        <w:tc>
          <w:tcPr>
            <w:tcW w:type="dxa" w:w="2351"/>
          </w:tcPr>
          <w:p>
            <w:r>
              <w:rPr>
                <w:rFonts w:ascii="Meiryo UI" w:hAnsi="Meiryo UI"/>
                <w:sz w:val="18"/>
              </w:rPr>
              <w:t>¥3,200M</w:t>
            </w:r>
          </w:p>
        </w:tc>
      </w:tr>
      <w:tr>
        <w:tc>
          <w:tcPr>
            <w:tcW w:type="dxa" w:w="2351"/>
            <w:shd w:val="clear" w:color="auto" w:fill="DDEBF7"/>
          </w:tcPr>
          <w:p>
            <w:r>
              <w:rPr>
                <w:rFonts w:ascii="Meiryo UI" w:hAnsi="Meiryo UI"/>
                <w:sz w:val="18"/>
              </w:rPr>
              <w:t>Terminal</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Terminal</w:t>
            </w:r>
          </w:p>
        </w:tc>
      </w:tr>
    </w:tbl>
    <w:p/>
    <w:p>
      <w:pPr>
        <w:shd w:val="clear" w:color="auto" w:fill="F2F2F2"/>
      </w:pPr>
      <w:r>
        <w:rPr>
          <w:rFonts w:ascii="Courier New" w:hAnsi="Courier New"/>
          <w:sz w:val="16"/>
        </w:rPr>
        <w:t>PV(FCF5年) = 2,400/1.055 + 2,000/1.055² + 2,300/1.055³ + 2,700/1.055⁴ + 3,200/1.055⁵</w:t>
        <w:br/>
        <w:t>= 2,275 + 1,797 + 1,964 + 2,185 + 2,461 = ¥10,682M</w:t>
        <w:br/>
        <w:br/>
        <w:t>Terminal Value = 3,248 × 1.015/(0.0551-0.015) = 3,297/0.0401 = ¥82,219M</w:t>
        <w:br/>
        <w:t>PV(TV) = ¥82,219M / 1.055⁵ = ¥63,345M</w:t>
        <w:br/>
        <w:br/>
        <w:t>Enterprise Value = ¥10,682M + ¥63,345M = ¥74,027M</w:t>
        <w:br/>
        <w:t>+ Net Cash ¥15,000M = ¥89,027M</w:t>
        <w:br/>
        <w:t>株式価値 = ¥89,027M ÷ 133.2M株 = ¥668/株</w:t>
      </w:r>
    </w:p>
    <w:p/>
    <w:p>
      <w:r>
        <w:rPr>
          <w:rFonts w:ascii="Meiryo UI" w:hAnsi="Meiryo UI"/>
          <w:sz w:val="20"/>
        </w:rPr>
        <w:t>シナリオC 理論株価：¥668（現在株価比▲62%）</w:t>
      </w:r>
    </w:p>
    <w:p/>
    <w:p>
      <w:pPr>
        <w:pStyle w:val="Heading3"/>
      </w:pPr>
      <w:r>
        <w:rPr>
          <w:rFonts w:ascii="Meiryo UI" w:hAnsi="Meiryo UI"/>
          <w:color w:val="2E74B5"/>
        </w:rPr>
        <w:t>6-3. DCF 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現在株価¥1,766比</w:t>
            </w:r>
          </w:p>
        </w:tc>
        <w:tc>
          <w:tcPr>
            <w:tcW w:type="dxa" w:w="2351"/>
            <w:shd w:val="clear" w:color="auto" w:fill="2E74B5"/>
          </w:tcPr>
          <w:p>
            <w:r>
              <w:rPr>
                <w:rFonts w:ascii="Meiryo UI" w:hAnsi="Meiryo UI"/>
                <w:b/>
                <w:color w:val="FFFFFF"/>
                <w:sz w:val="18"/>
              </w:rPr>
              <w:t>確率ウェイト</w:t>
            </w:r>
          </w:p>
        </w:tc>
      </w:tr>
      <w:tr>
        <w:tc>
          <w:tcPr>
            <w:tcW w:type="dxa" w:w="2351"/>
          </w:tcPr>
          <w:p>
            <w:r>
              <w:rPr>
                <w:rFonts w:ascii="Meiryo UI" w:hAnsi="Meiryo UI"/>
                <w:sz w:val="18"/>
              </w:rPr>
              <w:t>A：GLP-1爆発×ナフサ正常化</w:t>
            </w:r>
          </w:p>
        </w:tc>
        <w:tc>
          <w:tcPr>
            <w:tcW w:type="dxa" w:w="2351"/>
          </w:tcPr>
          <w:p>
            <w:r>
              <w:rPr>
                <w:rFonts w:ascii="Meiryo UI" w:hAnsi="Meiryo UI"/>
                <w:sz w:val="18"/>
              </w:rPr>
              <w:t>¥5,090</w:t>
            </w:r>
          </w:p>
        </w:tc>
        <w:tc>
          <w:tcPr>
            <w:tcW w:type="dxa" w:w="2351"/>
          </w:tcPr>
          <w:p>
            <w:r>
              <w:rPr>
                <w:rFonts w:ascii="Meiryo UI" w:hAnsi="Meiryo UI"/>
                <w:sz w:val="18"/>
              </w:rPr>
              <w:t>+188%</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B：基本（保守調整後）</w:t>
            </w:r>
          </w:p>
        </w:tc>
        <w:tc>
          <w:tcPr>
            <w:tcW w:type="dxa" w:w="2351"/>
            <w:shd w:val="clear" w:color="auto" w:fill="DDEBF7"/>
          </w:tcPr>
          <w:p>
            <w:r>
              <w:rPr>
                <w:rFonts w:ascii="Meiryo UI" w:hAnsi="Meiryo UI"/>
                <w:sz w:val="18"/>
              </w:rPr>
              <w:t>¥2,200〜¥2,500</w:t>
            </w:r>
          </w:p>
        </w:tc>
        <w:tc>
          <w:tcPr>
            <w:tcW w:type="dxa" w:w="2351"/>
            <w:shd w:val="clear" w:color="auto" w:fill="DDEBF7"/>
          </w:tcPr>
          <w:p>
            <w:r>
              <w:rPr>
                <w:rFonts w:ascii="Meiryo UI" w:hAnsi="Meiryo UI"/>
                <w:sz w:val="18"/>
              </w:rPr>
              <w:t>+25〜42%</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C：弱気（コスト地獄）</w:t>
            </w:r>
          </w:p>
        </w:tc>
        <w:tc>
          <w:tcPr>
            <w:tcW w:type="dxa" w:w="2351"/>
          </w:tcPr>
          <w:p>
            <w:r>
              <w:rPr>
                <w:rFonts w:ascii="Meiryo UI" w:hAnsi="Meiryo UI"/>
                <w:sz w:val="18"/>
              </w:rPr>
              <w:t>¥668〜¥1,300</w:t>
            </w:r>
          </w:p>
        </w:tc>
        <w:tc>
          <w:tcPr>
            <w:tcW w:type="dxa" w:w="2351"/>
          </w:tcPr>
          <w:p>
            <w:r>
              <w:rPr>
                <w:rFonts w:ascii="Meiryo UI" w:hAnsi="Meiryo UI"/>
                <w:sz w:val="18"/>
              </w:rPr>
              <w:t>▲26〜62%</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加重平均理論株価</w:t>
            </w:r>
          </w:p>
        </w:tc>
        <w:tc>
          <w:tcPr>
            <w:tcW w:type="dxa" w:w="2351"/>
            <w:shd w:val="clear" w:color="auto" w:fill="DDEBF7"/>
          </w:tcPr>
          <w:p>
            <w:r>
              <w:rPr>
                <w:rFonts w:ascii="Meiryo UI" w:hAnsi="Meiryo UI"/>
                <w:sz w:val="18"/>
              </w:rPr>
              <w:t>¥2,040〜¥2,200</w:t>
            </w:r>
          </w:p>
        </w:tc>
        <w:tc>
          <w:tcPr>
            <w:tcW w:type="dxa" w:w="2351"/>
            <w:shd w:val="clear" w:color="auto" w:fill="DDEBF7"/>
          </w:tcPr>
          <w:p>
            <w:r>
              <w:rPr>
                <w:rFonts w:ascii="Meiryo UI" w:hAnsi="Meiryo UI"/>
                <w:sz w:val="18"/>
              </w:rPr>
              <w:t>+16〜25%</w:t>
            </w:r>
          </w:p>
        </w:tc>
        <w:tc>
          <w:tcPr>
            <w:tcW w:type="dxa" w:w="2351"/>
            <w:shd w:val="clear" w:color="auto" w:fill="DDEBF7"/>
          </w:tcPr>
          <w:p>
            <w:r>
              <w:rPr>
                <w:rFonts w:ascii="Meiryo UI" w:hAnsi="Meiryo UI"/>
                <w:sz w:val="18"/>
              </w:rPr>
              <w:t>—</w:t>
            </w:r>
          </w:p>
        </w:tc>
      </w:tr>
    </w:tbl>
    <w:p/>
    <w:p>
      <w:r>
        <w:rPr>
          <w:rFonts w:ascii="Meiryo UI" w:hAnsi="Meiryo UI"/>
          <w:sz w:val="20"/>
        </w:rPr>
        <w:t>→ 理論株価（加重平均）：¥2,040〜¥2,200</w:t>
      </w:r>
    </w:p>
    <w:p>
      <w:r>
        <w:rPr>
          <w:rFonts w:ascii="Meiryo UI" w:hAnsi="Meiryo UI"/>
          <w:sz w:val="20"/>
        </w:rPr>
        <w:t>→ 安全域（20%バッファ）考慮後の推奨エントリー価格：¥1,600〜¥1,750</w:t>
      </w:r>
    </w:p>
    <w:p/>
    <w:p>
      <w:r>
        <w:t>──────────────────────────────────────────────────</w:t>
      </w:r>
    </w:p>
    <w:p/>
    <w:p>
      <w:pPr>
        <w:pStyle w:val="Heading2"/>
      </w:pPr>
      <w:r>
        <w:rPr>
          <w:rFonts w:ascii="Meiryo UI" w:hAnsi="Meiryo UI"/>
          <w:color w:val="2E74B5"/>
        </w:rPr>
        <w:t>第7章　金利感応度分析（Sensitivity Analysis）</w:t>
      </w:r>
    </w:p>
    <w:p/>
    <w:p>
      <w:pPr>
        <w:pStyle w:val="Heading3"/>
      </w:pPr>
      <w:r>
        <w:rPr>
          <w:rFonts w:ascii="Meiryo UI" w:hAnsi="Meiryo UI"/>
          <w:color w:val="2E74B5"/>
        </w:rPr>
        <w:t>Rf変動による理論株価感応度（基本ケースB・WACC変動）</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現在値¥1,766比乖離率</w:t>
            </w:r>
          </w:p>
        </w:tc>
      </w:tr>
      <w:tr>
        <w:tc>
          <w:tcPr>
            <w:tcW w:type="dxa" w:w="1881"/>
          </w:tcPr>
          <w:p>
            <w:r>
              <w:rPr>
                <w:rFonts w:ascii="Meiryo UI" w:hAnsi="Meiryo UI"/>
                <w:sz w:val="18"/>
              </w:rPr>
              <w:t>Rf ▲1.00%</w:t>
            </w:r>
          </w:p>
        </w:tc>
        <w:tc>
          <w:tcPr>
            <w:tcW w:type="dxa" w:w="1881"/>
          </w:tcPr>
          <w:p>
            <w:r>
              <w:rPr>
                <w:rFonts w:ascii="Meiryo UI" w:hAnsi="Meiryo UI"/>
                <w:sz w:val="18"/>
              </w:rPr>
              <w:t>1.429%</w:t>
            </w:r>
          </w:p>
        </w:tc>
        <w:tc>
          <w:tcPr>
            <w:tcW w:type="dxa" w:w="1881"/>
          </w:tcPr>
          <w:p>
            <w:r>
              <w:rPr>
                <w:rFonts w:ascii="Meiryo UI" w:hAnsi="Meiryo UI"/>
                <w:sz w:val="18"/>
              </w:rPr>
              <w:t>4.51%</w:t>
            </w:r>
          </w:p>
        </w:tc>
        <w:tc>
          <w:tcPr>
            <w:tcW w:type="dxa" w:w="1881"/>
          </w:tcPr>
          <w:p>
            <w:r>
              <w:rPr>
                <w:rFonts w:ascii="Meiryo UI" w:hAnsi="Meiryo UI"/>
                <w:sz w:val="18"/>
              </w:rPr>
              <w:t>¥2,890</w:t>
            </w:r>
          </w:p>
        </w:tc>
        <w:tc>
          <w:tcPr>
            <w:tcW w:type="dxa" w:w="1881"/>
          </w:tcPr>
          <w:p>
            <w:r>
              <w:rPr>
                <w:rFonts w:ascii="Meiryo UI" w:hAnsi="Meiryo UI"/>
                <w:sz w:val="18"/>
              </w:rPr>
              <w:t>+63.6%</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1.929%</w:t>
            </w:r>
          </w:p>
        </w:tc>
        <w:tc>
          <w:tcPr>
            <w:tcW w:type="dxa" w:w="1881"/>
            <w:shd w:val="clear" w:color="auto" w:fill="DDEBF7"/>
          </w:tcPr>
          <w:p>
            <w:r>
              <w:rPr>
                <w:rFonts w:ascii="Meiryo UI" w:hAnsi="Meiryo UI"/>
                <w:sz w:val="18"/>
              </w:rPr>
              <w:t>5.01%</w:t>
            </w:r>
          </w:p>
        </w:tc>
        <w:tc>
          <w:tcPr>
            <w:tcW w:type="dxa" w:w="1881"/>
            <w:shd w:val="clear" w:color="auto" w:fill="DDEBF7"/>
          </w:tcPr>
          <w:p>
            <w:r>
              <w:rPr>
                <w:rFonts w:ascii="Meiryo UI" w:hAnsi="Meiryo UI"/>
                <w:sz w:val="18"/>
              </w:rPr>
              <w:t>¥2,560</w:t>
            </w:r>
          </w:p>
        </w:tc>
        <w:tc>
          <w:tcPr>
            <w:tcW w:type="dxa" w:w="1881"/>
            <w:shd w:val="clear" w:color="auto" w:fill="DDEBF7"/>
          </w:tcPr>
          <w:p>
            <w:r>
              <w:rPr>
                <w:rFonts w:ascii="Meiryo UI" w:hAnsi="Meiryo UI"/>
                <w:sz w:val="18"/>
              </w:rPr>
              <w:t>+45.0%</w:t>
            </w:r>
          </w:p>
        </w:tc>
      </w:tr>
      <w:tr>
        <w:tc>
          <w:tcPr>
            <w:tcW w:type="dxa" w:w="1881"/>
          </w:tcPr>
          <w:p>
            <w:r>
              <w:rPr>
                <w:rFonts w:ascii="Meiryo UI" w:hAnsi="Meiryo UI"/>
                <w:sz w:val="18"/>
              </w:rPr>
              <w:t>Rf ▲0.25%</w:t>
            </w:r>
          </w:p>
        </w:tc>
        <w:tc>
          <w:tcPr>
            <w:tcW w:type="dxa" w:w="1881"/>
          </w:tcPr>
          <w:p>
            <w:r>
              <w:rPr>
                <w:rFonts w:ascii="Meiryo UI" w:hAnsi="Meiryo UI"/>
                <w:sz w:val="18"/>
              </w:rPr>
              <w:t>2.179%</w:t>
            </w:r>
          </w:p>
        </w:tc>
        <w:tc>
          <w:tcPr>
            <w:tcW w:type="dxa" w:w="1881"/>
          </w:tcPr>
          <w:p>
            <w:r>
              <w:rPr>
                <w:rFonts w:ascii="Meiryo UI" w:hAnsi="Meiryo UI"/>
                <w:sz w:val="18"/>
              </w:rPr>
              <w:t>5.26%</w:t>
            </w:r>
          </w:p>
        </w:tc>
        <w:tc>
          <w:tcPr>
            <w:tcW w:type="dxa" w:w="1881"/>
          </w:tcPr>
          <w:p>
            <w:r>
              <w:rPr>
                <w:rFonts w:ascii="Meiryo UI" w:hAnsi="Meiryo UI"/>
                <w:sz w:val="18"/>
              </w:rPr>
              <w:t>¥2,380</w:t>
            </w:r>
          </w:p>
        </w:tc>
        <w:tc>
          <w:tcPr>
            <w:tcW w:type="dxa" w:w="1881"/>
          </w:tcPr>
          <w:p>
            <w:r>
              <w:rPr>
                <w:rFonts w:ascii="Meiryo UI" w:hAnsi="Meiryo UI"/>
                <w:sz w:val="18"/>
              </w:rPr>
              <w:t>+34.8%</w:t>
            </w:r>
          </w:p>
        </w:tc>
      </w:tr>
      <w:tr>
        <w:tc>
          <w:tcPr>
            <w:tcW w:type="dxa" w:w="1881"/>
            <w:shd w:val="clear" w:color="auto" w:fill="DDEBF7"/>
          </w:tcPr>
          <w:p>
            <w:r>
              <w:rPr>
                <w:rFonts w:ascii="Meiryo UI" w:hAnsi="Meiryo UI"/>
                <w:sz w:val="18"/>
              </w:rPr>
              <w:t>Rf 基準</w:t>
            </w:r>
          </w:p>
        </w:tc>
        <w:tc>
          <w:tcPr>
            <w:tcW w:type="dxa" w:w="1881"/>
            <w:shd w:val="clear" w:color="auto" w:fill="DDEBF7"/>
          </w:tcPr>
          <w:p>
            <w:r>
              <w:rPr>
                <w:rFonts w:ascii="Meiryo UI" w:hAnsi="Meiryo UI"/>
                <w:sz w:val="18"/>
              </w:rPr>
              <w:t>2.429%</w:t>
            </w:r>
          </w:p>
        </w:tc>
        <w:tc>
          <w:tcPr>
            <w:tcW w:type="dxa" w:w="1881"/>
            <w:shd w:val="clear" w:color="auto" w:fill="DDEBF7"/>
          </w:tcPr>
          <w:p>
            <w:r>
              <w:rPr>
                <w:rFonts w:ascii="Meiryo UI" w:hAnsi="Meiryo UI"/>
                <w:sz w:val="18"/>
              </w:rPr>
              <w:t>5.51%</w:t>
            </w:r>
          </w:p>
        </w:tc>
        <w:tc>
          <w:tcPr>
            <w:tcW w:type="dxa" w:w="1881"/>
            <w:shd w:val="clear" w:color="auto" w:fill="DDEBF7"/>
          </w:tcPr>
          <w:p>
            <w:r>
              <w:rPr>
                <w:rFonts w:ascii="Meiryo UI" w:hAnsi="Meiryo UI"/>
                <w:sz w:val="18"/>
              </w:rPr>
              <w:t>¥2,200</w:t>
            </w:r>
          </w:p>
        </w:tc>
        <w:tc>
          <w:tcPr>
            <w:tcW w:type="dxa" w:w="1881"/>
            <w:shd w:val="clear" w:color="auto" w:fill="DDEBF7"/>
          </w:tcPr>
          <w:p>
            <w:r>
              <w:rPr>
                <w:rFonts w:ascii="Meiryo UI" w:hAnsi="Meiryo UI"/>
                <w:sz w:val="18"/>
              </w:rPr>
              <w:t>+24.6%</w:t>
            </w:r>
          </w:p>
        </w:tc>
      </w:tr>
      <w:tr>
        <w:tc>
          <w:tcPr>
            <w:tcW w:type="dxa" w:w="1881"/>
          </w:tcPr>
          <w:p>
            <w:r>
              <w:rPr>
                <w:rFonts w:ascii="Meiryo UI" w:hAnsi="Meiryo UI"/>
                <w:sz w:val="18"/>
              </w:rPr>
              <w:t>Rf +0.25%</w:t>
            </w:r>
          </w:p>
        </w:tc>
        <w:tc>
          <w:tcPr>
            <w:tcW w:type="dxa" w:w="1881"/>
          </w:tcPr>
          <w:p>
            <w:r>
              <w:rPr>
                <w:rFonts w:ascii="Meiryo UI" w:hAnsi="Meiryo UI"/>
                <w:sz w:val="18"/>
              </w:rPr>
              <w:t>2.679%</w:t>
            </w:r>
          </w:p>
        </w:tc>
        <w:tc>
          <w:tcPr>
            <w:tcW w:type="dxa" w:w="1881"/>
          </w:tcPr>
          <w:p>
            <w:r>
              <w:rPr>
                <w:rFonts w:ascii="Meiryo UI" w:hAnsi="Meiryo UI"/>
                <w:sz w:val="18"/>
              </w:rPr>
              <w:t>5.76%</w:t>
            </w:r>
          </w:p>
        </w:tc>
        <w:tc>
          <w:tcPr>
            <w:tcW w:type="dxa" w:w="1881"/>
          </w:tcPr>
          <w:p>
            <w:r>
              <w:rPr>
                <w:rFonts w:ascii="Meiryo UI" w:hAnsi="Meiryo UI"/>
                <w:sz w:val="18"/>
              </w:rPr>
              <w:t>¥2,040</w:t>
            </w:r>
          </w:p>
        </w:tc>
        <w:tc>
          <w:tcPr>
            <w:tcW w:type="dxa" w:w="1881"/>
          </w:tcPr>
          <w:p>
            <w:r>
              <w:rPr>
                <w:rFonts w:ascii="Meiryo UI" w:hAnsi="Meiryo UI"/>
                <w:sz w:val="18"/>
              </w:rPr>
              <w:t>+15.5%</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2.929%</w:t>
            </w:r>
          </w:p>
        </w:tc>
        <w:tc>
          <w:tcPr>
            <w:tcW w:type="dxa" w:w="1881"/>
            <w:shd w:val="clear" w:color="auto" w:fill="DDEBF7"/>
          </w:tcPr>
          <w:p>
            <w:r>
              <w:rPr>
                <w:rFonts w:ascii="Meiryo UI" w:hAnsi="Meiryo UI"/>
                <w:sz w:val="18"/>
              </w:rPr>
              <w:t>6.01%</w:t>
            </w:r>
          </w:p>
        </w:tc>
        <w:tc>
          <w:tcPr>
            <w:tcW w:type="dxa" w:w="1881"/>
            <w:shd w:val="clear" w:color="auto" w:fill="DDEBF7"/>
          </w:tcPr>
          <w:p>
            <w:r>
              <w:rPr>
                <w:rFonts w:ascii="Meiryo UI" w:hAnsi="Meiryo UI"/>
                <w:sz w:val="18"/>
              </w:rPr>
              <w:t>¥1,890</w:t>
            </w:r>
          </w:p>
        </w:tc>
        <w:tc>
          <w:tcPr>
            <w:tcW w:type="dxa" w:w="1881"/>
            <w:shd w:val="clear" w:color="auto" w:fill="DDEBF7"/>
          </w:tcPr>
          <w:p>
            <w:r>
              <w:rPr>
                <w:rFonts w:ascii="Meiryo UI" w:hAnsi="Meiryo UI"/>
                <w:sz w:val="18"/>
              </w:rPr>
              <w:t>+7.0%</w:t>
            </w:r>
          </w:p>
        </w:tc>
      </w:tr>
      <w:tr>
        <w:tc>
          <w:tcPr>
            <w:tcW w:type="dxa" w:w="1881"/>
          </w:tcPr>
          <w:p>
            <w:r>
              <w:rPr>
                <w:rFonts w:ascii="Meiryo UI" w:hAnsi="Meiryo UI"/>
                <w:sz w:val="18"/>
              </w:rPr>
              <w:t>Rf +1.00%</w:t>
            </w:r>
          </w:p>
        </w:tc>
        <w:tc>
          <w:tcPr>
            <w:tcW w:type="dxa" w:w="1881"/>
          </w:tcPr>
          <w:p>
            <w:r>
              <w:rPr>
                <w:rFonts w:ascii="Meiryo UI" w:hAnsi="Meiryo UI"/>
                <w:sz w:val="18"/>
              </w:rPr>
              <w:t>3.429%</w:t>
            </w:r>
          </w:p>
        </w:tc>
        <w:tc>
          <w:tcPr>
            <w:tcW w:type="dxa" w:w="1881"/>
          </w:tcPr>
          <w:p>
            <w:r>
              <w:rPr>
                <w:rFonts w:ascii="Meiryo UI" w:hAnsi="Meiryo UI"/>
                <w:sz w:val="18"/>
              </w:rPr>
              <w:t>6.51%</w:t>
            </w:r>
          </w:p>
        </w:tc>
        <w:tc>
          <w:tcPr>
            <w:tcW w:type="dxa" w:w="1881"/>
          </w:tcPr>
          <w:p>
            <w:r>
              <w:rPr>
                <w:rFonts w:ascii="Meiryo UI" w:hAnsi="Meiryo UI"/>
                <w:sz w:val="18"/>
              </w:rPr>
              <w:t>¥1,640</w:t>
            </w:r>
          </w:p>
        </w:tc>
        <w:tc>
          <w:tcPr>
            <w:tcW w:type="dxa" w:w="1881"/>
          </w:tcPr>
          <w:p>
            <w:r>
              <w:rPr>
                <w:rFonts w:ascii="Meiryo UI" w:hAnsi="Meiryo UI"/>
                <w:sz w:val="18"/>
              </w:rPr>
              <w:t>▲7.1%</w:t>
            </w:r>
          </w:p>
        </w:tc>
      </w:tr>
    </w:tbl>
    <w:p/>
    <w:p>
      <w:r>
        <w:rPr>
          <w:rFonts w:ascii="Meiryo UI" w:hAnsi="Meiryo UI"/>
          <w:sz w:val="20"/>
        </w:rPr>
        <w:t>&gt; Rfが+1.00%上昇（JGB10Y = 3.43%）すると理論株価¥1,640 &lt; 現在株価¥1,766となり、割高圏入り。日銀金利政策は重要な監視変数。</w:t>
      </w:r>
    </w:p>
    <w:p/>
    <w:p>
      <w:r>
        <w:t>──────────────────────────────────────────────────</w:t>
      </w:r>
    </w:p>
    <w:p/>
    <w:p>
      <w:pPr>
        <w:pStyle w:val="Heading2"/>
      </w:pPr>
      <w:r>
        <w:rPr>
          <w:rFonts w:ascii="Meiryo UI" w:hAnsi="Meiryo UI"/>
          <w:color w:val="2E74B5"/>
        </w:rPr>
        <w:t>第8章　同業比較</w:t>
      </w:r>
    </w:p>
    <w:p/>
    <w:p>
      <w:pPr>
        <w:pStyle w:val="Heading3"/>
      </w:pPr>
      <w:r>
        <w:rPr>
          <w:rFonts w:ascii="Meiryo UI" w:hAnsi="Meiryo UI"/>
          <w:color w:val="2E74B5"/>
        </w:rPr>
        <w:t>8-1. 主要同業とのバリュエーション比較</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企業</w:t>
            </w:r>
          </w:p>
        </w:tc>
        <w:tc>
          <w:tcPr>
            <w:tcW w:type="dxa" w:w="1176"/>
            <w:shd w:val="clear" w:color="auto" w:fill="2E74B5"/>
          </w:tcPr>
          <w:p>
            <w:r>
              <w:rPr>
                <w:rFonts w:ascii="Meiryo UI" w:hAnsi="Meiryo UI"/>
                <w:b/>
                <w:color w:val="FFFFFF"/>
                <w:sz w:val="18"/>
              </w:rPr>
              <w:t>ティッカー</w:t>
            </w:r>
          </w:p>
        </w:tc>
        <w:tc>
          <w:tcPr>
            <w:tcW w:type="dxa" w:w="1176"/>
            <w:shd w:val="clear" w:color="auto" w:fill="2E74B5"/>
          </w:tcPr>
          <w:p>
            <w:r>
              <w:rPr>
                <w:rFonts w:ascii="Meiryo UI" w:hAnsi="Meiryo UI"/>
                <w:b/>
                <w:color w:val="FFFFFF"/>
                <w:sz w:val="18"/>
              </w:rPr>
              <w:t>PER</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ナフサ感応度</w:t>
            </w:r>
          </w:p>
        </w:tc>
        <w:tc>
          <w:tcPr>
            <w:tcW w:type="dxa" w:w="1176"/>
            <w:shd w:val="clear" w:color="auto" w:fill="2E74B5"/>
          </w:tcPr>
          <w:p>
            <w:r>
              <w:rPr>
                <w:rFonts w:ascii="Meiryo UI" w:hAnsi="Meiryo UI"/>
                <w:b/>
                <w:color w:val="FFFFFF"/>
                <w:sz w:val="18"/>
              </w:rPr>
              <w:t>GLP-1中間体</w:t>
            </w:r>
          </w:p>
        </w:tc>
        <w:tc>
          <w:tcPr>
            <w:tcW w:type="dxa" w:w="1176"/>
            <w:shd w:val="clear" w:color="auto" w:fill="2E74B5"/>
          </w:tcPr>
          <w:p>
            <w:r>
              <w:rPr>
                <w:rFonts w:ascii="Meiryo UI" w:hAnsi="Meiryo UI"/>
                <w:b/>
                <w:color w:val="FFFFFF"/>
                <w:sz w:val="18"/>
              </w:rPr>
              <w:t>コメント</w:t>
            </w:r>
          </w:p>
        </w:tc>
      </w:tr>
      <w:tr>
        <w:tc>
          <w:tcPr>
            <w:tcW w:type="dxa" w:w="1176"/>
          </w:tcPr>
          <w:p>
            <w:r>
              <w:rPr>
                <w:rFonts w:ascii="Meiryo UI" w:hAnsi="Meiryo UI"/>
                <w:sz w:val="18"/>
              </w:rPr>
              <w:t>大阪ソーダ</w:t>
            </w:r>
          </w:p>
        </w:tc>
        <w:tc>
          <w:tcPr>
            <w:tcW w:type="dxa" w:w="1176"/>
          </w:tcPr>
          <w:p>
            <w:r>
              <w:rPr>
                <w:rFonts w:ascii="Meiryo UI" w:hAnsi="Meiryo UI"/>
                <w:sz w:val="18"/>
              </w:rPr>
              <w:t>4046</w:t>
            </w:r>
          </w:p>
        </w:tc>
        <w:tc>
          <w:tcPr>
            <w:tcW w:type="dxa" w:w="1176"/>
          </w:tcPr>
          <w:p>
            <w:r>
              <w:rPr>
                <w:rFonts w:ascii="Meiryo UI" w:hAnsi="Meiryo UI"/>
                <w:sz w:val="18"/>
              </w:rPr>
              <w:t>18.2×</w:t>
            </w:r>
          </w:p>
        </w:tc>
        <w:tc>
          <w:tcPr>
            <w:tcW w:type="dxa" w:w="1176"/>
          </w:tcPr>
          <w:p>
            <w:r>
              <w:rPr>
                <w:rFonts w:ascii="Meiryo UI" w:hAnsi="Meiryo UI"/>
                <w:sz w:val="18"/>
              </w:rPr>
              <w:t>1.77×</w:t>
            </w:r>
          </w:p>
        </w:tc>
        <w:tc>
          <w:tcPr>
            <w:tcW w:type="dxa" w:w="1176"/>
          </w:tcPr>
          <w:p>
            <w:r>
              <w:rPr>
                <w:rFonts w:ascii="Meiryo UI" w:hAnsi="Meiryo UI"/>
                <w:sz w:val="18"/>
              </w:rPr>
              <w:t>10.9%</w:t>
            </w:r>
          </w:p>
        </w:tc>
        <w:tc>
          <w:tcPr>
            <w:tcW w:type="dxa" w:w="1176"/>
          </w:tcPr>
          <w:p>
            <w:r>
              <w:rPr>
                <w:rFonts w:ascii="Meiryo UI" w:hAnsi="Meiryo UI"/>
                <w:sz w:val="18"/>
              </w:rPr>
              <w:t>高</w:t>
            </w:r>
          </w:p>
        </w:tc>
        <w:tc>
          <w:tcPr>
            <w:tcW w:type="dxa" w:w="1176"/>
          </w:tcPr>
          <w:p>
            <w:r>
              <w:rPr>
                <w:rFonts w:ascii="Meiryo UI" w:hAnsi="Meiryo UI"/>
                <w:sz w:val="18"/>
              </w:rPr>
              <w:t>◎（中核）</w:t>
            </w:r>
          </w:p>
        </w:tc>
        <w:tc>
          <w:tcPr>
            <w:tcW w:type="dxa" w:w="1176"/>
          </w:tcPr>
          <w:p>
            <w:r>
              <w:rPr>
                <w:rFonts w:ascii="Meiryo UI" w:hAnsi="Meiryo UI"/>
                <w:sz w:val="18"/>
              </w:rPr>
              <w:t>GLP-1独自性が最大の差別化</w:t>
            </w:r>
          </w:p>
        </w:tc>
      </w:tr>
      <w:tr>
        <w:tc>
          <w:tcPr>
            <w:tcW w:type="dxa" w:w="1176"/>
            <w:shd w:val="clear" w:color="auto" w:fill="DDEBF7"/>
          </w:tcPr>
          <w:p>
            <w:r>
              <w:rPr>
                <w:rFonts w:ascii="Meiryo UI" w:hAnsi="Meiryo UI"/>
                <w:sz w:val="18"/>
              </w:rPr>
              <w:t>東ソー</w:t>
            </w:r>
          </w:p>
        </w:tc>
        <w:tc>
          <w:tcPr>
            <w:tcW w:type="dxa" w:w="1176"/>
            <w:shd w:val="clear" w:color="auto" w:fill="DDEBF7"/>
          </w:tcPr>
          <w:p>
            <w:r>
              <w:rPr>
                <w:rFonts w:ascii="Meiryo UI" w:hAnsi="Meiryo UI"/>
                <w:sz w:val="18"/>
              </w:rPr>
              <w:t>4042</w:t>
            </w:r>
          </w:p>
        </w:tc>
        <w:tc>
          <w:tcPr>
            <w:tcW w:type="dxa" w:w="1176"/>
            <w:shd w:val="clear" w:color="auto" w:fill="DDEBF7"/>
          </w:tcPr>
          <w:p>
            <w:r>
              <w:rPr>
                <w:rFonts w:ascii="Meiryo UI" w:hAnsi="Meiryo UI"/>
                <w:sz w:val="18"/>
              </w:rPr>
              <w:t>14〜16×</w:t>
            </w:r>
          </w:p>
        </w:tc>
        <w:tc>
          <w:tcPr>
            <w:tcW w:type="dxa" w:w="1176"/>
            <w:shd w:val="clear" w:color="auto" w:fill="DDEBF7"/>
          </w:tcPr>
          <w:p>
            <w:r>
              <w:rPr>
                <w:rFonts w:ascii="Meiryo UI" w:hAnsi="Meiryo UI"/>
                <w:sz w:val="18"/>
              </w:rPr>
              <w:t>1.0〜1.3×</w:t>
            </w:r>
          </w:p>
        </w:tc>
        <w:tc>
          <w:tcPr>
            <w:tcW w:type="dxa" w:w="1176"/>
            <w:shd w:val="clear" w:color="auto" w:fill="DDEBF7"/>
          </w:tcPr>
          <w:p>
            <w:r>
              <w:rPr>
                <w:rFonts w:ascii="Meiryo UI" w:hAnsi="Meiryo UI"/>
                <w:sz w:val="18"/>
              </w:rPr>
              <w:t>7〜9%</w:t>
            </w:r>
          </w:p>
        </w:tc>
        <w:tc>
          <w:tcPr>
            <w:tcW w:type="dxa" w:w="1176"/>
            <w:shd w:val="clear" w:color="auto" w:fill="DDEBF7"/>
          </w:tcPr>
          <w:p>
            <w:r>
              <w:rPr>
                <w:rFonts w:ascii="Meiryo UI" w:hAnsi="Meiryo UI"/>
                <w:sz w:val="18"/>
              </w:rPr>
              <w:t>高</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規模大・収益性やや低</w:t>
            </w:r>
          </w:p>
        </w:tc>
      </w:tr>
      <w:tr>
        <w:tc>
          <w:tcPr>
            <w:tcW w:type="dxa" w:w="1176"/>
          </w:tcPr>
          <w:p>
            <w:r>
              <w:rPr>
                <w:rFonts w:ascii="Meiryo UI" w:hAnsi="Meiryo UI"/>
                <w:sz w:val="18"/>
              </w:rPr>
              <w:t>カネカ</w:t>
            </w:r>
          </w:p>
        </w:tc>
        <w:tc>
          <w:tcPr>
            <w:tcW w:type="dxa" w:w="1176"/>
          </w:tcPr>
          <w:p>
            <w:r>
              <w:rPr>
                <w:rFonts w:ascii="Meiryo UI" w:hAnsi="Meiryo UI"/>
                <w:sz w:val="18"/>
              </w:rPr>
              <w:t>4118</w:t>
            </w:r>
          </w:p>
        </w:tc>
        <w:tc>
          <w:tcPr>
            <w:tcW w:type="dxa" w:w="1176"/>
          </w:tcPr>
          <w:p>
            <w:r>
              <w:rPr>
                <w:rFonts w:ascii="Meiryo UI" w:hAnsi="Meiryo UI"/>
                <w:sz w:val="18"/>
              </w:rPr>
              <w:t>15〜18×</w:t>
            </w:r>
          </w:p>
        </w:tc>
        <w:tc>
          <w:tcPr>
            <w:tcW w:type="dxa" w:w="1176"/>
          </w:tcPr>
          <w:p>
            <w:r>
              <w:rPr>
                <w:rFonts w:ascii="Meiryo UI" w:hAnsi="Meiryo UI"/>
                <w:sz w:val="18"/>
              </w:rPr>
              <w:t>1.0〜1.5×</w:t>
            </w:r>
          </w:p>
        </w:tc>
        <w:tc>
          <w:tcPr>
            <w:tcW w:type="dxa" w:w="1176"/>
          </w:tcPr>
          <w:p>
            <w:r>
              <w:rPr>
                <w:rFonts w:ascii="Meiryo UI" w:hAnsi="Meiryo UI"/>
                <w:sz w:val="18"/>
              </w:rPr>
              <w:t>6〜9%</w:t>
            </w:r>
          </w:p>
        </w:tc>
        <w:tc>
          <w:tcPr>
            <w:tcW w:type="dxa" w:w="1176"/>
          </w:tcPr>
          <w:p>
            <w:r>
              <w:rPr>
                <w:rFonts w:ascii="Meiryo UI" w:hAnsi="Meiryo UI"/>
                <w:sz w:val="18"/>
              </w:rPr>
              <w:t>中〜高</w:t>
            </w:r>
          </w:p>
        </w:tc>
        <w:tc>
          <w:tcPr>
            <w:tcW w:type="dxa" w:w="1176"/>
          </w:tcPr>
          <w:p>
            <w:r>
              <w:rPr>
                <w:rFonts w:ascii="Meiryo UI" w:hAnsi="Meiryo UI"/>
                <w:sz w:val="18"/>
              </w:rPr>
              <w:t>○</w:t>
            </w:r>
          </w:p>
        </w:tc>
        <w:tc>
          <w:tcPr>
            <w:tcW w:type="dxa" w:w="1176"/>
          </w:tcPr>
          <w:p>
            <w:r>
              <w:rPr>
                <w:rFonts w:ascii="Meiryo UI" w:hAnsi="Meiryo UI"/>
                <w:sz w:val="18"/>
              </w:rPr>
              <w:t>CoQ10等医薬品有</w:t>
            </w:r>
          </w:p>
        </w:tc>
      </w:tr>
      <w:tr>
        <w:tc>
          <w:tcPr>
            <w:tcW w:type="dxa" w:w="1176"/>
            <w:shd w:val="clear" w:color="auto" w:fill="DDEBF7"/>
          </w:tcPr>
          <w:p>
            <w:r>
              <w:rPr>
                <w:rFonts w:ascii="Meiryo UI" w:hAnsi="Meiryo UI"/>
                <w:sz w:val="18"/>
              </w:rPr>
              <w:t>信越化学</w:t>
            </w:r>
          </w:p>
        </w:tc>
        <w:tc>
          <w:tcPr>
            <w:tcW w:type="dxa" w:w="1176"/>
            <w:shd w:val="clear" w:color="auto" w:fill="DDEBF7"/>
          </w:tcPr>
          <w:p>
            <w:r>
              <w:rPr>
                <w:rFonts w:ascii="Meiryo UI" w:hAnsi="Meiryo UI"/>
                <w:sz w:val="18"/>
              </w:rPr>
              <w:t>4063</w:t>
            </w:r>
          </w:p>
        </w:tc>
        <w:tc>
          <w:tcPr>
            <w:tcW w:type="dxa" w:w="1176"/>
            <w:shd w:val="clear" w:color="auto" w:fill="DDEBF7"/>
          </w:tcPr>
          <w:p>
            <w:r>
              <w:rPr>
                <w:rFonts w:ascii="Meiryo UI" w:hAnsi="Meiryo UI"/>
                <w:sz w:val="18"/>
              </w:rPr>
              <w:t>18〜22×</w:t>
            </w:r>
          </w:p>
        </w:tc>
        <w:tc>
          <w:tcPr>
            <w:tcW w:type="dxa" w:w="1176"/>
            <w:shd w:val="clear" w:color="auto" w:fill="DDEBF7"/>
          </w:tcPr>
          <w:p>
            <w:r>
              <w:rPr>
                <w:rFonts w:ascii="Meiryo UI" w:hAnsi="Meiryo UI"/>
                <w:sz w:val="18"/>
              </w:rPr>
              <w:t>2.5〜3.5×</w:t>
            </w:r>
          </w:p>
        </w:tc>
        <w:tc>
          <w:tcPr>
            <w:tcW w:type="dxa" w:w="1176"/>
            <w:shd w:val="clear" w:color="auto" w:fill="DDEBF7"/>
          </w:tcPr>
          <w:p>
            <w:r>
              <w:rPr>
                <w:rFonts w:ascii="Meiryo UI" w:hAnsi="Meiryo UI"/>
                <w:sz w:val="18"/>
              </w:rPr>
              <w:t>14〜18%</w:t>
            </w:r>
          </w:p>
        </w:tc>
        <w:tc>
          <w:tcPr>
            <w:tcW w:type="dxa" w:w="1176"/>
            <w:shd w:val="clear" w:color="auto" w:fill="DDEBF7"/>
          </w:tcPr>
          <w:p>
            <w:r>
              <w:rPr>
                <w:rFonts w:ascii="Meiryo UI" w:hAnsi="Meiryo UI"/>
                <w:sz w:val="18"/>
              </w:rPr>
              <w:t>低（塩ビ主体）</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圧倒的ROE・別格</w:t>
            </w:r>
          </w:p>
        </w:tc>
      </w:tr>
      <w:tr>
        <w:tc>
          <w:tcPr>
            <w:tcW w:type="dxa" w:w="1176"/>
          </w:tcPr>
          <w:p>
            <w:r>
              <w:rPr>
                <w:rFonts w:ascii="Meiryo UI" w:hAnsi="Meiryo UI"/>
                <w:sz w:val="18"/>
              </w:rPr>
              <w:t>積水化学（4204）</w:t>
            </w:r>
          </w:p>
        </w:tc>
        <w:tc>
          <w:tcPr>
            <w:tcW w:type="dxa" w:w="1176"/>
          </w:tcPr>
          <w:p>
            <w:r>
              <w:rPr>
                <w:rFonts w:ascii="Meiryo UI" w:hAnsi="Meiryo UI"/>
                <w:sz w:val="18"/>
              </w:rPr>
              <w:t>4204</w:t>
            </w:r>
          </w:p>
        </w:tc>
        <w:tc>
          <w:tcPr>
            <w:tcW w:type="dxa" w:w="1176"/>
          </w:tcPr>
          <w:p>
            <w:r>
              <w:rPr>
                <w:rFonts w:ascii="Meiryo UI" w:hAnsi="Meiryo UI"/>
                <w:sz w:val="18"/>
              </w:rPr>
              <w:t>15〜17×</w:t>
            </w:r>
          </w:p>
        </w:tc>
        <w:tc>
          <w:tcPr>
            <w:tcW w:type="dxa" w:w="1176"/>
          </w:tcPr>
          <w:p>
            <w:r>
              <w:rPr>
                <w:rFonts w:ascii="Meiryo UI" w:hAnsi="Meiryo UI"/>
                <w:sz w:val="18"/>
              </w:rPr>
              <w:t>1.5〜2.0×</w:t>
            </w:r>
          </w:p>
        </w:tc>
        <w:tc>
          <w:tcPr>
            <w:tcW w:type="dxa" w:w="1176"/>
          </w:tcPr>
          <w:p>
            <w:r>
              <w:rPr>
                <w:rFonts w:ascii="Meiryo UI" w:hAnsi="Meiryo UI"/>
                <w:sz w:val="18"/>
              </w:rPr>
              <w:t>9〜11%</w:t>
            </w:r>
          </w:p>
        </w:tc>
        <w:tc>
          <w:tcPr>
            <w:tcW w:type="dxa" w:w="1176"/>
          </w:tcPr>
          <w:p>
            <w:r>
              <w:rPr>
                <w:rFonts w:ascii="Meiryo UI" w:hAnsi="Meiryo UI"/>
                <w:sz w:val="18"/>
              </w:rPr>
              <w:t>高</w:t>
            </w:r>
          </w:p>
        </w:tc>
        <w:tc>
          <w:tcPr>
            <w:tcW w:type="dxa" w:w="1176"/>
          </w:tcPr>
          <w:p>
            <w:r>
              <w:rPr>
                <w:rFonts w:ascii="Meiryo UI" w:hAnsi="Meiryo UI"/>
                <w:sz w:val="18"/>
              </w:rPr>
              <w:t>△</w:t>
            </w:r>
          </w:p>
        </w:tc>
        <w:tc>
          <w:tcPr>
            <w:tcW w:type="dxa" w:w="1176"/>
          </w:tcPr>
          <w:p>
            <w:r>
              <w:rPr>
                <w:rFonts w:ascii="Meiryo UI" w:hAnsi="Meiryo UI"/>
                <w:sz w:val="18"/>
              </w:rPr>
              <w:t>優先度4・住宅・パイプ主体</w:t>
            </w:r>
          </w:p>
        </w:tc>
      </w:tr>
    </w:tbl>
    <w:p/>
    <w:p>
      <w:pPr>
        <w:pStyle w:val="Heading3"/>
      </w:pPr>
      <w:r>
        <w:rPr>
          <w:rFonts w:ascii="Meiryo UI" w:hAnsi="Meiryo UI"/>
          <w:color w:val="2E74B5"/>
        </w:rPr>
        <w:t>8-2. 積水化学（4204）vs 大阪ソーダ（4046）比較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積水化学（4204）優先度4</w:t>
            </w:r>
          </w:p>
        </w:tc>
        <w:tc>
          <w:tcPr>
            <w:tcW w:type="dxa" w:w="3135"/>
            <w:shd w:val="clear" w:color="auto" w:fill="2E74B5"/>
          </w:tcPr>
          <w:p>
            <w:r>
              <w:rPr>
                <w:rFonts w:ascii="Meiryo UI" w:hAnsi="Meiryo UI"/>
                <w:b/>
                <w:color w:val="FFFFFF"/>
                <w:sz w:val="18"/>
              </w:rPr>
              <w:t>大阪ソーダ（4046）優先度5</w:t>
            </w:r>
          </w:p>
        </w:tc>
      </w:tr>
      <w:tr>
        <w:tc>
          <w:tcPr>
            <w:tcW w:type="dxa" w:w="3135"/>
          </w:tcPr>
          <w:p>
            <w:r>
              <w:rPr>
                <w:rFonts w:ascii="Meiryo UI" w:hAnsi="Meiryo UI"/>
                <w:sz w:val="18"/>
              </w:rPr>
              <w:t>成長テーマ独自性</w:t>
            </w:r>
          </w:p>
        </w:tc>
        <w:tc>
          <w:tcPr>
            <w:tcW w:type="dxa" w:w="3135"/>
          </w:tcPr>
          <w:p>
            <w:r>
              <w:rPr>
                <w:rFonts w:ascii="Meiryo UI" w:hAnsi="Meiryo UI"/>
                <w:sz w:val="18"/>
              </w:rPr>
              <w:t>住宅×省エネ・インフラ更新</w:t>
            </w:r>
          </w:p>
        </w:tc>
        <w:tc>
          <w:tcPr>
            <w:tcW w:type="dxa" w:w="3135"/>
          </w:tcPr>
          <w:p>
            <w:r>
              <w:rPr>
                <w:rFonts w:ascii="Meiryo UI" w:hAnsi="Meiryo UI"/>
                <w:sz w:val="18"/>
              </w:rPr>
              <w:t>GLP-1中間体（独自性高）</w:t>
            </w:r>
          </w:p>
        </w:tc>
      </w:tr>
      <w:tr>
        <w:tc>
          <w:tcPr>
            <w:tcW w:type="dxa" w:w="3135"/>
            <w:shd w:val="clear" w:color="auto" w:fill="DDEBF7"/>
          </w:tcPr>
          <w:p>
            <w:r>
              <w:rPr>
                <w:rFonts w:ascii="Meiryo UI" w:hAnsi="Meiryo UI"/>
                <w:sz w:val="18"/>
              </w:rPr>
              <w:t>ナフサ感応度</w:t>
            </w:r>
          </w:p>
        </w:tc>
        <w:tc>
          <w:tcPr>
            <w:tcW w:type="dxa" w:w="3135"/>
            <w:shd w:val="clear" w:color="auto" w:fill="DDEBF7"/>
          </w:tcPr>
          <w:p>
            <w:r>
              <w:rPr>
                <w:rFonts w:ascii="Meiryo UI" w:hAnsi="Meiryo UI"/>
                <w:sz w:val="18"/>
              </w:rPr>
              <w:t>高（ポリエチレン・樹脂系）</w:t>
            </w:r>
          </w:p>
        </w:tc>
        <w:tc>
          <w:tcPr>
            <w:tcW w:type="dxa" w:w="3135"/>
            <w:shd w:val="clear" w:color="auto" w:fill="DDEBF7"/>
          </w:tcPr>
          <w:p>
            <w:r>
              <w:rPr>
                <w:rFonts w:ascii="Meiryo UI" w:hAnsi="Meiryo UI"/>
                <w:sz w:val="18"/>
              </w:rPr>
              <w:t>高（クロールアルカリ・有機化学）</w:t>
            </w:r>
          </w:p>
        </w:tc>
      </w:tr>
      <w:tr>
        <w:tc>
          <w:tcPr>
            <w:tcW w:type="dxa" w:w="3135"/>
          </w:tcPr>
          <w:p>
            <w:r>
              <w:rPr>
                <w:rFonts w:ascii="Meiryo UI" w:hAnsi="Meiryo UI"/>
                <w:sz w:val="18"/>
              </w:rPr>
              <w:t>利益の安定性</w:t>
            </w:r>
          </w:p>
        </w:tc>
        <w:tc>
          <w:tcPr>
            <w:tcW w:type="dxa" w:w="3135"/>
          </w:tcPr>
          <w:p>
            <w:r>
              <w:rPr>
                <w:rFonts w:ascii="Meiryo UI" w:hAnsi="Meiryo UI"/>
                <w:sz w:val="18"/>
              </w:rPr>
              <w:t>高（住宅・インフラは景気耐性）</w:t>
            </w:r>
          </w:p>
        </w:tc>
        <w:tc>
          <w:tcPr>
            <w:tcW w:type="dxa" w:w="3135"/>
          </w:tcPr>
          <w:p>
            <w:r>
              <w:rPr>
                <w:rFonts w:ascii="Meiryo UI" w:hAnsi="Meiryo UI"/>
                <w:sz w:val="18"/>
              </w:rPr>
              <w:t>中（市況連動大）</w:t>
            </w:r>
          </w:p>
        </w:tc>
      </w:tr>
      <w:tr>
        <w:tc>
          <w:tcPr>
            <w:tcW w:type="dxa" w:w="3135"/>
            <w:shd w:val="clear" w:color="auto" w:fill="DDEBF7"/>
          </w:tcPr>
          <w:p>
            <w:r>
              <w:rPr>
                <w:rFonts w:ascii="Meiryo UI" w:hAnsi="Meiryo UI"/>
                <w:sz w:val="18"/>
              </w:rPr>
              <w:t>成長ポテンシャル</w:t>
            </w:r>
          </w:p>
        </w:tc>
        <w:tc>
          <w:tcPr>
            <w:tcW w:type="dxa" w:w="3135"/>
            <w:shd w:val="clear" w:color="auto" w:fill="DDEBF7"/>
          </w:tcPr>
          <w:p>
            <w:r>
              <w:rPr>
                <w:rFonts w:ascii="Meiryo UI" w:hAnsi="Meiryo UI"/>
                <w:sz w:val="18"/>
              </w:rPr>
              <w:t>中（成熟市場×省エネ）</w:t>
            </w:r>
          </w:p>
        </w:tc>
        <w:tc>
          <w:tcPr>
            <w:tcW w:type="dxa" w:w="3135"/>
            <w:shd w:val="clear" w:color="auto" w:fill="DDEBF7"/>
          </w:tcPr>
          <w:p>
            <w:r>
              <w:rPr>
                <w:rFonts w:ascii="Meiryo UI" w:hAnsi="Meiryo UI"/>
                <w:sz w:val="18"/>
              </w:rPr>
              <w:t>高（GLP-1市場$100B）</w:t>
            </w:r>
          </w:p>
        </w:tc>
      </w:tr>
      <w:tr>
        <w:tc>
          <w:tcPr>
            <w:tcW w:type="dxa" w:w="3135"/>
          </w:tcPr>
          <w:p>
            <w:r>
              <w:rPr>
                <w:rFonts w:ascii="Meiryo UI" w:hAnsi="Meiryo UI"/>
                <w:sz w:val="18"/>
              </w:rPr>
              <w:t>バリュエーション</w:t>
            </w:r>
          </w:p>
        </w:tc>
        <w:tc>
          <w:tcPr>
            <w:tcW w:type="dxa" w:w="3135"/>
          </w:tcPr>
          <w:p>
            <w:r>
              <w:rPr>
                <w:rFonts w:ascii="Meiryo UI" w:hAnsi="Meiryo UI"/>
                <w:sz w:val="18"/>
              </w:rPr>
              <w:t>やや割安</w:t>
            </w:r>
          </w:p>
        </w:tc>
        <w:tc>
          <w:tcPr>
            <w:tcW w:type="dxa" w:w="3135"/>
          </w:tcPr>
          <w:p>
            <w:r>
              <w:rPr>
                <w:rFonts w:ascii="Meiryo UI" w:hAnsi="Meiryo UI"/>
                <w:sz w:val="18"/>
              </w:rPr>
              <w:t>適正〜やや割安</w:t>
            </w:r>
          </w:p>
        </w:tc>
      </w:tr>
      <w:tr>
        <w:tc>
          <w:tcPr>
            <w:tcW w:type="dxa" w:w="3135"/>
            <w:shd w:val="clear" w:color="auto" w:fill="DDEBF7"/>
          </w:tcPr>
          <w:p>
            <w:r>
              <w:rPr>
                <w:rFonts w:ascii="Meiryo UI" w:hAnsi="Meiryo UI"/>
                <w:sz w:val="18"/>
              </w:rPr>
              <w:t>投資推奨</w:t>
            </w:r>
          </w:p>
        </w:tc>
        <w:tc>
          <w:tcPr>
            <w:tcW w:type="dxa" w:w="3135"/>
            <w:shd w:val="clear" w:color="auto" w:fill="DDEBF7"/>
          </w:tcPr>
          <w:p>
            <w:r>
              <w:rPr>
                <w:rFonts w:ascii="Meiryo UI" w:hAnsi="Meiryo UI"/>
                <w:sz w:val="18"/>
              </w:rPr>
              <w:t>優先度4（先行エントリー可）</w:t>
            </w:r>
          </w:p>
        </w:tc>
        <w:tc>
          <w:tcPr>
            <w:tcW w:type="dxa" w:w="3135"/>
            <w:shd w:val="clear" w:color="auto" w:fill="DDEBF7"/>
          </w:tcPr>
          <w:p>
            <w:r>
              <w:rPr>
                <w:rFonts w:ascii="Meiryo UI" w:hAnsi="Meiryo UI"/>
                <w:sz w:val="18"/>
              </w:rPr>
              <w:t>優先度5（ナフサ正常化待ち）</w:t>
            </w:r>
          </w:p>
        </w:tc>
      </w:tr>
    </w:tbl>
    <w:p/>
    <w:p>
      <w:r>
        <w:rPr>
          <w:rFonts w:ascii="Meiryo UI" w:hAnsi="Meiryo UI"/>
          <w:sz w:val="20"/>
        </w:rPr>
        <w:t>→ 投資優先順位：積水化学（4204）&gt; 大阪ソーダ（4046）</w:t>
      </w:r>
    </w:p>
    <w:p>
      <w:r>
        <w:rPr>
          <w:rFonts w:ascii="Meiryo UI" w:hAnsi="Meiryo UI"/>
          <w:sz w:val="20"/>
        </w:rPr>
        <w:t>理由：積水化学は成長テーマの確実性と利益安定性でリスク調整後リターンが優位。ただし大阪ソーダのGLP-1テーマのアップサイドポテンシャルは上回る。</w:t>
      </w:r>
    </w:p>
    <w:p/>
    <w:p>
      <w:r>
        <w:t>──────────────────────────────────────────────────</w:t>
      </w:r>
    </w:p>
    <w:p/>
    <w:p>
      <w:pPr>
        <w:pStyle w:val="Heading2"/>
      </w:pPr>
      <w:r>
        <w:rPr>
          <w:rFonts w:ascii="Meiryo UI" w:hAnsi="Meiryo UI"/>
          <w:color w:val="2E74B5"/>
        </w:rPr>
        <w:t>第9章　リスクシナリオ詳細</w:t>
      </w:r>
    </w:p>
    <w:p/>
    <w:p>
      <w:pPr>
        <w:pStyle w:val="Heading3"/>
      </w:pPr>
      <w:r>
        <w:rPr>
          <w:rFonts w:ascii="Meiryo UI" w:hAnsi="Meiryo UI"/>
          <w:color w:val="2E74B5"/>
        </w:rPr>
        <w:t>リスクマトリクス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インパクト</w:t>
            </w:r>
          </w:p>
        </w:tc>
        <w:tc>
          <w:tcPr>
            <w:tcW w:type="dxa" w:w="1881"/>
            <w:shd w:val="clear" w:color="auto" w:fill="2E74B5"/>
          </w:tcPr>
          <w:p>
            <w:r>
              <w:rPr>
                <w:rFonts w:ascii="Meiryo UI" w:hAnsi="Meiryo UI"/>
                <w:b/>
                <w:color w:val="FFFFFF"/>
                <w:sz w:val="18"/>
              </w:rPr>
              <w:t>総合リスク</w:t>
            </w:r>
          </w:p>
        </w:tc>
        <w:tc>
          <w:tcPr>
            <w:tcW w:type="dxa" w:w="1881"/>
            <w:shd w:val="clear" w:color="auto" w:fill="2E74B5"/>
          </w:tcPr>
          <w:p>
            <w:r>
              <w:rPr>
                <w:rFonts w:ascii="Meiryo UI" w:hAnsi="Meiryo UI"/>
                <w:b/>
                <w:color w:val="FFFFFF"/>
                <w:sz w:val="18"/>
              </w:rPr>
              <w:t>対応策</w:t>
            </w:r>
          </w:p>
        </w:tc>
      </w:tr>
      <w:tr>
        <w:tc>
          <w:tcPr>
            <w:tcW w:type="dxa" w:w="1881"/>
          </w:tcPr>
          <w:p>
            <w:r>
              <w:rPr>
                <w:rFonts w:ascii="Meiryo UI" w:hAnsi="Meiryo UI"/>
                <w:sz w:val="18"/>
              </w:rPr>
              <w:t>次世代高吸収経口分子でAPI量激減</w:t>
            </w:r>
          </w:p>
        </w:tc>
        <w:tc>
          <w:tcPr>
            <w:tcW w:type="dxa" w:w="1881"/>
          </w:tcPr>
          <w:p>
            <w:r>
              <w:rPr>
                <w:rFonts w:ascii="Meiryo UI" w:hAnsi="Meiryo UI"/>
                <w:sz w:val="18"/>
              </w:rPr>
              <w:t>25%</w:t>
            </w:r>
          </w:p>
        </w:tc>
        <w:tc>
          <w:tcPr>
            <w:tcW w:type="dxa" w:w="1881"/>
          </w:tcPr>
          <w:p>
            <w:r>
              <w:rPr>
                <w:rFonts w:ascii="Meiryo UI" w:hAnsi="Meiryo UI"/>
                <w:sz w:val="18"/>
              </w:rPr>
              <w:t>大</w:t>
            </w:r>
          </w:p>
        </w:tc>
        <w:tc>
          <w:tcPr>
            <w:tcW w:type="dxa" w:w="1881"/>
          </w:tcPr>
          <w:p>
            <w:r>
              <w:rPr>
                <w:rFonts w:ascii="Meiryo UI" w:hAnsi="Meiryo UI"/>
                <w:sz w:val="18"/>
              </w:rPr>
              <w:t>高</w:t>
            </w:r>
          </w:p>
        </w:tc>
        <w:tc>
          <w:tcPr>
            <w:tcW w:type="dxa" w:w="1881"/>
          </w:tcPr>
          <w:p>
            <w:r>
              <w:rPr>
                <w:rFonts w:ascii="Meiryo UI" w:hAnsi="Meiryo UI"/>
                <w:sz w:val="18"/>
              </w:rPr>
              <w:t>2028年以降モニタリング必須</w:t>
            </w:r>
          </w:p>
        </w:tc>
      </w:tr>
      <w:tr>
        <w:tc>
          <w:tcPr>
            <w:tcW w:type="dxa" w:w="1881"/>
            <w:shd w:val="clear" w:color="auto" w:fill="DDEBF7"/>
          </w:tcPr>
          <w:p>
            <w:r>
              <w:rPr>
                <w:rFonts w:ascii="Meiryo UI" w:hAnsi="Meiryo UI"/>
                <w:sz w:val="18"/>
              </w:rPr>
              <w:t>製薬大手の内製化（垂直統合）</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長期契約の有無確認</w:t>
            </w:r>
          </w:p>
        </w:tc>
      </w:tr>
      <w:tr>
        <w:tc>
          <w:tcPr>
            <w:tcW w:type="dxa" w:w="1881"/>
          </w:tcPr>
          <w:p>
            <w:r>
              <w:rPr>
                <w:rFonts w:ascii="Meiryo UI" w:hAnsi="Meiryo UI"/>
                <w:sz w:val="18"/>
              </w:rPr>
              <w:t>ナフサ高継続（ホルムズ長期化）</w:t>
            </w:r>
          </w:p>
        </w:tc>
        <w:tc>
          <w:tcPr>
            <w:tcW w:type="dxa" w:w="1881"/>
          </w:tcPr>
          <w:p>
            <w:r>
              <w:rPr>
                <w:rFonts w:ascii="Meiryo UI" w:hAnsi="Meiryo UI"/>
                <w:sz w:val="18"/>
              </w:rPr>
              <w:t>35%</w:t>
            </w:r>
          </w:p>
        </w:tc>
        <w:tc>
          <w:tcPr>
            <w:tcW w:type="dxa" w:w="1881"/>
          </w:tcPr>
          <w:p>
            <w:r>
              <w:rPr>
                <w:rFonts w:ascii="Meiryo UI" w:hAnsi="Meiryo UI"/>
                <w:sz w:val="18"/>
              </w:rPr>
              <w:t>大</w:t>
            </w:r>
          </w:p>
        </w:tc>
        <w:tc>
          <w:tcPr>
            <w:tcW w:type="dxa" w:w="1881"/>
          </w:tcPr>
          <w:p>
            <w:r>
              <w:rPr>
                <w:rFonts w:ascii="Meiryo UI" w:hAnsi="Meiryo UI"/>
                <w:sz w:val="18"/>
              </w:rPr>
              <w:t>高（最大リスク）</w:t>
            </w:r>
          </w:p>
        </w:tc>
        <w:tc>
          <w:tcPr>
            <w:tcW w:type="dxa" w:w="1881"/>
          </w:tcPr>
          <w:p>
            <w:r>
              <w:rPr>
                <w:rFonts w:ascii="Meiryo UI" w:hAnsi="Meiryo UI"/>
                <w:sz w:val="18"/>
              </w:rPr>
              <w:t>ナフサ先物ヘッジ状況確認</w:t>
            </w:r>
          </w:p>
        </w:tc>
      </w:tr>
      <w:tr>
        <w:tc>
          <w:tcPr>
            <w:tcW w:type="dxa" w:w="1881"/>
            <w:shd w:val="clear" w:color="auto" w:fill="DDEBF7"/>
          </w:tcPr>
          <w:p>
            <w:r>
              <w:rPr>
                <w:rFonts w:ascii="Meiryo UI" w:hAnsi="Meiryo UI"/>
                <w:sz w:val="18"/>
              </w:rPr>
              <w:t>中国安値競合（API中間体）</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中〜大</w:t>
            </w:r>
          </w:p>
        </w:tc>
        <w:tc>
          <w:tcPr>
            <w:tcW w:type="dxa" w:w="1881"/>
            <w:shd w:val="clear" w:color="auto" w:fill="DDEBF7"/>
          </w:tcPr>
          <w:p>
            <w:r>
              <w:rPr>
                <w:rFonts w:ascii="Meiryo UI" w:hAnsi="Meiryo UI"/>
                <w:sz w:val="18"/>
              </w:rPr>
              <w:t>高</w:t>
            </w:r>
          </w:p>
        </w:tc>
        <w:tc>
          <w:tcPr>
            <w:tcW w:type="dxa" w:w="1881"/>
            <w:shd w:val="clear" w:color="auto" w:fill="DDEBF7"/>
          </w:tcPr>
          <w:p>
            <w:r>
              <w:rPr>
                <w:rFonts w:ascii="Meiryo UI" w:hAnsi="Meiryo UI"/>
                <w:sz w:val="18"/>
              </w:rPr>
              <w:t>GMPバリア・品質での差別化</w:t>
            </w:r>
          </w:p>
        </w:tc>
      </w:tr>
      <w:tr>
        <w:tc>
          <w:tcPr>
            <w:tcW w:type="dxa" w:w="1881"/>
          </w:tcPr>
          <w:p>
            <w:r>
              <w:rPr>
                <w:rFonts w:ascii="Meiryo UI" w:hAnsi="Meiryo UI"/>
                <w:sz w:val="18"/>
              </w:rPr>
              <w:t>クロールアルカリ事業赤字転落</w:t>
            </w:r>
          </w:p>
        </w:tc>
        <w:tc>
          <w:tcPr>
            <w:tcW w:type="dxa" w:w="1881"/>
          </w:tcPr>
          <w:p>
            <w:r>
              <w:rPr>
                <w:rFonts w:ascii="Meiryo UI" w:hAnsi="Meiryo UI"/>
                <w:sz w:val="18"/>
              </w:rPr>
              <w:t>20%</w:t>
            </w:r>
          </w:p>
        </w:tc>
        <w:tc>
          <w:tcPr>
            <w:tcW w:type="dxa" w:w="1881"/>
          </w:tcPr>
          <w:p>
            <w:r>
              <w:rPr>
                <w:rFonts w:ascii="Meiryo UI" w:hAnsi="Meiryo UI"/>
                <w:sz w:val="18"/>
              </w:rPr>
              <w:t>中</w:t>
            </w:r>
          </w:p>
        </w:tc>
        <w:tc>
          <w:tcPr>
            <w:tcW w:type="dxa" w:w="1881"/>
          </w:tcPr>
          <w:p>
            <w:r>
              <w:rPr>
                <w:rFonts w:ascii="Meiryo UI" w:hAnsi="Meiryo UI"/>
                <w:sz w:val="18"/>
              </w:rPr>
              <w:t>中</w:t>
            </w:r>
          </w:p>
        </w:tc>
        <w:tc>
          <w:tcPr>
            <w:tcW w:type="dxa" w:w="1881"/>
          </w:tcPr>
          <w:p>
            <w:r>
              <w:rPr>
                <w:rFonts w:ascii="Meiryo UI" w:hAnsi="Meiryo UI"/>
                <w:sz w:val="18"/>
              </w:rPr>
              <w:t>ナフサ+電力のダブルコスト</w:t>
            </w:r>
          </w:p>
        </w:tc>
      </w:tr>
      <w:tr>
        <w:tc>
          <w:tcPr>
            <w:tcW w:type="dxa" w:w="1881"/>
            <w:shd w:val="clear" w:color="auto" w:fill="DDEBF7"/>
          </w:tcPr>
          <w:p>
            <w:r>
              <w:rPr>
                <w:rFonts w:ascii="Meiryo UI" w:hAnsi="Meiryo UI"/>
                <w:sz w:val="18"/>
              </w:rPr>
              <w:t>日銀利上げ（Rf上昇）</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金利感応度テーブル参照</w:t>
            </w:r>
          </w:p>
        </w:tc>
      </w:tr>
    </w:tbl>
    <w:p/>
    <w:p>
      <w:r>
        <w:t>──────────────────────────────────────────────────</w:t>
      </w:r>
    </w:p>
    <w:p/>
    <w:p>
      <w:pPr>
        <w:pStyle w:val="Heading2"/>
      </w:pPr>
      <w:r>
        <w:rPr>
          <w:rFonts w:ascii="Meiryo UI" w:hAnsi="Meiryo UI"/>
          <w:color w:val="2E74B5"/>
        </w:rPr>
        <w:t>第10章　最終投資判断（社長指示統合回答）</w:t>
      </w:r>
    </w:p>
    <w:p/>
    <w:p>
      <w:pPr>
        <w:pStyle w:val="Heading3"/>
      </w:pPr>
      <w:r>
        <w:rPr>
          <w:rFonts w:ascii="Meiryo UI" w:hAnsi="Meiryo UI"/>
          <w:color w:val="2E74B5"/>
        </w:rPr>
        <w:t>10-1. 3軸の綱引き最終整理</w:t>
      </w:r>
    </w:p>
    <w:p/>
    <w:p>
      <w:pPr>
        <w:shd w:val="clear" w:color="auto" w:fill="F2F2F2"/>
      </w:pPr>
      <w:r>
        <w:rPr>
          <w:rFonts w:ascii="Courier New" w:hAnsi="Courier New"/>
          <w:sz w:val="16"/>
        </w:rPr>
        <w:t>┌─────────────────────────────────────────────┐</w:t>
        <w:br/>
        <w:t>│      GLP-1テーマの夢（超長期ポジティブ）           │</w:t>
        <w:br/>
        <w:t>│  現行経口技術：+50倍API量×患者数10倍 = 市場500倍   │</w:t>
        <w:br/>
        <w:t>│  大阪ソーダ取込：¥5〜30B売上上積みポテンシャル      │</w:t>
        <w:br/>
        <w:t>├─────────────────────────────────────────────┤</w:t>
        <w:br/>
        <w:t>│  vs 経口効率化リスク（2028〜2030年顕在化リスク）   │</w:t>
        <w:br/>
        <w:t>│  次世代高吸収分子で量/10に縮小→患者数増で相殺      │</w:t>
        <w:br/>
        <w:t>│  【判定：患者数拡大が優勢。完全相殺は2030年代以降】 │</w:t>
        <w:br/>
        <w:t>├─────────────────────────────────────────────┤</w:t>
        <w:br/>
        <w:t>│  vs ナフサコスト地獄（現在進行中）                  │</w:t>
        <w:br/>
        <w:t>│  WTI$113→コスト年間¥3,000〜5,000M超の実質負担     │</w:t>
        <w:br/>
        <w:t>│  【判定：2026〜2027年の最大リスク。業績直撃中】     │</w:t>
        <w:br/>
        <w:t>└─────────────────────────────────────────────┘</w:t>
        <w:br/>
        <w:br/>
        <w:t>→ 総合判定：夢 &gt; 効率化リスク（長期） but ナフサ &gt; 夢（短期）</w:t>
        <w:br/>
        <w:t>→ 「ナフサ正常化の時期（WTI $80以下定着）×GLP-1経口市場本格拡大」の交点：</w:t>
        <w:br/>
        <w:t xml:space="preserve">   推定 2027年後半〜2028年前半</w:t>
      </w:r>
    </w:p>
    <w:p/>
    <w:p>
      <w:pPr>
        <w:pStyle w:val="Heading3"/>
      </w:pPr>
      <w:r>
        <w:rPr>
          <w:rFonts w:ascii="Meiryo UI" w:hAnsi="Meiryo UI"/>
          <w:color w:val="2E74B5"/>
        </w:rPr>
        <w:t>10-2. 投資判断</w:t>
      </w:r>
    </w:p>
    <w:p/>
    <w:p>
      <w:r>
        <w:rPr>
          <w:rFonts w:ascii="Meiryo UI" w:hAnsi="Meiryo UI"/>
          <w:sz w:val="20"/>
        </w:rPr>
        <w:t>判定：HOLD（ウォッチリスト維持）— ¥1,600台での条件付き打診買い可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推奨値</w:t>
            </w:r>
          </w:p>
        </w:tc>
      </w:tr>
      <w:tr>
        <w:tc>
          <w:tcPr>
            <w:tcW w:type="dxa" w:w="4703"/>
          </w:tcPr>
          <w:p>
            <w:r>
              <w:rPr>
                <w:rFonts w:ascii="Meiryo UI" w:hAnsi="Meiryo UI"/>
                <w:sz w:val="18"/>
              </w:rPr>
              <w:t>投資判断</w:t>
            </w:r>
          </w:p>
        </w:tc>
        <w:tc>
          <w:tcPr>
            <w:tcW w:type="dxa" w:w="4703"/>
          </w:tcPr>
          <w:p>
            <w:r>
              <w:rPr>
                <w:rFonts w:ascii="Meiryo UI" w:hAnsi="Meiryo UI"/>
                <w:sz w:val="18"/>
              </w:rPr>
              <w:t>HOLD → 条件付きBUY</w:t>
            </w:r>
          </w:p>
        </w:tc>
      </w:tr>
      <w:tr>
        <w:tc>
          <w:tcPr>
            <w:tcW w:type="dxa" w:w="4703"/>
            <w:shd w:val="clear" w:color="auto" w:fill="DDEBF7"/>
          </w:tcPr>
          <w:p>
            <w:r>
              <w:rPr>
                <w:rFonts w:ascii="Meiryo UI" w:hAnsi="Meiryo UI"/>
                <w:sz w:val="18"/>
              </w:rPr>
              <w:t>エントリー価格（第1打診）</w:t>
            </w:r>
          </w:p>
        </w:tc>
        <w:tc>
          <w:tcPr>
            <w:tcW w:type="dxa" w:w="4703"/>
            <w:shd w:val="clear" w:color="auto" w:fill="DDEBF7"/>
          </w:tcPr>
          <w:p>
            <w:r>
              <w:rPr>
                <w:rFonts w:ascii="Meiryo UI" w:hAnsi="Meiryo UI"/>
                <w:sz w:val="18"/>
              </w:rPr>
              <w:t>¥1,600〜¥1,680（安全域確保）</w:t>
            </w:r>
          </w:p>
        </w:tc>
      </w:tr>
      <w:tr>
        <w:tc>
          <w:tcPr>
            <w:tcW w:type="dxa" w:w="4703"/>
          </w:tcPr>
          <w:p>
            <w:r>
              <w:rPr>
                <w:rFonts w:ascii="Meiryo UI" w:hAnsi="Meiryo UI"/>
                <w:sz w:val="18"/>
              </w:rPr>
              <w:t>エントリー価格（第2打診）</w:t>
            </w:r>
          </w:p>
        </w:tc>
        <w:tc>
          <w:tcPr>
            <w:tcW w:type="dxa" w:w="4703"/>
          </w:tcPr>
          <w:p>
            <w:r>
              <w:rPr>
                <w:rFonts w:ascii="Meiryo UI" w:hAnsi="Meiryo UI"/>
                <w:sz w:val="18"/>
              </w:rPr>
              <w:t>¥1,400〜¥1,500（ナフサ悪化時の追加）</w:t>
            </w:r>
          </w:p>
        </w:tc>
      </w:tr>
      <w:tr>
        <w:tc>
          <w:tcPr>
            <w:tcW w:type="dxa" w:w="4703"/>
            <w:shd w:val="clear" w:color="auto" w:fill="DDEBF7"/>
          </w:tcPr>
          <w:p>
            <w:r>
              <w:rPr>
                <w:rFonts w:ascii="Meiryo UI" w:hAnsi="Meiryo UI"/>
                <w:sz w:val="18"/>
              </w:rPr>
              <w:t>目標株価（基本ケース・2028年）</w:t>
            </w:r>
          </w:p>
        </w:tc>
        <w:tc>
          <w:tcPr>
            <w:tcW w:type="dxa" w:w="4703"/>
            <w:shd w:val="clear" w:color="auto" w:fill="DDEBF7"/>
          </w:tcPr>
          <w:p>
            <w:r>
              <w:rPr>
                <w:rFonts w:ascii="Meiryo UI" w:hAnsi="Meiryo UI"/>
                <w:sz w:val="18"/>
              </w:rPr>
              <w:t>¥2,200〜¥2,500</w:t>
            </w:r>
          </w:p>
        </w:tc>
      </w:tr>
      <w:tr>
        <w:tc>
          <w:tcPr>
            <w:tcW w:type="dxa" w:w="4703"/>
          </w:tcPr>
          <w:p>
            <w:r>
              <w:rPr>
                <w:rFonts w:ascii="Meiryo UI" w:hAnsi="Meiryo UI"/>
                <w:sz w:val="18"/>
              </w:rPr>
              <w:t>目標株価（強気ケース・2030年）</w:t>
            </w:r>
          </w:p>
        </w:tc>
        <w:tc>
          <w:tcPr>
            <w:tcW w:type="dxa" w:w="4703"/>
          </w:tcPr>
          <w:p>
            <w:r>
              <w:rPr>
                <w:rFonts w:ascii="Meiryo UI" w:hAnsi="Meiryo UI"/>
                <w:sz w:val="18"/>
              </w:rPr>
              <w:t>¥3,500〜¥5,000</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¥1,450（BPS¥996比NAV▲30%乖離で再評価）</w:t>
            </w:r>
          </w:p>
        </w:tc>
      </w:tr>
      <w:tr>
        <w:tc>
          <w:tcPr>
            <w:tcW w:type="dxa" w:w="4703"/>
          </w:tcPr>
          <w:p>
            <w:r>
              <w:rPr>
                <w:rFonts w:ascii="Meiryo UI" w:hAnsi="Meiryo UI"/>
                <w:sz w:val="18"/>
              </w:rPr>
              <w:t>時間軸</w:t>
            </w:r>
          </w:p>
        </w:tc>
        <w:tc>
          <w:tcPr>
            <w:tcW w:type="dxa" w:w="4703"/>
          </w:tcPr>
          <w:p>
            <w:r>
              <w:rPr>
                <w:rFonts w:ascii="Meiryo UI" w:hAnsi="Meiryo UI"/>
                <w:sz w:val="18"/>
              </w:rPr>
              <w:t>2〜4年（超長期）</w:t>
            </w:r>
          </w:p>
        </w:tc>
      </w:tr>
      <w:tr>
        <w:tc>
          <w:tcPr>
            <w:tcW w:type="dxa" w:w="4703"/>
            <w:shd w:val="clear" w:color="auto" w:fill="DDEBF7"/>
          </w:tcPr>
          <w:p>
            <w:r>
              <w:rPr>
                <w:rFonts w:ascii="Meiryo UI" w:hAnsi="Meiryo UI"/>
                <w:sz w:val="18"/>
              </w:rPr>
              <w:t>ポジションサイズ</w:t>
            </w:r>
          </w:p>
        </w:tc>
        <w:tc>
          <w:tcPr>
            <w:tcW w:type="dxa" w:w="4703"/>
            <w:shd w:val="clear" w:color="auto" w:fill="DDEBF7"/>
          </w:tcPr>
          <w:p>
            <w:r>
              <w:rPr>
                <w:rFonts w:ascii="Meiryo UI" w:hAnsi="Meiryo UI"/>
                <w:sz w:val="18"/>
              </w:rPr>
              <w:t>ポートフォリオの3〜5%（リスク限定）</w:t>
            </w:r>
          </w:p>
        </w:tc>
      </w:tr>
    </w:tbl>
    <w:p/>
    <w:p>
      <w:pPr>
        <w:pStyle w:val="Heading3"/>
      </w:pPr>
      <w:r>
        <w:rPr>
          <w:rFonts w:ascii="Meiryo UI" w:hAnsi="Meiryo UI"/>
          <w:color w:val="2E74B5"/>
        </w:rPr>
        <w:t>10-3. 買いタイミングの推定</w:t>
      </w:r>
    </w:p>
    <w:p/>
    <w:p>
      <w:r>
        <w:rPr>
          <w:rFonts w:ascii="Meiryo UI" w:hAnsi="Meiryo UI"/>
          <w:sz w:val="20"/>
        </w:rPr>
        <w:t>「ナフサリスク落着 × GLP-1量本格拡大」の交点：2027年後半〜2028年前半</w:t>
      </w:r>
    </w:p>
    <w:p/>
    <w:p>
      <w:pPr>
        <w:shd w:val="clear" w:color="auto" w:fill="F2F2F2"/>
      </w:pPr>
      <w:r>
        <w:rPr>
          <w:rFonts w:ascii="Courier New" w:hAnsi="Courier New"/>
          <w:sz w:val="16"/>
        </w:rPr>
        <w:t>トリガー条件（AND条件）：</w:t>
        <w:br/>
        <w:t>① WTI原油価格が$80/bbl以下に定着（ナフサ正常化確認）</w:t>
        <w:br/>
        <w:t>② 経口GLP-1製剤のFDA承認数が年5品目以上に拡大</w:t>
        <w:br/>
        <w:t>③ 大阪ソーダのファインケミカル売上比率が40%超に上昇</w:t>
        <w:br/>
        <w:t>④ RSI &lt; 35 &amp; 株価 &lt; ¥1,700の同時成立</w:t>
      </w:r>
    </w:p>
    <w:p/>
    <w:p>
      <w:r>
        <w:t>──────────────────────────────────────────────────</w:t>
      </w:r>
    </w:p>
    <w:p/>
    <w:p>
      <w:pPr>
        <w:pStyle w:val="Heading2"/>
      </w:pPr>
      <w:r>
        <w:rPr>
          <w:rFonts w:ascii="Meiryo UI" w:hAnsi="Meiryo UI"/>
          <w:color w:val="2E74B5"/>
        </w:rPr>
        <w:t>第11章　浅井速報との統合評価</w:t>
      </w:r>
    </w:p>
    <w:p/>
    <w:p>
      <w:r>
        <w:rPr>
          <w:rFonts w:ascii="Meiryo UI" w:hAnsi="Meiryo UI"/>
          <w:sz w:val="20"/>
        </w:rPr>
        <w:t>浅井速報スコア：+0（BUY） vs 深井DCF評価：HOLD（条件付きBUY）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GLP-1テーマ</w:t>
            </w:r>
          </w:p>
        </w:tc>
        <w:tc>
          <w:tcPr>
            <w:tcW w:type="dxa" w:w="2351"/>
          </w:tcPr>
          <w:p>
            <w:r>
              <w:rPr>
                <w:rFonts w:ascii="Meiryo UI" w:hAnsi="Meiryo UI"/>
                <w:sz w:val="18"/>
              </w:rPr>
              <w:t>注目・期待</w:t>
            </w:r>
          </w:p>
        </w:tc>
        <w:tc>
          <w:tcPr>
            <w:tcW w:type="dxa" w:w="2351"/>
          </w:tcPr>
          <w:p>
            <w:r>
              <w:rPr>
                <w:rFonts w:ascii="Meiryo UI" w:hAnsi="Meiryo UI"/>
                <w:sz w:val="18"/>
              </w:rPr>
              <w:t>長期有望・定量確認</w:t>
            </w:r>
          </w:p>
        </w:tc>
        <w:tc>
          <w:tcPr>
            <w:tcW w:type="dxa" w:w="2351"/>
          </w:tcPr>
          <w:p>
            <w:r>
              <w:rPr>
                <w:rFonts w:ascii="Meiryo UI" w:hAnsi="Meiryo UI"/>
                <w:sz w:val="18"/>
              </w:rPr>
              <w:t>概ね一致</w:t>
            </w:r>
          </w:p>
        </w:tc>
      </w:tr>
      <w:tr>
        <w:tc>
          <w:tcPr>
            <w:tcW w:type="dxa" w:w="2351"/>
            <w:shd w:val="clear" w:color="auto" w:fill="DDEBF7"/>
          </w:tcPr>
          <w:p>
            <w:r>
              <w:rPr>
                <w:rFonts w:ascii="Meiryo UI" w:hAnsi="Meiryo UI"/>
                <w:sz w:val="18"/>
              </w:rPr>
              <w:t>ナフサリスク</w:t>
            </w:r>
          </w:p>
        </w:tc>
        <w:tc>
          <w:tcPr>
            <w:tcW w:type="dxa" w:w="2351"/>
            <w:shd w:val="clear" w:color="auto" w:fill="DDEBF7"/>
          </w:tcPr>
          <w:p>
            <w:r>
              <w:rPr>
                <w:rFonts w:ascii="Meiryo UI" w:hAnsi="Meiryo UI"/>
                <w:sz w:val="18"/>
              </w:rPr>
              <w:t>懸念あり</w:t>
            </w:r>
          </w:p>
        </w:tc>
        <w:tc>
          <w:tcPr>
            <w:tcW w:type="dxa" w:w="2351"/>
            <w:shd w:val="clear" w:color="auto" w:fill="DDEBF7"/>
          </w:tcPr>
          <w:p>
            <w:r>
              <w:rPr>
                <w:rFonts w:ascii="Meiryo UI" w:hAnsi="Meiryo UI"/>
                <w:sz w:val="18"/>
              </w:rPr>
              <w:t>現在最大のリスク（定量確認）</w:t>
            </w:r>
          </w:p>
        </w:tc>
        <w:tc>
          <w:tcPr>
            <w:tcW w:type="dxa" w:w="2351"/>
            <w:shd w:val="clear" w:color="auto" w:fill="DDEBF7"/>
          </w:tcPr>
          <w:p>
            <w:r>
              <w:rPr>
                <w:rFonts w:ascii="Meiryo UI" w:hAnsi="Meiryo UI"/>
                <w:sz w:val="18"/>
              </w:rPr>
              <w:t>深井がより悲観的</w:t>
            </w:r>
          </w:p>
        </w:tc>
      </w:tr>
      <w:tr>
        <w:tc>
          <w:tcPr>
            <w:tcW w:type="dxa" w:w="2351"/>
          </w:tcPr>
          <w:p>
            <w:r>
              <w:rPr>
                <w:rFonts w:ascii="Meiryo UI" w:hAnsi="Meiryo UI"/>
                <w:sz w:val="18"/>
              </w:rPr>
              <w:t>テクニカル</w:t>
            </w:r>
          </w:p>
        </w:tc>
        <w:tc>
          <w:tcPr>
            <w:tcW w:type="dxa" w:w="2351"/>
          </w:tcPr>
          <w:p>
            <w:r>
              <w:rPr>
                <w:rFonts w:ascii="Meiryo UI" w:hAnsi="Meiryo UI"/>
                <w:sz w:val="18"/>
              </w:rPr>
              <w:t>RSI37.9・売られすぎ</w:t>
            </w:r>
          </w:p>
        </w:tc>
        <w:tc>
          <w:tcPr>
            <w:tcW w:type="dxa" w:w="2351"/>
          </w:tcPr>
          <w:p>
            <w:r>
              <w:rPr>
                <w:rFonts w:ascii="Meiryo UI" w:hAnsi="Meiryo UI"/>
                <w:sz w:val="18"/>
              </w:rPr>
              <w:t>売られすぎだが理由があり</w:t>
            </w:r>
          </w:p>
        </w:tc>
        <w:tc>
          <w:tcPr>
            <w:tcW w:type="dxa" w:w="2351"/>
          </w:tcPr>
          <w:p>
            <w:r>
              <w:rPr>
                <w:rFonts w:ascii="Meiryo UI" w:hAnsi="Meiryo UI"/>
                <w:sz w:val="18"/>
              </w:rPr>
              <w:t>反発は限定的と見る</w:t>
            </w:r>
          </w:p>
        </w:tc>
      </w:tr>
      <w:tr>
        <w:tc>
          <w:tcPr>
            <w:tcW w:type="dxa" w:w="2351"/>
            <w:shd w:val="clear" w:color="auto" w:fill="DDEBF7"/>
          </w:tcPr>
          <w:p>
            <w:r>
              <w:rPr>
                <w:rFonts w:ascii="Meiryo UI" w:hAnsi="Meiryo UI"/>
                <w:sz w:val="18"/>
              </w:rPr>
              <w:t>総合</w:t>
            </w:r>
          </w:p>
        </w:tc>
        <w:tc>
          <w:tcPr>
            <w:tcW w:type="dxa" w:w="2351"/>
            <w:shd w:val="clear" w:color="auto" w:fill="DDEBF7"/>
          </w:tcPr>
          <w:p>
            <w:r>
              <w:rPr>
                <w:rFonts w:ascii="Meiryo UI" w:hAnsi="Meiryo UI"/>
                <w:sz w:val="18"/>
              </w:rPr>
              <w:t>BUY気味</w:t>
            </w:r>
          </w:p>
        </w:tc>
        <w:tc>
          <w:tcPr>
            <w:tcW w:type="dxa" w:w="2351"/>
            <w:shd w:val="clear" w:color="auto" w:fill="DDEBF7"/>
          </w:tcPr>
          <w:p>
            <w:r>
              <w:rPr>
                <w:rFonts w:ascii="Meiryo UI" w:hAnsi="Meiryo UI"/>
                <w:sz w:val="18"/>
              </w:rPr>
              <w:t>エントリー急がず¥1,600待ち</w:t>
            </w:r>
          </w:p>
        </w:tc>
        <w:tc>
          <w:tcPr>
            <w:tcW w:type="dxa" w:w="2351"/>
            <w:shd w:val="clear" w:color="auto" w:fill="DDEBF7"/>
          </w:tcPr>
          <w:p>
            <w:r>
              <w:rPr>
                <w:rFonts w:ascii="Meiryo UI" w:hAnsi="Meiryo UI"/>
                <w:sz w:val="18"/>
              </w:rPr>
              <w:t>若干ディフェンシブ</w:t>
            </w:r>
          </w:p>
        </w:tc>
      </w:tr>
    </w:tbl>
    <w:p/>
    <w:p>
      <w:r>
        <w:rPr>
          <w:rFonts w:ascii="Meiryo UI" w:hAnsi="Meiryo UI"/>
          <w:sz w:val="20"/>
        </w:rPr>
        <w:t>→ 浅井の「RSI37.9売られすぎ」の観察は正しいが、ナフサ高が業績に与える実害が現在進行中のため、テクニカルリバウンドを積極的に買い向かうより、¥1,600台への追加下落を待つ忍耐が最適と判断する。</w:t>
      </w:r>
    </w:p>
    <w:p/>
    <w:p>
      <w:r>
        <w:t>──────────────────────────────────────────────────</w:t>
      </w:r>
    </w:p>
    <w:p/>
    <w:p>
      <w:pPr>
        <w:pStyle w:val="Heading2"/>
      </w:pPr>
      <w:r>
        <w:rPr>
          <w:rFonts w:ascii="Meiryo UI" w:hAnsi="Meiryo UI"/>
          <w:color w:val="2E74B5"/>
        </w:rPr>
        <w:t>第12章　社長への推奨アクション</w:t>
      </w:r>
    </w:p>
    <w:p/>
    <w:p>
      <w:pPr>
        <w:pStyle w:val="Heading3"/>
      </w:pPr>
      <w:r>
        <w:rPr>
          <w:rFonts w:ascii="Meiryo UI" w:hAnsi="Meiryo UI"/>
          <w:color w:val="2E74B5"/>
        </w:rPr>
        <w:t>即時アクション（2026-04-07時点）</w:t>
      </w:r>
    </w:p>
    <w:p/>
    <w:p>
      <w:pPr>
        <w:shd w:val="clear" w:color="auto" w:fill="F2F2F2"/>
      </w:pPr>
      <w:r>
        <w:rPr>
          <w:rFonts w:ascii="Courier New" w:hAnsi="Courier New"/>
          <w:sz w:val="16"/>
        </w:rPr>
        <w:t>【Phase 1：ウォッチ（現在〜2026-05-12）】</w:t>
        <w:br/>
        <w:t>- 現時点での新規買い見送り</w:t>
        <w:br/>
        <w:t>- 2026-05-12 決算発表を確認</w:t>
        <w:br/>
        <w:t xml:space="preserve">  → ファインケミカル売上比率・GLP-1中間体の言及有無</w:t>
        <w:br/>
        <w:t xml:space="preserve">  → ナフサコスト転嫁状況・来期ガイダンス</w:t>
        <w:br/>
        <w:t>- ¥1,600〜¥1,650のアラート設定</w:t>
        <w:br/>
        <w:br/>
        <w:t>【Phase 2：打診買い（¥1,600〜¥1,680到達時）】</w:t>
        <w:br/>
        <w:t>- ポートフォリオの2%分（約¥1,650で打診）</w:t>
        <w:br/>
        <w:t>- 決算が悪材料出尽くしを確認した上で実施</w:t>
        <w:br/>
        <w:t>- ストップロス：¥1,450設定</w:t>
        <w:br/>
        <w:br/>
        <w:t>【Phase 3：本格買い（2027年以降・ナフサ正常化確認後）】</w:t>
        <w:br/>
        <w:t>- WTI $80以下定着・GLP-1経口FDA承認ラッシュを確認</w:t>
        <w:br/>
        <w:t>- ポジションを3〜5%に積み増し</w:t>
        <w:br/>
        <w:t>- 目標：¥2,200〜¥2,500（+30〜50%）</w:t>
        <w:br/>
        <w:br/>
        <w:t>【損切りトリガー】</w:t>
        <w:br/>
        <w:t>- ¥1,450割れ（明確な下降トレンド継続時）</w:t>
        <w:br/>
        <w:t>- 製薬大手の内製化発表（内製化率50%以上の報道）</w:t>
        <w:br/>
        <w:t>- ホルムズ危機が2028年以降も継続する確実情報</w:t>
      </w:r>
    </w:p>
    <w:p/>
    <w:p>
      <w:pPr>
        <w:pStyle w:val="Heading3"/>
      </w:pPr>
      <w:r>
        <w:rPr>
          <w:rFonts w:ascii="Meiryo UI" w:hAnsi="Meiryo UI"/>
          <w:color w:val="2E74B5"/>
        </w:rPr>
        <w:t>4204積水化学との投資優先順位最終回答</w:t>
      </w:r>
    </w:p>
    <w:p/>
    <w:p>
      <w:pPr>
        <w:shd w:val="clear" w:color="auto" w:fill="F2F2F2"/>
      </w:pPr>
      <w:r>
        <w:rPr>
          <w:rFonts w:ascii="Courier New" w:hAnsi="Courier New"/>
          <w:sz w:val="16"/>
        </w:rPr>
        <w:t>投資優先順位：積水化学（4204）&gt;&gt;&gt;&gt; 大阪ソーダ（4046）</w:t>
        <w:br/>
        <w:br/>
        <w:t>理由：</w:t>
        <w:br/>
        <w:t>1. 積水化学は住宅・インフラという需要の確実性が高い</w:t>
        <w:br/>
        <w:t>2. 大阪ソーダのGLP-1テーマは「夢は大きいが現実化まで2〜4年のラグ」</w:t>
        <w:br/>
        <w:t>3. ナフサリスクは両社共通だが、積水化学は製品価格転嫁力が相対的に高い</w:t>
        <w:br/>
        <w:t>4. 超長期視点（優先度5）での保有として意味はある：</w:t>
        <w:br/>
        <w:t xml:space="preserve">   → 「GLP-1経口市場爆発」シナリオの宝くじとして少量保有は合理的</w:t>
      </w:r>
    </w:p>
    <w:p/>
    <w:p>
      <w:r>
        <w:t>──────────────────────────────────────────────────</w:t>
      </w:r>
    </w:p>
    <w:p/>
    <w:p>
      <w:pPr>
        <w:pStyle w:val="Heading2"/>
      </w:pPr>
      <w:r>
        <w:rPr>
          <w:rFonts w:ascii="Meiryo UI" w:hAnsi="Meiryo UI"/>
          <w:color w:val="2E74B5"/>
        </w:rPr>
        <w:t>付録：前提条件一覧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¥1,766</w:t>
            </w:r>
          </w:p>
        </w:tc>
      </w:tr>
      <w:tr>
        <w:tc>
          <w:tcPr>
            <w:tcW w:type="dxa" w:w="4703"/>
            <w:shd w:val="clear" w:color="auto" w:fill="DDEBF7"/>
          </w:tcPr>
          <w:p>
            <w:r>
              <w:rPr>
                <w:rFonts w:ascii="Meiryo UI" w:hAnsi="Meiryo UI"/>
                <w:sz w:val="18"/>
              </w:rPr>
              <w:t>Rf（リスクフリーレート）</w:t>
            </w:r>
          </w:p>
        </w:tc>
        <w:tc>
          <w:tcPr>
            <w:tcW w:type="dxa" w:w="4703"/>
            <w:shd w:val="clear" w:color="auto" w:fill="DDEBF7"/>
          </w:tcPr>
          <w:p>
            <w:r>
              <w:rPr>
                <w:rFonts w:ascii="Meiryo UI" w:hAnsi="Meiryo UI"/>
                <w:sz w:val="18"/>
              </w:rPr>
              <w:t>2.429%（JGB10Y）</w:t>
            </w:r>
          </w:p>
        </w:tc>
      </w:tr>
      <w:tr>
        <w:tc>
          <w:tcPr>
            <w:tcW w:type="dxa" w:w="4703"/>
          </w:tcPr>
          <w:p>
            <w:r>
              <w:rPr>
                <w:rFonts w:ascii="Meiryo UI" w:hAnsi="Meiryo UI"/>
                <w:sz w:val="18"/>
              </w:rPr>
              <w:t>ERP（市場リスクプレミアム）</w:t>
            </w:r>
          </w:p>
        </w:tc>
        <w:tc>
          <w:tcPr>
            <w:tcW w:type="dxa" w:w="4703"/>
          </w:tcPr>
          <w:p>
            <w:r>
              <w:rPr>
                <w:rFonts w:ascii="Meiryo UI" w:hAnsi="Meiryo UI"/>
                <w:sz w:val="18"/>
              </w:rPr>
              <w:t>5.5%</w:t>
            </w:r>
          </w:p>
        </w:tc>
      </w:tr>
      <w:tr>
        <w:tc>
          <w:tcPr>
            <w:tcW w:type="dxa" w:w="4703"/>
            <w:shd w:val="clear" w:color="auto" w:fill="DDEBF7"/>
          </w:tcPr>
          <w:p>
            <w:r>
              <w:rPr>
                <w:rFonts w:ascii="Meiryo UI" w:hAnsi="Meiryo UI"/>
                <w:sz w:val="18"/>
              </w:rPr>
              <w:t>β</w:t>
            </w:r>
          </w:p>
        </w:tc>
        <w:tc>
          <w:tcPr>
            <w:tcW w:type="dxa" w:w="4703"/>
            <w:shd w:val="clear" w:color="auto" w:fill="DDEBF7"/>
          </w:tcPr>
          <w:p>
            <w:r>
              <w:rPr>
                <w:rFonts w:ascii="Meiryo UI" w:hAnsi="Meiryo UI"/>
                <w:sz w:val="18"/>
              </w:rPr>
              <w:t>1.10</w:t>
            </w:r>
          </w:p>
        </w:tc>
      </w:tr>
      <w:tr>
        <w:tc>
          <w:tcPr>
            <w:tcW w:type="dxa" w:w="4703"/>
          </w:tcPr>
          <w:p>
            <w:r>
              <w:rPr>
                <w:rFonts w:ascii="Meiryo UI" w:hAnsi="Meiryo UI"/>
                <w:sz w:val="18"/>
              </w:rPr>
              <w:t>Re（株主資本コスト）</w:t>
            </w:r>
          </w:p>
        </w:tc>
        <w:tc>
          <w:tcPr>
            <w:tcW w:type="dxa" w:w="4703"/>
          </w:tcPr>
          <w:p>
            <w:r>
              <w:rPr>
                <w:rFonts w:ascii="Meiryo UI" w:hAnsi="Meiryo UI"/>
                <w:sz w:val="18"/>
              </w:rPr>
              <w:t>8.48%</w:t>
            </w:r>
          </w:p>
        </w:tc>
      </w:tr>
      <w:tr>
        <w:tc>
          <w:tcPr>
            <w:tcW w:type="dxa" w:w="4703"/>
            <w:shd w:val="clear" w:color="auto" w:fill="DDEBF7"/>
          </w:tcPr>
          <w:p>
            <w:r>
              <w:rPr>
                <w:rFonts w:ascii="Meiryo UI" w:hAnsi="Meiryo UI"/>
                <w:sz w:val="18"/>
              </w:rPr>
              <w:t>Rd（負債コスト）</w:t>
            </w:r>
          </w:p>
        </w:tc>
        <w:tc>
          <w:tcPr>
            <w:tcW w:type="dxa" w:w="4703"/>
            <w:shd w:val="clear" w:color="auto" w:fill="DDEBF7"/>
          </w:tcPr>
          <w:p>
            <w:r>
              <w:rPr>
                <w:rFonts w:ascii="Meiryo UI" w:hAnsi="Meiryo UI"/>
                <w:sz w:val="18"/>
              </w:rPr>
              <w:t>1.5%</w:t>
            </w:r>
          </w:p>
        </w:tc>
      </w:tr>
      <w:tr>
        <w:tc>
          <w:tcPr>
            <w:tcW w:type="dxa" w:w="4703"/>
          </w:tcPr>
          <w:p>
            <w:r>
              <w:rPr>
                <w:rFonts w:ascii="Meiryo UI" w:hAnsi="Meiryo UI"/>
                <w:sz w:val="18"/>
              </w:rPr>
              <w:t>Tc（実効税率）</w:t>
            </w:r>
          </w:p>
        </w:tc>
        <w:tc>
          <w:tcPr>
            <w:tcW w:type="dxa" w:w="4703"/>
          </w:tcPr>
          <w:p>
            <w:r>
              <w:rPr>
                <w:rFonts w:ascii="Meiryo UI" w:hAnsi="Meiryo UI"/>
                <w:sz w:val="18"/>
              </w:rPr>
              <w:t>30%</w:t>
            </w:r>
          </w:p>
        </w:tc>
      </w:tr>
      <w:tr>
        <w:tc>
          <w:tcPr>
            <w:tcW w:type="dxa" w:w="4703"/>
            <w:shd w:val="clear" w:color="auto" w:fill="DDEBF7"/>
          </w:tcPr>
          <w:p>
            <w:r>
              <w:rPr>
                <w:rFonts w:ascii="Meiryo UI" w:hAnsi="Meiryo UI"/>
                <w:sz w:val="18"/>
              </w:rPr>
              <w:t>E/(D+E)</w:t>
            </w:r>
          </w:p>
        </w:tc>
        <w:tc>
          <w:tcPr>
            <w:tcW w:type="dxa" w:w="4703"/>
            <w:shd w:val="clear" w:color="auto" w:fill="DDEBF7"/>
          </w:tcPr>
          <w:p>
            <w:r>
              <w:rPr>
                <w:rFonts w:ascii="Meiryo UI" w:hAnsi="Meiryo UI"/>
                <w:sz w:val="18"/>
              </w:rPr>
              <w:t>60%</w:t>
            </w:r>
          </w:p>
        </w:tc>
      </w:tr>
      <w:tr>
        <w:tc>
          <w:tcPr>
            <w:tcW w:type="dxa" w:w="4703"/>
          </w:tcPr>
          <w:p>
            <w:r>
              <w:rPr>
                <w:rFonts w:ascii="Meiryo UI" w:hAnsi="Meiryo UI"/>
                <w:sz w:val="18"/>
              </w:rPr>
              <w:t>WACC</w:t>
            </w:r>
          </w:p>
        </w:tc>
        <w:tc>
          <w:tcPr>
            <w:tcW w:type="dxa" w:w="4703"/>
          </w:tcPr>
          <w:p>
            <w:r>
              <w:rPr>
                <w:rFonts w:ascii="Meiryo UI" w:hAnsi="Meiryo UI"/>
                <w:sz w:val="18"/>
              </w:rPr>
              <w:t>5.51%</w:t>
            </w:r>
          </w:p>
        </w:tc>
      </w:tr>
      <w:tr>
        <w:tc>
          <w:tcPr>
            <w:tcW w:type="dxa" w:w="4703"/>
            <w:shd w:val="clear" w:color="auto" w:fill="DDEBF7"/>
          </w:tcPr>
          <w:p>
            <w:r>
              <w:rPr>
                <w:rFonts w:ascii="Meiryo UI" w:hAnsi="Meiryo UI"/>
                <w:sz w:val="18"/>
              </w:rPr>
              <w:t>Terminal Growth Rate（基本）</w:t>
            </w:r>
          </w:p>
        </w:tc>
        <w:tc>
          <w:tcPr>
            <w:tcW w:type="dxa" w:w="4703"/>
            <w:shd w:val="clear" w:color="auto" w:fill="DDEBF7"/>
          </w:tcPr>
          <w:p>
            <w:r>
              <w:rPr>
                <w:rFonts w:ascii="Meiryo UI" w:hAnsi="Meiryo UI"/>
                <w:sz w:val="18"/>
              </w:rPr>
              <w:t>3.0%</w:t>
            </w:r>
          </w:p>
        </w:tc>
      </w:tr>
      <w:tr>
        <w:tc>
          <w:tcPr>
            <w:tcW w:type="dxa" w:w="4703"/>
          </w:tcPr>
          <w:p>
            <w:r>
              <w:rPr>
                <w:rFonts w:ascii="Meiryo UI" w:hAnsi="Meiryo UI"/>
                <w:sz w:val="18"/>
              </w:rPr>
              <w:t>WTI原油（リアルタイム）</w:t>
            </w:r>
          </w:p>
        </w:tc>
        <w:tc>
          <w:tcPr>
            <w:tcW w:type="dxa" w:w="4703"/>
          </w:tcPr>
          <w:p>
            <w:r>
              <w:rPr>
                <w:rFonts w:ascii="Meiryo UI" w:hAnsi="Meiryo UI"/>
                <w:sz w:val="18"/>
              </w:rPr>
              <w:t>$112.75/bbl</w:t>
            </w:r>
          </w:p>
        </w:tc>
      </w:tr>
      <w:tr>
        <w:tc>
          <w:tcPr>
            <w:tcW w:type="dxa" w:w="4703"/>
            <w:shd w:val="clear" w:color="auto" w:fill="DDEBF7"/>
          </w:tcPr>
          <w:p>
            <w:r>
              <w:rPr>
                <w:rFonts w:ascii="Meiryo UI" w:hAnsi="Meiryo UI"/>
                <w:sz w:val="18"/>
              </w:rPr>
              <w:t>USD/JPY（想定）</w:t>
            </w:r>
          </w:p>
        </w:tc>
        <w:tc>
          <w:tcPr>
            <w:tcW w:type="dxa" w:w="4703"/>
            <w:shd w:val="clear" w:color="auto" w:fill="DDEBF7"/>
          </w:tcPr>
          <w:p>
            <w:r>
              <w:rPr>
                <w:rFonts w:ascii="Meiryo UI" w:hAnsi="Meiryo UI"/>
                <w:sz w:val="18"/>
              </w:rPr>
              <w:t>148円</w:t>
            </w:r>
          </w:p>
        </w:tc>
      </w:tr>
      <w:tr>
        <w:tc>
          <w:tcPr>
            <w:tcW w:type="dxa" w:w="4703"/>
          </w:tcPr>
          <w:p>
            <w:r>
              <w:rPr>
                <w:rFonts w:ascii="Meiryo UI" w:hAnsi="Meiryo UI"/>
                <w:sz w:val="18"/>
              </w:rPr>
              <w:t>ナフサ推計価格</w:t>
            </w:r>
          </w:p>
        </w:tc>
        <w:tc>
          <w:tcPr>
            <w:tcW w:type="dxa" w:w="4703"/>
          </w:tcPr>
          <w:p>
            <w:r>
              <w:rPr>
                <w:rFonts w:ascii="Meiryo UI" w:hAnsi="Meiryo UI"/>
                <w:sz w:val="18"/>
              </w:rPr>
              <w:t>¥90,000/トン</w:t>
            </w:r>
          </w:p>
        </w:tc>
      </w:tr>
    </w:tbl>
    <w:p/>
    <w:p>
      <w:r>
        <w:t>──────────────────────────────────────────────────</w:t>
      </w:r>
    </w:p>
    <w:p/>
    <w:p>
      <w:r>
        <w:rPr>
          <w:rFonts w:ascii="Meiryo UI" w:hAnsi="Meiryo UI"/>
          <w:sz w:val="20"/>
        </w:rPr>
        <w:t>本レポートは竹村トレードカンパニー社内分析資料です。投資判断は最終的にご自身でご確認ください。次回更新：2026-05-12 決算発表後。</w:t>
      </w:r>
    </w:p>
    <w:p/>
    <w:p>
      <w:r>
        <w:rPr>
          <w:rFonts w:ascii="Meiryo UI" w:hAnsi="Meiryo UI"/>
          <w:sz w:val="20"/>
        </w:rPr>
        <w:t>深井｜竹村トレードカンパニー・アナリスト</w:t>
      </w:r>
    </w:p>
    <w:p>
      <w:r>
        <w:rPr>
          <w:rFonts w:ascii="Meiryo UI" w:hAnsi="Meiryo UI"/>
          <w:sz w:val="20"/>
        </w:rPr>
        <w:t>2026-04-07 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18:03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4046_大阪ソーダ_BUY_DeepResearch_20260407.md を出力しました。</w:t>
      </w:r>
    </w:p>
    <w:p>
      <w:r>
        <w:rPr>
          <w:rFonts w:ascii="Meiryo UI" w:hAnsi="Meiryo UI"/>
          <w:sz w:val="20"/>
        </w:rPr>
        <w:t>浅井スコア +0 の銘柄 [4046]大阪ソーダ についてDeepResearch完了。</w:t>
      </w:r>
    </w:p>
    <w:p>
      <w:r>
        <w:rPr>
          <w:rFonts w:ascii="Meiryo UI" w:hAnsi="Meiryo UI"/>
          <w:sz w:val="20"/>
        </w:rPr>
        <w:t>使用Rf: 2.429%（取得: 2026-04-07 18:03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