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[40880] エア・ウォーター</w:t>
      </w:r>
    </w:p>
    <w:p/>
    <w:p/>
    <w:p>
      <w:pPr>
        <w:jc w:val="center"/>
      </w:pPr>
      <w:r>
        <w:rPr>
          <w:rFonts w:ascii="Meiryo UI" w:hAnsi="Meiryo UI"/>
          <w:sz w:val="24"/>
        </w:rPr>
        <w:t>アナリスト：深井</w:t>
      </w:r>
    </w:p>
    <w:p>
      <w:pPr>
        <w:jc w:val="center"/>
      </w:pPr>
      <w:r>
        <w:rPr>
          <w:rFonts w:ascii="Meiryo UI" w:hAnsi="Meiryo UI"/>
          <w:sz w:val="24"/>
        </w:rPr>
        <w:t>分析日：2026-04-04</w:t>
      </w:r>
    </w:p>
    <w:p>
      <w:r>
        <w:br w:type="page"/>
      </w:r>
    </w:p>
    <w:p>
      <w:pPr>
        <w:pStyle w:val="Heading1"/>
      </w:pPr>
      <w:r>
        <w:rPr>
          <w:rFonts w:ascii="Meiryo UI" w:hAnsi="Meiryo UI"/>
          <w:color w:val="1F3864"/>
        </w:rPr>
        <w:t>深井 DeepResearchレポート — [40880] エア・ウォーター</w:t>
      </w:r>
    </w:p>
    <w:p>
      <w:r>
        <w:rPr>
          <w:rFonts w:ascii="Meiryo UI" w:hAnsi="Meiryo UI"/>
          <w:sz w:val="20"/>
        </w:rPr>
        <w:t>作成日: 2026-04-04  |  アナリスト: 深井  |  分類: SELL</w:t>
      </w:r>
    </w:p>
    <w:p>
      <w:r>
        <w:rPr>
          <w:rFonts w:ascii="Meiryo UI" w:hAnsi="Meiryo UI"/>
          <w:sz w:val="20"/>
        </w:rPr>
        <w:t>浅井スコア: -82  |  ソース: TDnet + 公開情報 + 浅井マスターDB</w:t>
      </w:r>
    </w:p>
    <w:p/>
    <w:p>
      <w:r>
        <w:t>──────────────────────────────────────────────────</w:t>
      </w:r>
    </w:p>
    <w:p/>
    <w:p>
      <w:pPr>
        <w:pStyle w:val="Heading1"/>
      </w:pPr>
      <w:r>
        <w:rPr>
          <w:rFonts w:ascii="Meiryo UI" w:hAnsi="Meiryo UI"/>
          <w:color w:val="1F3864"/>
        </w:rPr>
        <w:t>DeepResearch レポート</w:t>
      </w:r>
    </w:p>
    <w:p/>
    <w:p>
      <w:pPr>
        <w:pStyle w:val="Heading2"/>
      </w:pPr>
      <w:r>
        <w:rPr>
          <w:rFonts w:ascii="Meiryo UI" w:hAnsi="Meiryo UI"/>
          <w:color w:val="2E74B5"/>
        </w:rPr>
        <w:t>エア・ウォーター（4088）｜特別調査委員会 報告書公表に伴う緊急分析</w:t>
      </w:r>
    </w:p>
    <w:p/>
    <w:p>
      <w:r>
        <w:t>──────────────────────────────────────────────────</w:t>
      </w:r>
    </w:p>
    <w:p/>
    <w:p>
      <w:r>
        <w:rPr>
          <w:rFonts w:ascii="Meiryo UI" w:hAnsi="Meiryo UI"/>
          <w:sz w:val="20"/>
        </w:rPr>
        <w:t>&gt; Analyst: 深井（竹村トレードカンパニー）</w:t>
      </w:r>
    </w:p>
    <w:p>
      <w:r>
        <w:rPr>
          <w:rFonts w:ascii="Meiryo UI" w:hAnsi="Meiryo UI"/>
          <w:sz w:val="20"/>
        </w:rPr>
        <w:t>&gt; 分析日: 2026年4月4日（土）</w:t>
      </w:r>
    </w:p>
    <w:p>
      <w:r>
        <w:rPr>
          <w:rFonts w:ascii="Meiryo UI" w:hAnsi="Meiryo UI"/>
          <w:sz w:val="20"/>
        </w:rPr>
        <w:t>&gt; 対象ティッカー: 4088（東証プライム）</w:t>
      </w:r>
    </w:p>
    <w:p>
      <w:r>
        <w:rPr>
          <w:rFonts w:ascii="Meiryo UI" w:hAnsi="Meiryo UI"/>
          <w:sz w:val="20"/>
        </w:rPr>
        <w:t>&gt; 浅井速報スコア: -82 / SELL</w:t>
      </w:r>
    </w:p>
    <w:p>
      <w:r>
        <w:rPr>
          <w:rFonts w:ascii="Meiryo UI" w:hAnsi="Meiryo UI"/>
          <w:sz w:val="20"/>
        </w:rPr>
        <w:t>&gt; レポートステータス: 🔴 緊急発行｜月曜寄り付き前配布</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売り（SELL）</w:t>
            </w:r>
          </w:p>
        </w:tc>
      </w:tr>
      <w:tr>
        <w:tc>
          <w:tcPr>
            <w:tcW w:type="dxa" w:w="4703"/>
            <w:shd w:val="clear" w:color="auto" w:fill="DDEBF7"/>
          </w:tcPr>
          <w:p>
            <w:r>
              <w:rPr>
                <w:rFonts w:ascii="Meiryo UI" w:hAnsi="Meiryo UI"/>
                <w:sz w:val="18"/>
              </w:rPr>
              <w:t>理論株価（基本ケース）</w:t>
            </w:r>
          </w:p>
        </w:tc>
        <w:tc>
          <w:tcPr>
            <w:tcW w:type="dxa" w:w="4703"/>
            <w:shd w:val="clear" w:color="auto" w:fill="DDEBF7"/>
          </w:tcPr>
          <w:p>
            <w:r>
              <w:rPr>
                <w:rFonts w:ascii="Meiryo UI" w:hAnsi="Meiryo UI"/>
                <w:sz w:val="18"/>
              </w:rPr>
              <w:t>1,550〜1,750円</w:t>
            </w:r>
          </w:p>
        </w:tc>
      </w:tr>
      <w:tr>
        <w:tc>
          <w:tcPr>
            <w:tcW w:type="dxa" w:w="4703"/>
          </w:tcPr>
          <w:p>
            <w:r>
              <w:rPr>
                <w:rFonts w:ascii="Meiryo UI" w:hAnsi="Meiryo UI"/>
                <w:sz w:val="18"/>
              </w:rPr>
              <w:t>理論株価（弱気ケース）</w:t>
            </w:r>
          </w:p>
        </w:tc>
        <w:tc>
          <w:tcPr>
            <w:tcW w:type="dxa" w:w="4703"/>
          </w:tcPr>
          <w:p>
            <w:r>
              <w:rPr>
                <w:rFonts w:ascii="Meiryo UI" w:hAnsi="Meiryo UI"/>
                <w:sz w:val="18"/>
              </w:rPr>
              <w:t>1,100〜1,300円</w:t>
            </w:r>
          </w:p>
        </w:tc>
      </w:tr>
      <w:tr>
        <w:tc>
          <w:tcPr>
            <w:tcW w:type="dxa" w:w="4703"/>
            <w:shd w:val="clear" w:color="auto" w:fill="DDEBF7"/>
          </w:tcPr>
          <w:p>
            <w:r>
              <w:rPr>
                <w:rFonts w:ascii="Meiryo UI" w:hAnsi="Meiryo UI"/>
                <w:sz w:val="18"/>
              </w:rPr>
              <w:t>直近株価参考値</w:t>
            </w:r>
          </w:p>
        </w:tc>
        <w:tc>
          <w:tcPr>
            <w:tcW w:type="dxa" w:w="4703"/>
            <w:shd w:val="clear" w:color="auto" w:fill="DDEBF7"/>
          </w:tcPr>
          <w:p>
            <w:r>
              <w:rPr>
                <w:rFonts w:ascii="Meiryo UI" w:hAnsi="Meiryo UI"/>
                <w:sz w:val="18"/>
              </w:rPr>
              <w:t>約2,200円前後（2026年3月末時点推定）</w:t>
            </w:r>
          </w:p>
        </w:tc>
      </w:tr>
      <w:tr>
        <w:tc>
          <w:tcPr>
            <w:tcW w:type="dxa" w:w="4703"/>
          </w:tcPr>
          <w:p>
            <w:r>
              <w:rPr>
                <w:rFonts w:ascii="Meiryo UI" w:hAnsi="Meiryo UI"/>
                <w:sz w:val="18"/>
              </w:rPr>
              <w:t>下落余地（基本）</w:t>
            </w:r>
          </w:p>
        </w:tc>
        <w:tc>
          <w:tcPr>
            <w:tcW w:type="dxa" w:w="4703"/>
          </w:tcPr>
          <w:p>
            <w:r>
              <w:rPr>
                <w:rFonts w:ascii="Meiryo UI" w:hAnsi="Meiryo UI"/>
                <w:sz w:val="18"/>
              </w:rPr>
              <w:t>▲20〜30%</w:t>
            </w:r>
          </w:p>
        </w:tc>
      </w:tr>
      <w:tr>
        <w:tc>
          <w:tcPr>
            <w:tcW w:type="dxa" w:w="4703"/>
            <w:shd w:val="clear" w:color="auto" w:fill="DDEBF7"/>
          </w:tcPr>
          <w:p>
            <w:r>
              <w:rPr>
                <w:rFonts w:ascii="Meiryo UI" w:hAnsi="Meiryo UI"/>
                <w:sz w:val="18"/>
              </w:rPr>
              <w:t>下落余地（弱気）</w:t>
            </w:r>
          </w:p>
        </w:tc>
        <w:tc>
          <w:tcPr>
            <w:tcW w:type="dxa" w:w="4703"/>
            <w:shd w:val="clear" w:color="auto" w:fill="DDEBF7"/>
          </w:tcPr>
          <w:p>
            <w:r>
              <w:rPr>
                <w:rFonts w:ascii="Meiryo UI" w:hAnsi="Meiryo UI"/>
                <w:sz w:val="18"/>
              </w:rPr>
              <w:t>▲40〜50%</w:t>
            </w:r>
          </w:p>
        </w:tc>
      </w:tr>
      <w:tr>
        <w:tc>
          <w:tcPr>
            <w:tcW w:type="dxa" w:w="4703"/>
          </w:tcPr>
          <w:p>
            <w:r>
              <w:rPr>
                <w:rFonts w:ascii="Meiryo UI" w:hAnsi="Meiryo UI"/>
                <w:sz w:val="18"/>
              </w:rPr>
              <w:t>配当利回り参考</w:t>
            </w:r>
          </w:p>
        </w:tc>
        <w:tc>
          <w:tcPr>
            <w:tcW w:type="dxa" w:w="4703"/>
          </w:tcPr>
          <w:p>
            <w:r>
              <w:rPr>
                <w:rFonts w:ascii="Meiryo UI" w:hAnsi="Meiryo UI"/>
                <w:sz w:val="18"/>
              </w:rPr>
              <w:t>約2.5〜3.0%（ただしガバナンス不安で減配リスクあり）</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短期：1〜3週間 / 中期：3〜6ヶ月</w:t>
            </w:r>
          </w:p>
        </w:tc>
      </w:tr>
    </w:tbl>
    <w:p/>
    <w:p>
      <w:r>
        <w:rPr>
          <w:rFonts w:ascii="Meiryo UI" w:hAnsi="Meiryo UI"/>
          <w:sz w:val="20"/>
        </w:rPr>
        <w:t>総括コメント:</w:t>
      </w:r>
    </w:p>
    <w:p>
      <w:r>
        <w:rPr>
          <w:rFonts w:ascii="Meiryo UI" w:hAnsi="Meiryo UI"/>
          <w:sz w:val="20"/>
        </w:rPr>
        <w:t>特別調査委員会による調査報告書公表・再発防止策・関係者処分の3点同時開示は、ガバナンス上の最大級のネガティブトリガーである。不正の全容開示により機関投資家の信頼は毀損し、売り圧力の集中が予想される。本源的価値面でも既存DCFに対し信頼性プレミアムの剥落（ディスカウント）が必要となり、月曜寄り付きでの空売り参入または既存ロングの即時解消を推奨す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p>
      <w:r>
        <w:rPr>
          <w:rFonts w:ascii="Meiryo UI" w:hAnsi="Meiryo UI"/>
          <w:sz w:val="20"/>
        </w:rPr>
        <w:t>エア・ウォーター株式会社（Air Water Inc.）は、大阪府大阪市に本社を置く産業ガス・医療・農業・機能材料を中核とする多角化コングロマリットである。旧称・大同酸素を起源とし、複数の産業ガスメーカーを統合・再編することで現在の規模に至った。東証プライム市場上場。時価総額は概ね4,000〜5,000億円規模（株価水準により変動）。</w:t>
      </w:r>
    </w:p>
    <w:p/>
    <w:p>
      <w:pPr>
        <w:pStyle w:val="Heading3"/>
      </w:pPr>
      <w:r>
        <w:rPr>
          <w:rFonts w:ascii="Meiryo UI" w:hAnsi="Meiryo UI"/>
          <w:color w:val="2E74B5"/>
        </w:rPr>
        <w:t>1-2. セグメント構成（FY2025実績推定ベース）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売上高シェア（推定）</w:t>
            </w:r>
          </w:p>
        </w:tc>
        <w:tc>
          <w:tcPr>
            <w:tcW w:type="dxa" w:w="2351"/>
            <w:shd w:val="clear" w:color="auto" w:fill="2E74B5"/>
          </w:tcPr>
          <w:p>
            <w:r>
              <w:rPr>
                <w:rFonts w:ascii="Meiryo UI" w:hAnsi="Meiryo UI"/>
                <w:b/>
                <w:color w:val="FFFFFF"/>
                <w:sz w:val="18"/>
              </w:rPr>
              <w:t>営業利益シェア（推定）</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産業ガス・環境</w:t>
            </w:r>
          </w:p>
        </w:tc>
        <w:tc>
          <w:tcPr>
            <w:tcW w:type="dxa" w:w="2351"/>
          </w:tcPr>
          <w:p>
            <w:r>
              <w:rPr>
                <w:rFonts w:ascii="Meiryo UI" w:hAnsi="Meiryo UI"/>
                <w:sz w:val="18"/>
              </w:rPr>
              <w:t>約35%</w:t>
            </w:r>
          </w:p>
        </w:tc>
        <w:tc>
          <w:tcPr>
            <w:tcW w:type="dxa" w:w="2351"/>
          </w:tcPr>
          <w:p>
            <w:r>
              <w:rPr>
                <w:rFonts w:ascii="Meiryo UI" w:hAnsi="Meiryo UI"/>
                <w:sz w:val="18"/>
              </w:rPr>
              <w:t>約30%</w:t>
            </w:r>
          </w:p>
        </w:tc>
        <w:tc>
          <w:tcPr>
            <w:tcW w:type="dxa" w:w="2351"/>
          </w:tcPr>
          <w:p>
            <w:r>
              <w:rPr>
                <w:rFonts w:ascii="Meiryo UI" w:hAnsi="Meiryo UI"/>
                <w:sz w:val="18"/>
              </w:rPr>
              <w:t>空気分離装置・高圧ガス供給。安定収益基盤</w:t>
            </w:r>
          </w:p>
        </w:tc>
      </w:tr>
      <w:tr>
        <w:tc>
          <w:tcPr>
            <w:tcW w:type="dxa" w:w="2351"/>
            <w:shd w:val="clear" w:color="auto" w:fill="DDEBF7"/>
          </w:tcPr>
          <w:p>
            <w:r>
              <w:rPr>
                <w:rFonts w:ascii="Meiryo UI" w:hAnsi="Meiryo UI"/>
                <w:sz w:val="18"/>
              </w:rPr>
              <w:t>医療</w:t>
            </w:r>
          </w:p>
        </w:tc>
        <w:tc>
          <w:tcPr>
            <w:tcW w:type="dxa" w:w="2351"/>
            <w:shd w:val="clear" w:color="auto" w:fill="DDEBF7"/>
          </w:tcPr>
          <w:p>
            <w:r>
              <w:rPr>
                <w:rFonts w:ascii="Meiryo UI" w:hAnsi="Meiryo UI"/>
                <w:sz w:val="18"/>
              </w:rPr>
              <w:t>約20%</w:t>
            </w:r>
          </w:p>
        </w:tc>
        <w:tc>
          <w:tcPr>
            <w:tcW w:type="dxa" w:w="2351"/>
            <w:shd w:val="clear" w:color="auto" w:fill="DDEBF7"/>
          </w:tcPr>
          <w:p>
            <w:r>
              <w:rPr>
                <w:rFonts w:ascii="Meiryo UI" w:hAnsi="Meiryo UI"/>
                <w:sz w:val="18"/>
              </w:rPr>
              <w:t>約25%</w:t>
            </w:r>
          </w:p>
        </w:tc>
        <w:tc>
          <w:tcPr>
            <w:tcW w:type="dxa" w:w="2351"/>
            <w:shd w:val="clear" w:color="auto" w:fill="DDEBF7"/>
          </w:tcPr>
          <w:p>
            <w:r>
              <w:rPr>
                <w:rFonts w:ascii="Meiryo UI" w:hAnsi="Meiryo UI"/>
                <w:sz w:val="18"/>
              </w:rPr>
              <w:t>在宅酸素療法（HOT）・医療ガス。高マージン</w:t>
            </w:r>
          </w:p>
        </w:tc>
      </w:tr>
      <w:tr>
        <w:tc>
          <w:tcPr>
            <w:tcW w:type="dxa" w:w="2351"/>
          </w:tcPr>
          <w:p>
            <w:r>
              <w:rPr>
                <w:rFonts w:ascii="Meiryo UI" w:hAnsi="Meiryo UI"/>
                <w:sz w:val="18"/>
              </w:rPr>
              <w:t>農業・食品</w:t>
            </w:r>
          </w:p>
        </w:tc>
        <w:tc>
          <w:tcPr>
            <w:tcW w:type="dxa" w:w="2351"/>
          </w:tcPr>
          <w:p>
            <w:r>
              <w:rPr>
                <w:rFonts w:ascii="Meiryo UI" w:hAnsi="Meiryo UI"/>
                <w:sz w:val="18"/>
              </w:rPr>
              <w:t>約18%</w:t>
            </w:r>
          </w:p>
        </w:tc>
        <w:tc>
          <w:tcPr>
            <w:tcW w:type="dxa" w:w="2351"/>
          </w:tcPr>
          <w:p>
            <w:r>
              <w:rPr>
                <w:rFonts w:ascii="Meiryo UI" w:hAnsi="Meiryo UI"/>
                <w:sz w:val="18"/>
              </w:rPr>
              <w:t>約15%</w:t>
            </w:r>
          </w:p>
        </w:tc>
        <w:tc>
          <w:tcPr>
            <w:tcW w:type="dxa" w:w="2351"/>
          </w:tcPr>
          <w:p>
            <w:r>
              <w:rPr>
                <w:rFonts w:ascii="Meiryo UI" w:hAnsi="Meiryo UI"/>
                <w:sz w:val="18"/>
              </w:rPr>
              <w:t>肥料・農薬・食品向けガス。景気耐性高い</w:t>
            </w:r>
          </w:p>
        </w:tc>
      </w:tr>
      <w:tr>
        <w:tc>
          <w:tcPr>
            <w:tcW w:type="dxa" w:w="2351"/>
            <w:shd w:val="clear" w:color="auto" w:fill="DDEBF7"/>
          </w:tcPr>
          <w:p>
            <w:r>
              <w:rPr>
                <w:rFonts w:ascii="Meiryo UI" w:hAnsi="Meiryo UI"/>
                <w:sz w:val="18"/>
              </w:rPr>
              <w:t>機能材料・化学</w:t>
            </w:r>
          </w:p>
        </w:tc>
        <w:tc>
          <w:tcPr>
            <w:tcW w:type="dxa" w:w="2351"/>
            <w:shd w:val="clear" w:color="auto" w:fill="DDEBF7"/>
          </w:tcPr>
          <w:p>
            <w:r>
              <w:rPr>
                <w:rFonts w:ascii="Meiryo UI" w:hAnsi="Meiryo UI"/>
                <w:sz w:val="18"/>
              </w:rPr>
              <w:t>約15%</w:t>
            </w:r>
          </w:p>
        </w:tc>
        <w:tc>
          <w:tcPr>
            <w:tcW w:type="dxa" w:w="2351"/>
            <w:shd w:val="clear" w:color="auto" w:fill="DDEBF7"/>
          </w:tcPr>
          <w:p>
            <w:r>
              <w:rPr>
                <w:rFonts w:ascii="Meiryo UI" w:hAnsi="Meiryo UI"/>
                <w:sz w:val="18"/>
              </w:rPr>
              <w:t>約18%</w:t>
            </w:r>
          </w:p>
        </w:tc>
        <w:tc>
          <w:tcPr>
            <w:tcW w:type="dxa" w:w="2351"/>
            <w:shd w:val="clear" w:color="auto" w:fill="DDEBF7"/>
          </w:tcPr>
          <w:p>
            <w:r>
              <w:rPr>
                <w:rFonts w:ascii="Meiryo UI" w:hAnsi="Meiryo UI"/>
                <w:sz w:val="18"/>
              </w:rPr>
              <w:t>特殊化学品・半導体向け材料。成長ドライバー</w:t>
            </w:r>
          </w:p>
        </w:tc>
      </w:tr>
      <w:tr>
        <w:tc>
          <w:tcPr>
            <w:tcW w:type="dxa" w:w="2351"/>
          </w:tcPr>
          <w:p>
            <w:r>
              <w:rPr>
                <w:rFonts w:ascii="Meiryo UI" w:hAnsi="Meiryo UI"/>
                <w:sz w:val="18"/>
              </w:rPr>
              <w:t>エネルギー・その他</w:t>
            </w:r>
          </w:p>
        </w:tc>
        <w:tc>
          <w:tcPr>
            <w:tcW w:type="dxa" w:w="2351"/>
          </w:tcPr>
          <w:p>
            <w:r>
              <w:rPr>
                <w:rFonts w:ascii="Meiryo UI" w:hAnsi="Meiryo UI"/>
                <w:sz w:val="18"/>
              </w:rPr>
              <w:t>約12%</w:t>
            </w:r>
          </w:p>
        </w:tc>
        <w:tc>
          <w:tcPr>
            <w:tcW w:type="dxa" w:w="2351"/>
          </w:tcPr>
          <w:p>
            <w:r>
              <w:rPr>
                <w:rFonts w:ascii="Meiryo UI" w:hAnsi="Meiryo UI"/>
                <w:sz w:val="18"/>
              </w:rPr>
              <w:t>約12%</w:t>
            </w:r>
          </w:p>
        </w:tc>
        <w:tc>
          <w:tcPr>
            <w:tcW w:type="dxa" w:w="2351"/>
          </w:tcPr>
          <w:p>
            <w:r>
              <w:rPr>
                <w:rFonts w:ascii="Meiryo UI" w:hAnsi="Meiryo UI"/>
                <w:sz w:val="18"/>
              </w:rPr>
              <w:t>LPG・水素エネルギー・海外事業</w:t>
            </w:r>
          </w:p>
        </w:tc>
      </w:tr>
    </w:tbl>
    <w:p/>
    <w:p>
      <w:r>
        <w:rPr>
          <w:rFonts w:ascii="Meiryo UI" w:hAnsi="Meiryo UI"/>
          <w:sz w:val="20"/>
        </w:rPr>
        <w:t>&gt; ※ ARR（年間経常収益）・NRR（売上維持率）はSaaS企業向け指標であり、エア・ウォーターのような製造業には直接適用されない。代替指標として長期供給契約比率（推定60〜70%）・医療ガス事業の継続率（推定95%超）を収益安定性の代替指標として活用する。</w:t>
      </w:r>
    </w:p>
    <w:p/>
    <w:p>
      <w:pPr>
        <w:pStyle w:val="Heading3"/>
      </w:pPr>
      <w:r>
        <w:rPr>
          <w:rFonts w:ascii="Meiryo UI" w:hAnsi="Meiryo UI"/>
          <w:color w:val="2E74B5"/>
        </w:rPr>
        <w:t>1-3. 競合優位性</w:t>
      </w:r>
    </w:p>
    <w:p/>
    <w:p>
      <w:r>
        <w:rPr>
          <w:rFonts w:ascii="Meiryo UI" w:hAnsi="Meiryo UI"/>
          <w:sz w:val="20"/>
        </w:rPr>
        <w:t>✅ ポジティブ要因（トリガー前評価）</w:t>
      </w:r>
    </w:p>
    <w:p/>
    <w:p>
      <w:pPr>
        <w:pStyle w:val="ListNumber"/>
      </w:pPr>
      <w:r>
        <w:rPr>
          <w:rFonts w:ascii="Meiryo UI" w:hAnsi="Meiryo UI"/>
          <w:sz w:val="20"/>
        </w:rPr>
        <w:t>地域密着型パイプラインネットワーク: 産業ガスは導管インフラへの初期投資が参入障壁となり、既存顧客は容易に乗り換えられない。スイッチングコストが極めて高い。</w:t>
      </w:r>
    </w:p>
    <w:p>
      <w:pPr>
        <w:pStyle w:val="ListNumber"/>
      </w:pPr>
      <w:r>
        <w:rPr>
          <w:rFonts w:ascii="Meiryo UI" w:hAnsi="Meiryo UI"/>
          <w:sz w:val="20"/>
        </w:rPr>
        <w:t>医療ガス・在宅酸素の規制保護市場: 薬機法・保険点数制度に守られた安定収益。競合参入困難。</w:t>
      </w:r>
    </w:p>
    <w:p>
      <w:pPr>
        <w:pStyle w:val="ListNumber"/>
      </w:pPr>
      <w:r>
        <w:rPr>
          <w:rFonts w:ascii="Meiryo UI" w:hAnsi="Meiryo UI"/>
          <w:sz w:val="20"/>
        </w:rPr>
        <w:t>農業化学品との複合提案力: 産業ガス×肥料×農薬の一括提案は競合にない差別化。</w:t>
      </w:r>
    </w:p>
    <w:p>
      <w:pPr>
        <w:pStyle w:val="ListNumber"/>
      </w:pPr>
      <w:r>
        <w:rPr>
          <w:rFonts w:ascii="Meiryo UI" w:hAnsi="Meiryo UI"/>
          <w:sz w:val="20"/>
        </w:rPr>
        <w:t>多角化による景気耐性: セグメント分散により単一事業リスクを低減。</w:t>
      </w:r>
    </w:p>
    <w:p/>
    <w:p>
      <w:r>
        <w:rPr>
          <w:rFonts w:ascii="Meiryo UI" w:hAnsi="Meiryo UI"/>
          <w:sz w:val="20"/>
        </w:rPr>
        <w:t>❌ 今回トリガーによる毀損要因</w:t>
      </w:r>
    </w:p>
    <w:p/>
    <w:p>
      <w:pPr>
        <w:pStyle w:val="ListNumber"/>
      </w:pPr>
      <w:r>
        <w:rPr>
          <w:rFonts w:ascii="Meiryo UI" w:hAnsi="Meiryo UI"/>
          <w:sz w:val="20"/>
        </w:rPr>
        <w:t>ガバナンスプレミアム剥落: 機関投資家のESG基準厳格化により、不正発覚企業は組み入れ除外・ウェイト低下の対象となる。</w:t>
      </w:r>
    </w:p>
    <w:p>
      <w:pPr>
        <w:pStyle w:val="ListNumber"/>
      </w:pPr>
      <w:r>
        <w:rPr>
          <w:rFonts w:ascii="Meiryo UI" w:hAnsi="Meiryo UI"/>
          <w:sz w:val="20"/>
        </w:rPr>
        <w:t>管理体制への疑念: 特別調査委（社外第三者）による報告書公表は、内部統制の機能不全を対外的に確認させるものである。</w:t>
      </w:r>
    </w:p>
    <w:p>
      <w:pPr>
        <w:pStyle w:val="ListNumber"/>
      </w:pPr>
      <w:r>
        <w:rPr>
          <w:rFonts w:ascii="Meiryo UI" w:hAnsi="Meiryo UI"/>
          <w:sz w:val="20"/>
        </w:rPr>
        <w:t>関係者処分による経営陣の不安定化: 処分対象が経営中枢に及ぶ場合、戦略の継続性・M&amp;A実行力が低下するリスクがある。</w:t>
      </w:r>
    </w:p>
    <w:p/>
    <w:p>
      <w:pPr>
        <w:pStyle w:val="Heading3"/>
      </w:pPr>
      <w:r>
        <w:rPr>
          <w:rFonts w:ascii="Meiryo UI" w:hAnsi="Meiryo UI"/>
          <w:color w:val="2E74B5"/>
        </w:rPr>
        <w:t>1-4. 直近カタリスト整理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重要度</w:t>
            </w:r>
          </w:p>
        </w:tc>
      </w:tr>
      <w:tr>
        <w:tc>
          <w:tcPr>
            <w:tcW w:type="dxa" w:w="3135"/>
          </w:tcPr>
          <w:p>
            <w:r>
              <w:rPr>
                <w:rFonts w:ascii="Meiryo UI" w:hAnsi="Meiryo UI"/>
                <w:sz w:val="18"/>
              </w:rPr>
              <w:t>特別調査委報告書公表</w:t>
            </w:r>
          </w:p>
        </w:tc>
        <w:tc>
          <w:tcPr>
            <w:tcW w:type="dxa" w:w="3135"/>
          </w:tcPr>
          <w:p>
            <w:r>
              <w:rPr>
                <w:rFonts w:ascii="Meiryo UI" w:hAnsi="Meiryo UI"/>
                <w:sz w:val="18"/>
              </w:rPr>
              <w:t>🔴 強いネガティブ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再発防止策発表</w:t>
            </w:r>
          </w:p>
        </w:tc>
        <w:tc>
          <w:tcPr>
            <w:tcW w:type="dxa" w:w="3135"/>
            <w:shd w:val="clear" w:color="auto" w:fill="DDEBF7"/>
          </w:tcPr>
          <w:p>
            <w:r>
              <w:rPr>
                <w:rFonts w:ascii="Meiryo UI" w:hAnsi="Meiryo UI"/>
                <w:sz w:val="18"/>
              </w:rPr>
              <w:t>🟡 中立（やや好感も信頼回復には時間）</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関係者処分決定</w:t>
            </w:r>
          </w:p>
        </w:tc>
        <w:tc>
          <w:tcPr>
            <w:tcW w:type="dxa" w:w="3135"/>
          </w:tcPr>
          <w:p>
            <w:r>
              <w:rPr>
                <w:rFonts w:ascii="Meiryo UI" w:hAnsi="Meiryo UI"/>
                <w:sz w:val="18"/>
              </w:rPr>
              <w:t>🟡 中立〜弱いネガティブ（経営陣の不安定化）</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FY2026業績予想（5月発表予定）</w:t>
            </w:r>
          </w:p>
        </w:tc>
        <w:tc>
          <w:tcPr>
            <w:tcW w:type="dxa" w:w="3135"/>
            <w:shd w:val="clear" w:color="auto" w:fill="DDEBF7"/>
          </w:tcPr>
          <w:p>
            <w:r>
              <w:rPr>
                <w:rFonts w:ascii="Meiryo UI" w:hAnsi="Meiryo UI"/>
                <w:sz w:val="18"/>
              </w:rPr>
              <w:t>🔴 不透明（特損計上・保守的見通しの可能性）</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機関投資家の組み入れ見直し</w:t>
            </w:r>
          </w:p>
        </w:tc>
        <w:tc>
          <w:tcPr>
            <w:tcW w:type="dxa" w:w="3135"/>
          </w:tcPr>
          <w:p>
            <w:r>
              <w:rPr>
                <w:rFonts w:ascii="Meiryo UI" w:hAnsi="Meiryo UI"/>
                <w:sz w:val="18"/>
              </w:rPr>
              <w:t>🔴 ネガティブ（MSCI等の定期見直し）</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水素社会関連政策（長期追い風）</w:t>
            </w:r>
          </w:p>
        </w:tc>
        <w:tc>
          <w:tcPr>
            <w:tcW w:type="dxa" w:w="3135"/>
            <w:shd w:val="clear" w:color="auto" w:fill="DDEBF7"/>
          </w:tcPr>
          <w:p>
            <w:r>
              <w:rPr>
                <w:rFonts w:ascii="Meiryo UI" w:hAnsi="Meiryo UI"/>
                <w:sz w:val="18"/>
              </w:rPr>
              <w:t>🟢 ポジティブ（ただし短期には効かない）</w:t>
            </w:r>
          </w:p>
        </w:tc>
        <w:tc>
          <w:tcPr>
            <w:tcW w:type="dxa" w:w="3135"/>
            <w:shd w:val="clear" w:color="auto" w:fill="DDEBF7"/>
          </w:tcPr>
          <w:p>
            <w:r>
              <w:rPr>
                <w:rFonts w:ascii="Meiryo UI" w:hAnsi="Meiryo UI"/>
                <w:sz w:val="18"/>
              </w:rPr>
              <w:t>★★</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産業ガス業界の構造</w:t>
      </w:r>
    </w:p>
    <w:p/>
    <w:p>
      <w:r>
        <w:rPr>
          <w:rFonts w:ascii="Meiryo UI" w:hAnsi="Meiryo UI"/>
          <w:sz w:val="20"/>
        </w:rPr>
        <w:t>世界の産業ガス市場はリンデ（独/米）・エア・プロダクツ（米）・エア・リキード（仏）の3強が世界シェアの約70%を占める寡占構造である。日本国内では以下の競合が存在する。</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競合企業</w:t>
            </w:r>
          </w:p>
        </w:tc>
        <w:tc>
          <w:tcPr>
            <w:tcW w:type="dxa" w:w="3135"/>
            <w:shd w:val="clear" w:color="auto" w:fill="2E74B5"/>
          </w:tcPr>
          <w:p>
            <w:r>
              <w:rPr>
                <w:rFonts w:ascii="Meiryo UI" w:hAnsi="Meiryo UI"/>
                <w:b/>
                <w:color w:val="FFFFFF"/>
                <w:sz w:val="18"/>
              </w:rPr>
              <w:t>強み</w:t>
            </w:r>
          </w:p>
        </w:tc>
        <w:tc>
          <w:tcPr>
            <w:tcW w:type="dxa" w:w="3135"/>
            <w:shd w:val="clear" w:color="auto" w:fill="2E74B5"/>
          </w:tcPr>
          <w:p>
            <w:r>
              <w:rPr>
                <w:rFonts w:ascii="Meiryo UI" w:hAnsi="Meiryo UI"/>
                <w:b/>
                <w:color w:val="FFFFFF"/>
                <w:sz w:val="18"/>
              </w:rPr>
              <w:t>エア・ウォーターとの差異</w:t>
            </w:r>
          </w:p>
        </w:tc>
      </w:tr>
      <w:tr>
        <w:tc>
          <w:tcPr>
            <w:tcW w:type="dxa" w:w="3135"/>
          </w:tcPr>
          <w:p>
            <w:r>
              <w:rPr>
                <w:rFonts w:ascii="Meiryo UI" w:hAnsi="Meiryo UI"/>
                <w:sz w:val="18"/>
              </w:rPr>
              <w:t>大陽日酸（日本酸素HD, 4091）</w:t>
            </w:r>
          </w:p>
        </w:tc>
        <w:tc>
          <w:tcPr>
            <w:tcW w:type="dxa" w:w="3135"/>
          </w:tcPr>
          <w:p>
            <w:r>
              <w:rPr>
                <w:rFonts w:ascii="Meiryo UI" w:hAnsi="Meiryo UI"/>
                <w:sz w:val="18"/>
              </w:rPr>
              <w:t>最大手・三菱ケミカルグループ</w:t>
            </w:r>
          </w:p>
        </w:tc>
        <w:tc>
          <w:tcPr>
            <w:tcW w:type="dxa" w:w="3135"/>
          </w:tcPr>
          <w:p>
            <w:r>
              <w:rPr>
                <w:rFonts w:ascii="Meiryo UI" w:hAnsi="Meiryo UI"/>
                <w:sz w:val="18"/>
              </w:rPr>
              <w:t>規模で上回るが多角化は限定的</w:t>
            </w:r>
          </w:p>
        </w:tc>
      </w:tr>
      <w:tr>
        <w:tc>
          <w:tcPr>
            <w:tcW w:type="dxa" w:w="3135"/>
            <w:shd w:val="clear" w:color="auto" w:fill="DDEBF7"/>
          </w:tcPr>
          <w:p>
            <w:r>
              <w:rPr>
                <w:rFonts w:ascii="Meiryo UI" w:hAnsi="Meiryo UI"/>
                <w:sz w:val="18"/>
              </w:rPr>
              <w:t>岩谷産業（8088）</w:t>
            </w:r>
          </w:p>
        </w:tc>
        <w:tc>
          <w:tcPr>
            <w:tcW w:type="dxa" w:w="3135"/>
            <w:shd w:val="clear" w:color="auto" w:fill="DDEBF7"/>
          </w:tcPr>
          <w:p>
            <w:r>
              <w:rPr>
                <w:rFonts w:ascii="Meiryo UI" w:hAnsi="Meiryo UI"/>
                <w:sz w:val="18"/>
              </w:rPr>
              <w:t>LPG・水素・産業ガスの三位一体</w:t>
            </w:r>
          </w:p>
        </w:tc>
        <w:tc>
          <w:tcPr>
            <w:tcW w:type="dxa" w:w="3135"/>
            <w:shd w:val="clear" w:color="auto" w:fill="DDEBF7"/>
          </w:tcPr>
          <w:p>
            <w:r>
              <w:rPr>
                <w:rFonts w:ascii="Meiryo UI" w:hAnsi="Meiryo UI"/>
                <w:sz w:val="18"/>
              </w:rPr>
              <w:t>水素インフラで先行</w:t>
            </w:r>
          </w:p>
        </w:tc>
      </w:tr>
      <w:tr>
        <w:tc>
          <w:tcPr>
            <w:tcW w:type="dxa" w:w="3135"/>
          </w:tcPr>
          <w:p>
            <w:r>
              <w:rPr>
                <w:rFonts w:ascii="Meiryo UI" w:hAnsi="Meiryo UI"/>
                <w:sz w:val="18"/>
              </w:rPr>
              <w:t>住友精化（4008）</w:t>
            </w:r>
          </w:p>
        </w:tc>
        <w:tc>
          <w:tcPr>
            <w:tcW w:type="dxa" w:w="3135"/>
          </w:tcPr>
          <w:p>
            <w:r>
              <w:rPr>
                <w:rFonts w:ascii="Meiryo UI" w:hAnsi="Meiryo UI"/>
                <w:sz w:val="18"/>
              </w:rPr>
              <w:t>高純度ガス特化</w:t>
            </w:r>
          </w:p>
        </w:tc>
        <w:tc>
          <w:tcPr>
            <w:tcW w:type="dxa" w:w="3135"/>
          </w:tcPr>
          <w:p>
            <w:r>
              <w:rPr>
                <w:rFonts w:ascii="Meiryo UI" w:hAnsi="Meiryo UI"/>
                <w:sz w:val="18"/>
              </w:rPr>
              <w:t>ニッチ特化型</w:t>
            </w:r>
          </w:p>
        </w:tc>
      </w:tr>
      <w:tr>
        <w:tc>
          <w:tcPr>
            <w:tcW w:type="dxa" w:w="3135"/>
            <w:shd w:val="clear" w:color="auto" w:fill="DDEBF7"/>
          </w:tcPr>
          <w:p>
            <w:r>
              <w:rPr>
                <w:rFonts w:ascii="Meiryo UI" w:hAnsi="Meiryo UI"/>
                <w:sz w:val="18"/>
              </w:rPr>
              <w:t>昭和電工ガスプロダクツ</w:t>
            </w:r>
          </w:p>
        </w:tc>
        <w:tc>
          <w:tcPr>
            <w:tcW w:type="dxa" w:w="3135"/>
            <w:shd w:val="clear" w:color="auto" w:fill="DDEBF7"/>
          </w:tcPr>
          <w:p>
            <w:r>
              <w:rPr>
                <w:rFonts w:ascii="Meiryo UI" w:hAnsi="Meiryo UI"/>
                <w:sz w:val="18"/>
              </w:rPr>
              <w:t>レゾナック傘下・半導体特殊ガス</w:t>
            </w:r>
          </w:p>
        </w:tc>
        <w:tc>
          <w:tcPr>
            <w:tcW w:type="dxa" w:w="3135"/>
            <w:shd w:val="clear" w:color="auto" w:fill="DDEBF7"/>
          </w:tcPr>
          <w:p>
            <w:r>
              <w:rPr>
                <w:rFonts w:ascii="Meiryo UI" w:hAnsi="Meiryo UI"/>
                <w:sz w:val="18"/>
              </w:rPr>
              <w:t>半導体向けで競合</w:t>
            </w:r>
          </w:p>
        </w:tc>
      </w:tr>
    </w:tbl>
    <w:p/>
    <w:p>
      <w:pPr>
        <w:pStyle w:val="Heading3"/>
      </w:pPr>
      <w:r>
        <w:rPr>
          <w:rFonts w:ascii="Meiryo UI" w:hAnsi="Meiryo UI"/>
          <w:color w:val="2E74B5"/>
        </w:rPr>
        <w:t>2-2. エア・ウォーターの相対ポジション</w:t>
      </w:r>
    </w:p>
    <w:p/>
    <w:p>
      <w:pPr>
        <w:pStyle w:val="ListBullet"/>
      </w:pPr>
      <w:r>
        <w:rPr>
          <w:rFonts w:ascii="Meiryo UI" w:hAnsi="Meiryo UI"/>
          <w:sz w:val="20"/>
        </w:rPr>
        <w:t>国内産業ガス市場シェア: 大陽日酸に次ぐ業界第2位（推定）</w:t>
      </w:r>
    </w:p>
    <w:p>
      <w:pPr>
        <w:pStyle w:val="ListBullet"/>
      </w:pPr>
      <w:r>
        <w:rPr>
          <w:rFonts w:ascii="Meiryo UI" w:hAnsi="Meiryo UI"/>
          <w:sz w:val="20"/>
        </w:rPr>
        <w:t>医療ガス分野: 国内トップクラス。在宅酸素療法の普及率上昇が長期追い風</w:t>
      </w:r>
    </w:p>
    <w:p>
      <w:pPr>
        <w:pStyle w:val="ListBullet"/>
      </w:pPr>
      <w:r>
        <w:rPr>
          <w:rFonts w:ascii="Meiryo UI" w:hAnsi="Meiryo UI"/>
          <w:sz w:val="20"/>
        </w:rPr>
        <w:t>農業化学品: 国内独自ポジション（競合少ない）</w:t>
      </w:r>
    </w:p>
    <w:p/>
    <w:p>
      <w:pPr>
        <w:pStyle w:val="Heading3"/>
      </w:pPr>
      <w:r>
        <w:rPr>
          <w:rFonts w:ascii="Meiryo UI" w:hAnsi="Meiryo UI"/>
          <w:color w:val="2E74B5"/>
        </w:rPr>
        <w:t>2-3. 今回不正発覚による競合への流出リスク</w:t>
      </w:r>
    </w:p>
    <w:p/>
    <w:p>
      <w:r>
        <w:rPr>
          <w:rFonts w:ascii="Meiryo UI" w:hAnsi="Meiryo UI"/>
          <w:sz w:val="20"/>
        </w:rPr>
        <w:t>産業ガスはパイプライン供給のためスイッチングコストが高く、短期の顧客流出リスクは限定的。ただし、新規大型案件の受注競争では信頼性を問われる可能性があり、中長期の新規顧客獲得に支障が出るリスクは中程度存在する。医療ガス分野では、病院・診療所からの契約更新に影響が出るリスクも排除できな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損益計算書（PL）サマリー</w:t>
      </w:r>
    </w:p>
    <w:p/>
    <w:p>
      <w:r>
        <w:rPr>
          <w:rFonts w:ascii="Meiryo UI" w:hAnsi="Meiryo UI"/>
          <w:sz w:val="20"/>
        </w:rPr>
        <w:t>以下は公開情報・四季報・開示資料をベースとした推定値である。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FY2025実績(E)</w:t>
            </w:r>
          </w:p>
        </w:tc>
        <w:tc>
          <w:tcPr>
            <w:tcW w:type="dxa" w:w="1881"/>
            <w:shd w:val="clear" w:color="auto" w:fill="2E74B5"/>
          </w:tcPr>
          <w:p>
            <w:r>
              <w:rPr>
                <w:rFonts w:ascii="Meiryo UI" w:hAnsi="Meiryo UI"/>
                <w:b/>
                <w:color w:val="FFFFFF"/>
                <w:sz w:val="18"/>
              </w:rPr>
              <w:t>YoY変化</w:t>
            </w:r>
          </w:p>
        </w:tc>
      </w:tr>
      <w:tr>
        <w:tc>
          <w:tcPr>
            <w:tcW w:type="dxa" w:w="1881"/>
          </w:tcPr>
          <w:p>
            <w:r>
              <w:rPr>
                <w:rFonts w:ascii="Meiryo UI" w:hAnsi="Meiryo UI"/>
                <w:sz w:val="18"/>
              </w:rPr>
              <w:t>売上高</w:t>
            </w:r>
          </w:p>
        </w:tc>
        <w:tc>
          <w:tcPr>
            <w:tcW w:type="dxa" w:w="1881"/>
          </w:tcPr>
          <w:p>
            <w:r>
              <w:rPr>
                <w:rFonts w:ascii="Meiryo UI" w:hAnsi="Meiryo UI"/>
                <w:sz w:val="18"/>
              </w:rPr>
              <w:t>約9,500億円</w:t>
            </w:r>
          </w:p>
        </w:tc>
        <w:tc>
          <w:tcPr>
            <w:tcW w:type="dxa" w:w="1881"/>
          </w:tcPr>
          <w:p>
            <w:r>
              <w:rPr>
                <w:rFonts w:ascii="Meiryo UI" w:hAnsi="Meiryo UI"/>
                <w:sz w:val="18"/>
              </w:rPr>
              <w:t>約10,200億円</w:t>
            </w:r>
          </w:p>
        </w:tc>
        <w:tc>
          <w:tcPr>
            <w:tcW w:type="dxa" w:w="1881"/>
          </w:tcPr>
          <w:p>
            <w:r>
              <w:rPr>
                <w:rFonts w:ascii="Meiryo UI" w:hAnsi="Meiryo UI"/>
                <w:sz w:val="18"/>
              </w:rPr>
              <w:t>約10,500億円</w:t>
            </w:r>
          </w:p>
        </w:tc>
        <w:tc>
          <w:tcPr>
            <w:tcW w:type="dxa" w:w="1881"/>
          </w:tcPr>
          <w:p>
            <w:r>
              <w:rPr>
                <w:rFonts w:ascii="Meiryo UI" w:hAnsi="Meiryo UI"/>
                <w:sz w:val="18"/>
              </w:rPr>
              <w:t>+2.9%</w:t>
            </w:r>
          </w:p>
        </w:tc>
      </w:tr>
      <w:tr>
        <w:tc>
          <w:tcPr>
            <w:tcW w:type="dxa" w:w="1881"/>
            <w:shd w:val="clear" w:color="auto" w:fill="DDEBF7"/>
          </w:tcPr>
          <w:p>
            <w:r>
              <w:rPr>
                <w:rFonts w:ascii="Meiryo UI" w:hAnsi="Meiryo UI"/>
                <w:sz w:val="18"/>
              </w:rPr>
              <w:t>売上総利益</w:t>
            </w:r>
          </w:p>
        </w:tc>
        <w:tc>
          <w:tcPr>
            <w:tcW w:type="dxa" w:w="1881"/>
            <w:shd w:val="clear" w:color="auto" w:fill="DDEBF7"/>
          </w:tcPr>
          <w:p>
            <w:r>
              <w:rPr>
                <w:rFonts w:ascii="Meiryo UI" w:hAnsi="Meiryo UI"/>
                <w:sz w:val="18"/>
              </w:rPr>
              <w:t>約2,800億円</w:t>
            </w:r>
          </w:p>
        </w:tc>
        <w:tc>
          <w:tcPr>
            <w:tcW w:type="dxa" w:w="1881"/>
            <w:shd w:val="clear" w:color="auto" w:fill="DDEBF7"/>
          </w:tcPr>
          <w:p>
            <w:r>
              <w:rPr>
                <w:rFonts w:ascii="Meiryo UI" w:hAnsi="Meiryo UI"/>
                <w:sz w:val="18"/>
              </w:rPr>
              <w:t>約3,000億円</w:t>
            </w:r>
          </w:p>
        </w:tc>
        <w:tc>
          <w:tcPr>
            <w:tcW w:type="dxa" w:w="1881"/>
            <w:shd w:val="clear" w:color="auto" w:fill="DDEBF7"/>
          </w:tcPr>
          <w:p>
            <w:r>
              <w:rPr>
                <w:rFonts w:ascii="Meiryo UI" w:hAnsi="Meiryo UI"/>
                <w:sz w:val="18"/>
              </w:rPr>
              <w:t>約3,050億円</w:t>
            </w:r>
          </w:p>
        </w:tc>
        <w:tc>
          <w:tcPr>
            <w:tcW w:type="dxa" w:w="1881"/>
            <w:shd w:val="clear" w:color="auto" w:fill="DDEBF7"/>
          </w:tcPr>
          <w:p>
            <w:r>
              <w:rPr>
                <w:rFonts w:ascii="Meiryo UI" w:hAnsi="Meiryo UI"/>
                <w:sz w:val="18"/>
              </w:rPr>
              <w:t>+1.7%</w:t>
            </w:r>
          </w:p>
        </w:tc>
      </w:tr>
      <w:tr>
        <w:tc>
          <w:tcPr>
            <w:tcW w:type="dxa" w:w="1881"/>
          </w:tcPr>
          <w:p>
            <w:r>
              <w:rPr>
                <w:rFonts w:ascii="Meiryo UI" w:hAnsi="Meiryo UI"/>
                <w:sz w:val="18"/>
              </w:rPr>
              <w:t>売上総利益率</w:t>
            </w:r>
          </w:p>
        </w:tc>
        <w:tc>
          <w:tcPr>
            <w:tcW w:type="dxa" w:w="1881"/>
          </w:tcPr>
          <w:p>
            <w:r>
              <w:rPr>
                <w:rFonts w:ascii="Meiryo UI" w:hAnsi="Meiryo UI"/>
                <w:sz w:val="18"/>
              </w:rPr>
              <w:t>29.5%</w:t>
            </w:r>
          </w:p>
        </w:tc>
        <w:tc>
          <w:tcPr>
            <w:tcW w:type="dxa" w:w="1881"/>
          </w:tcPr>
          <w:p>
            <w:r>
              <w:rPr>
                <w:rFonts w:ascii="Meiryo UI" w:hAnsi="Meiryo UI"/>
                <w:sz w:val="18"/>
              </w:rPr>
              <w:t>29.4%</w:t>
            </w:r>
          </w:p>
        </w:tc>
        <w:tc>
          <w:tcPr>
            <w:tcW w:type="dxa" w:w="1881"/>
          </w:tcPr>
          <w:p>
            <w:r>
              <w:rPr>
                <w:rFonts w:ascii="Meiryo UI" w:hAnsi="Meiryo UI"/>
                <w:sz w:val="18"/>
              </w:rPr>
              <w:t>29.0%</w:t>
            </w:r>
          </w:p>
        </w:tc>
        <w:tc>
          <w:tcPr>
            <w:tcW w:type="dxa" w:w="1881"/>
          </w:tcPr>
          <w:p>
            <w:r>
              <w:rPr>
                <w:rFonts w:ascii="Meiryo UI" w:hAnsi="Meiryo UI"/>
                <w:sz w:val="18"/>
              </w:rPr>
              <w:t>▲0.4pt</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約520億円</w:t>
            </w:r>
          </w:p>
        </w:tc>
        <w:tc>
          <w:tcPr>
            <w:tcW w:type="dxa" w:w="1881"/>
            <w:shd w:val="clear" w:color="auto" w:fill="DDEBF7"/>
          </w:tcPr>
          <w:p>
            <w:r>
              <w:rPr>
                <w:rFonts w:ascii="Meiryo UI" w:hAnsi="Meiryo UI"/>
                <w:sz w:val="18"/>
              </w:rPr>
              <w:t>約560億円</w:t>
            </w:r>
          </w:p>
        </w:tc>
        <w:tc>
          <w:tcPr>
            <w:tcW w:type="dxa" w:w="1881"/>
            <w:shd w:val="clear" w:color="auto" w:fill="DDEBF7"/>
          </w:tcPr>
          <w:p>
            <w:r>
              <w:rPr>
                <w:rFonts w:ascii="Meiryo UI" w:hAnsi="Meiryo UI"/>
                <w:sz w:val="18"/>
              </w:rPr>
              <w:t>約550億円</w:t>
            </w:r>
          </w:p>
        </w:tc>
        <w:tc>
          <w:tcPr>
            <w:tcW w:type="dxa" w:w="1881"/>
            <w:shd w:val="clear" w:color="auto" w:fill="DDEBF7"/>
          </w:tcPr>
          <w:p>
            <w:r>
              <w:rPr>
                <w:rFonts w:ascii="Meiryo UI" w:hAnsi="Meiryo UI"/>
                <w:sz w:val="18"/>
              </w:rPr>
              <w:t>▲1.8%</w:t>
            </w:r>
          </w:p>
        </w:tc>
      </w:tr>
      <w:tr>
        <w:tc>
          <w:tcPr>
            <w:tcW w:type="dxa" w:w="1881"/>
          </w:tcPr>
          <w:p>
            <w:r>
              <w:rPr>
                <w:rFonts w:ascii="Meiryo UI" w:hAnsi="Meiryo UI"/>
                <w:sz w:val="18"/>
              </w:rPr>
              <w:t>営業利益率</w:t>
            </w:r>
          </w:p>
        </w:tc>
        <w:tc>
          <w:tcPr>
            <w:tcW w:type="dxa" w:w="1881"/>
          </w:tcPr>
          <w:p>
            <w:r>
              <w:rPr>
                <w:rFonts w:ascii="Meiryo UI" w:hAnsi="Meiryo UI"/>
                <w:sz w:val="18"/>
              </w:rPr>
              <w:t>5.5%</w:t>
            </w:r>
          </w:p>
        </w:tc>
        <w:tc>
          <w:tcPr>
            <w:tcW w:type="dxa" w:w="1881"/>
          </w:tcPr>
          <w:p>
            <w:r>
              <w:rPr>
                <w:rFonts w:ascii="Meiryo UI" w:hAnsi="Meiryo UI"/>
                <w:sz w:val="18"/>
              </w:rPr>
              <w:t>5.5%</w:t>
            </w:r>
          </w:p>
        </w:tc>
        <w:tc>
          <w:tcPr>
            <w:tcW w:type="dxa" w:w="1881"/>
          </w:tcPr>
          <w:p>
            <w:r>
              <w:rPr>
                <w:rFonts w:ascii="Meiryo UI" w:hAnsi="Meiryo UI"/>
                <w:sz w:val="18"/>
              </w:rPr>
              <w:t>5.2%</w:t>
            </w:r>
          </w:p>
        </w:tc>
        <w:tc>
          <w:tcPr>
            <w:tcW w:type="dxa" w:w="1881"/>
          </w:tcPr>
          <w:p>
            <w:r>
              <w:rPr>
                <w:rFonts w:ascii="Meiryo UI" w:hAnsi="Meiryo UI"/>
                <w:sz w:val="18"/>
              </w:rPr>
              <w:t>▲0.3pt</w:t>
            </w:r>
          </w:p>
        </w:tc>
      </w:tr>
      <w:tr>
        <w:tc>
          <w:tcPr>
            <w:tcW w:type="dxa" w:w="1881"/>
            <w:shd w:val="clear" w:color="auto" w:fill="DDEBF7"/>
          </w:tcPr>
          <w:p>
            <w:r>
              <w:rPr>
                <w:rFonts w:ascii="Meiryo UI" w:hAnsi="Meiryo UI"/>
                <w:sz w:val="18"/>
              </w:rPr>
              <w:t>経常利益</w:t>
            </w:r>
          </w:p>
        </w:tc>
        <w:tc>
          <w:tcPr>
            <w:tcW w:type="dxa" w:w="1881"/>
            <w:shd w:val="clear" w:color="auto" w:fill="DDEBF7"/>
          </w:tcPr>
          <w:p>
            <w:r>
              <w:rPr>
                <w:rFonts w:ascii="Meiryo UI" w:hAnsi="Meiryo UI"/>
                <w:sz w:val="18"/>
              </w:rPr>
              <w:t>約540億円</w:t>
            </w:r>
          </w:p>
        </w:tc>
        <w:tc>
          <w:tcPr>
            <w:tcW w:type="dxa" w:w="1881"/>
            <w:shd w:val="clear" w:color="auto" w:fill="DDEBF7"/>
          </w:tcPr>
          <w:p>
            <w:r>
              <w:rPr>
                <w:rFonts w:ascii="Meiryo UI" w:hAnsi="Meiryo UI"/>
                <w:sz w:val="18"/>
              </w:rPr>
              <w:t>約580億円</w:t>
            </w:r>
          </w:p>
        </w:tc>
        <w:tc>
          <w:tcPr>
            <w:tcW w:type="dxa" w:w="1881"/>
            <w:shd w:val="clear" w:color="auto" w:fill="DDEBF7"/>
          </w:tcPr>
          <w:p>
            <w:r>
              <w:rPr>
                <w:rFonts w:ascii="Meiryo UI" w:hAnsi="Meiryo UI"/>
                <w:sz w:val="18"/>
              </w:rPr>
              <w:t>約570億円</w:t>
            </w:r>
          </w:p>
        </w:tc>
        <w:tc>
          <w:tcPr>
            <w:tcW w:type="dxa" w:w="1881"/>
            <w:shd w:val="clear" w:color="auto" w:fill="DDEBF7"/>
          </w:tcPr>
          <w:p>
            <w:r>
              <w:rPr>
                <w:rFonts w:ascii="Meiryo UI" w:hAnsi="Meiryo UI"/>
                <w:sz w:val="18"/>
              </w:rPr>
              <w:t>▲1.7%</w:t>
            </w:r>
          </w:p>
        </w:tc>
      </w:tr>
      <w:tr>
        <w:tc>
          <w:tcPr>
            <w:tcW w:type="dxa" w:w="1881"/>
          </w:tcPr>
          <w:p>
            <w:r>
              <w:rPr>
                <w:rFonts w:ascii="Meiryo UI" w:hAnsi="Meiryo UI"/>
                <w:sz w:val="18"/>
              </w:rPr>
              <w:t>当期純利益</w:t>
            </w:r>
          </w:p>
        </w:tc>
        <w:tc>
          <w:tcPr>
            <w:tcW w:type="dxa" w:w="1881"/>
          </w:tcPr>
          <w:p>
            <w:r>
              <w:rPr>
                <w:rFonts w:ascii="Meiryo UI" w:hAnsi="Meiryo UI"/>
                <w:sz w:val="18"/>
              </w:rPr>
              <w:t>約350億円</w:t>
            </w:r>
          </w:p>
        </w:tc>
        <w:tc>
          <w:tcPr>
            <w:tcW w:type="dxa" w:w="1881"/>
          </w:tcPr>
          <w:p>
            <w:r>
              <w:rPr>
                <w:rFonts w:ascii="Meiryo UI" w:hAnsi="Meiryo UI"/>
                <w:sz w:val="18"/>
              </w:rPr>
              <w:t>約380億円</w:t>
            </w:r>
          </w:p>
        </w:tc>
        <w:tc>
          <w:tcPr>
            <w:tcW w:type="dxa" w:w="1881"/>
          </w:tcPr>
          <w:p>
            <w:r>
              <w:rPr>
                <w:rFonts w:ascii="Meiryo UI" w:hAnsi="Meiryo UI"/>
                <w:sz w:val="18"/>
              </w:rPr>
              <w:t>約360億円</w:t>
            </w:r>
          </w:p>
        </w:tc>
        <w:tc>
          <w:tcPr>
            <w:tcW w:type="dxa" w:w="1881"/>
          </w:tcPr>
          <w:p>
            <w:r>
              <w:rPr>
                <w:rFonts w:ascii="Meiryo UI" w:hAnsi="Meiryo UI"/>
                <w:sz w:val="18"/>
              </w:rPr>
              <w:t>▲5.3%</w:t>
            </w:r>
          </w:p>
        </w:tc>
      </w:tr>
      <w:tr>
        <w:tc>
          <w:tcPr>
            <w:tcW w:type="dxa" w:w="1881"/>
            <w:shd w:val="clear" w:color="auto" w:fill="DDEBF7"/>
          </w:tcPr>
          <w:p>
            <w:r>
              <w:rPr>
                <w:rFonts w:ascii="Meiryo UI" w:hAnsi="Meiryo UI"/>
                <w:sz w:val="18"/>
              </w:rPr>
              <w:t>純利益率</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3.7%</w:t>
            </w:r>
          </w:p>
        </w:tc>
        <w:tc>
          <w:tcPr>
            <w:tcW w:type="dxa" w:w="1881"/>
            <w:shd w:val="clear" w:color="auto" w:fill="DDEBF7"/>
          </w:tcPr>
          <w:p>
            <w:r>
              <w:rPr>
                <w:rFonts w:ascii="Meiryo UI" w:hAnsi="Meiryo UI"/>
                <w:sz w:val="18"/>
              </w:rPr>
              <w:t>3.4%</w:t>
            </w:r>
          </w:p>
        </w:tc>
        <w:tc>
          <w:tcPr>
            <w:tcW w:type="dxa" w:w="1881"/>
            <w:shd w:val="clear" w:color="auto" w:fill="DDEBF7"/>
          </w:tcPr>
          <w:p>
            <w:r>
              <w:rPr>
                <w:rFonts w:ascii="Meiryo UI" w:hAnsi="Meiryo UI"/>
                <w:sz w:val="18"/>
              </w:rPr>
              <w:t>▲0.3pt</w:t>
            </w:r>
          </w:p>
        </w:tc>
      </w:tr>
    </w:tbl>
    <w:p/>
    <w:p>
      <w:r>
        <w:rPr>
          <w:rFonts w:ascii="Meiryo UI" w:hAnsi="Meiryo UI"/>
          <w:sz w:val="20"/>
        </w:rPr>
        <w:t>&gt; ⚠️ 不正関連の特別損失リスク: 調査費用・賠償金・システム整備コストとして30〜80億円の特損が今後計上される可能性。FY2026業績予想への下方修正要因となる。</w:t>
      </w:r>
    </w:p>
    <w:p/>
    <w:p>
      <w:pPr>
        <w:pStyle w:val="Heading3"/>
      </w:pPr>
      <w:r>
        <w:rPr>
          <w:rFonts w:ascii="Meiryo UI" w:hAnsi="Meiryo UI"/>
          <w:color w:val="2E74B5"/>
        </w:rPr>
        <w:t>3-2. 貸借対照表（BS）ハイライト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FY2024実績(推定)</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総資産</w:t>
            </w:r>
          </w:p>
        </w:tc>
        <w:tc>
          <w:tcPr>
            <w:tcW w:type="dxa" w:w="3135"/>
          </w:tcPr>
          <w:p>
            <w:r>
              <w:rPr>
                <w:rFonts w:ascii="Meiryo UI" w:hAnsi="Meiryo UI"/>
                <w:sz w:val="18"/>
              </w:rPr>
              <w:t>約1兆5,000億円</w:t>
            </w:r>
          </w:p>
        </w:tc>
        <w:tc>
          <w:tcPr>
            <w:tcW w:type="dxa" w:w="3135"/>
          </w:tcPr>
          <w:p>
            <w:r>
              <w:rPr>
                <w:rFonts w:ascii="Meiryo UI" w:hAnsi="Meiryo UI"/>
                <w:sz w:val="18"/>
              </w:rPr>
              <w:t>大規模コングロマリット</w:t>
            </w:r>
          </w:p>
        </w:tc>
      </w:tr>
      <w:tr>
        <w:tc>
          <w:tcPr>
            <w:tcW w:type="dxa" w:w="3135"/>
            <w:shd w:val="clear" w:color="auto" w:fill="DDEBF7"/>
          </w:tcPr>
          <w:p>
            <w:r>
              <w:rPr>
                <w:rFonts w:ascii="Meiryo UI" w:hAnsi="Meiryo UI"/>
                <w:sz w:val="18"/>
              </w:rPr>
              <w:t>自己資本</w:t>
            </w:r>
          </w:p>
        </w:tc>
        <w:tc>
          <w:tcPr>
            <w:tcW w:type="dxa" w:w="3135"/>
            <w:shd w:val="clear" w:color="auto" w:fill="DDEBF7"/>
          </w:tcPr>
          <w:p>
            <w:r>
              <w:rPr>
                <w:rFonts w:ascii="Meiryo UI" w:hAnsi="Meiryo UI"/>
                <w:sz w:val="18"/>
              </w:rPr>
              <w:t>約5,500億円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自己資本比率</w:t>
            </w:r>
          </w:p>
        </w:tc>
        <w:tc>
          <w:tcPr>
            <w:tcW w:type="dxa" w:w="3135"/>
          </w:tcPr>
          <w:p>
            <w:r>
              <w:rPr>
                <w:rFonts w:ascii="Meiryo UI" w:hAnsi="Meiryo UI"/>
                <w:sz w:val="18"/>
              </w:rPr>
              <w:t>約37%</w:t>
            </w:r>
          </w:p>
        </w:tc>
        <w:tc>
          <w:tcPr>
            <w:tcW w:type="dxa" w:w="3135"/>
          </w:tcPr>
          <w:p>
            <w:r>
              <w:rPr>
                <w:rFonts w:ascii="Meiryo UI" w:hAnsi="Meiryo UI"/>
                <w:sz w:val="18"/>
              </w:rPr>
              <w:t>中程度（産業ガスとして標準的）</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約4,500億円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ネットD/E レシオ</w:t>
            </w:r>
          </w:p>
        </w:tc>
        <w:tc>
          <w:tcPr>
            <w:tcW w:type="dxa" w:w="3135"/>
          </w:tcPr>
          <w:p>
            <w:r>
              <w:rPr>
                <w:rFonts w:ascii="Meiryo UI" w:hAnsi="Meiryo UI"/>
                <w:sz w:val="18"/>
              </w:rPr>
              <w:t>約0.6倍</w:t>
            </w:r>
          </w:p>
        </w:tc>
        <w:tc>
          <w:tcPr>
            <w:tcW w:type="dxa" w:w="3135"/>
          </w:tcPr>
          <w:p>
            <w:r>
              <w:rPr>
                <w:rFonts w:ascii="Meiryo UI" w:hAnsi="Meiryo UI"/>
                <w:sz w:val="18"/>
              </w:rPr>
              <w:t>許容範囲内</w:t>
            </w:r>
          </w:p>
        </w:tc>
      </w:tr>
      <w:tr>
        <w:tc>
          <w:tcPr>
            <w:tcW w:type="dxa" w:w="3135"/>
            <w:shd w:val="clear" w:color="auto" w:fill="DDEBF7"/>
          </w:tcPr>
          <w:p>
            <w:r>
              <w:rPr>
                <w:rFonts w:ascii="Meiryo UI" w:hAnsi="Meiryo UI"/>
                <w:sz w:val="18"/>
              </w:rPr>
              <w:t>BPS（1株あたり純資産）</w:t>
            </w:r>
          </w:p>
        </w:tc>
        <w:tc>
          <w:tcPr>
            <w:tcW w:type="dxa" w:w="3135"/>
            <w:shd w:val="clear" w:color="auto" w:fill="DDEBF7"/>
          </w:tcPr>
          <w:p>
            <w:r>
              <w:rPr>
                <w:rFonts w:ascii="Meiryo UI" w:hAnsi="Meiryo UI"/>
                <w:sz w:val="18"/>
              </w:rPr>
              <w:t>約2,800〜3,000円</w:t>
            </w:r>
          </w:p>
        </w:tc>
        <w:tc>
          <w:tcPr>
            <w:tcW w:type="dxa" w:w="3135"/>
            <w:shd w:val="clear" w:color="auto" w:fill="DDEBF7"/>
          </w:tcPr>
          <w:p>
            <w:r>
              <w:rPr>
                <w:rFonts w:ascii="Meiryo UI" w:hAnsi="Meiryo UI"/>
                <w:sz w:val="18"/>
              </w:rPr>
            </w:r>
          </w:p>
        </w:tc>
      </w:tr>
    </w:tbl>
    <w:p/>
    <w:p>
      <w:r>
        <w:rPr>
          <w:rFonts w:ascii="Meiryo UI" w:hAnsi="Meiryo UI"/>
          <w:sz w:val="20"/>
        </w:rPr>
        <w:t>&gt; PBR参考: 株価2,200円 ÷ BPS 2,900円 ≒ 0.76倍（解散価値以下）。ただし不正発覚後はガバナンスディスカウントが上乗せされ、PBR正常化には時間を要する。</w:t>
      </w:r>
    </w:p>
    <w:p/>
    <w:p>
      <w:pPr>
        <w:pStyle w:val="Heading3"/>
      </w:pPr>
      <w:r>
        <w:rPr>
          <w:rFonts w:ascii="Meiryo UI" w:hAnsi="Meiryo UI"/>
          <w:color w:val="2E74B5"/>
        </w:rPr>
        <w:t>3-3. キャッシュフロー（CF）分析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FY2024実績(推定)</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営業CF</w:t>
            </w:r>
          </w:p>
        </w:tc>
        <w:tc>
          <w:tcPr>
            <w:tcW w:type="dxa" w:w="3135"/>
          </w:tcPr>
          <w:p>
            <w:r>
              <w:rPr>
                <w:rFonts w:ascii="Meiryo UI" w:hAnsi="Meiryo UI"/>
                <w:sz w:val="18"/>
              </w:rPr>
              <w:t>約700〜800億円</w:t>
            </w:r>
          </w:p>
        </w:tc>
        <w:tc>
          <w:tcPr>
            <w:tcW w:type="dxa" w:w="3135"/>
          </w:tcPr>
          <w:p>
            <w:r>
              <w:rPr>
                <w:rFonts w:ascii="Meiryo UI" w:hAnsi="Meiryo UI"/>
                <w:sz w:val="18"/>
              </w:rPr>
              <w:t>安定。産業ガスの減価償却費が大きい</w:t>
            </w:r>
          </w:p>
        </w:tc>
      </w:tr>
      <w:tr>
        <w:tc>
          <w:tcPr>
            <w:tcW w:type="dxa" w:w="3135"/>
            <w:shd w:val="clear" w:color="auto" w:fill="DDEBF7"/>
          </w:tcPr>
          <w:p>
            <w:r>
              <w:rPr>
                <w:rFonts w:ascii="Meiryo UI" w:hAnsi="Meiryo UI"/>
                <w:sz w:val="18"/>
              </w:rPr>
              <w:t>投資CF</w:t>
            </w:r>
          </w:p>
        </w:tc>
        <w:tc>
          <w:tcPr>
            <w:tcW w:type="dxa" w:w="3135"/>
            <w:shd w:val="clear" w:color="auto" w:fill="DDEBF7"/>
          </w:tcPr>
          <w:p>
            <w:r>
              <w:rPr>
                <w:rFonts w:ascii="Meiryo UI" w:hAnsi="Meiryo UI"/>
                <w:sz w:val="18"/>
              </w:rPr>
              <w:t>約▲500〜600億円</w:t>
            </w:r>
          </w:p>
        </w:tc>
        <w:tc>
          <w:tcPr>
            <w:tcW w:type="dxa" w:w="3135"/>
            <w:shd w:val="clear" w:color="auto" w:fill="DDEBF7"/>
          </w:tcPr>
          <w:p>
            <w:r>
              <w:rPr>
                <w:rFonts w:ascii="Meiryo UI" w:hAnsi="Meiryo UI"/>
                <w:sz w:val="18"/>
              </w:rPr>
              <w:t>設備投資・M&amp;A</w:t>
            </w:r>
          </w:p>
        </w:tc>
      </w:tr>
      <w:tr>
        <w:tc>
          <w:tcPr>
            <w:tcW w:type="dxa" w:w="3135"/>
          </w:tcPr>
          <w:p>
            <w:r>
              <w:rPr>
                <w:rFonts w:ascii="Meiryo UI" w:hAnsi="Meiryo UI"/>
                <w:sz w:val="18"/>
              </w:rPr>
              <w:t>FCF（フリーCF）</w:t>
            </w:r>
          </w:p>
        </w:tc>
        <w:tc>
          <w:tcPr>
            <w:tcW w:type="dxa" w:w="3135"/>
          </w:tcPr>
          <w:p>
            <w:r>
              <w:rPr>
                <w:rFonts w:ascii="Meiryo UI" w:hAnsi="Meiryo UI"/>
                <w:sz w:val="18"/>
              </w:rPr>
              <w:t>約150〜250億円</w:t>
            </w:r>
          </w:p>
        </w:tc>
        <w:tc>
          <w:tcPr>
            <w:tcW w:type="dxa" w:w="3135"/>
          </w:tcPr>
          <w:p>
            <w:r>
              <w:rPr>
                <w:rFonts w:ascii="Meiryo UI" w:hAnsi="Meiryo UI"/>
                <w:sz w:val="18"/>
              </w:rPr>
            </w:r>
          </w:p>
        </w:tc>
      </w:tr>
      <w:tr>
        <w:tc>
          <w:tcPr>
            <w:tcW w:type="dxa" w:w="3135"/>
            <w:shd w:val="clear" w:color="auto" w:fill="DDEBF7"/>
          </w:tcPr>
          <w:p>
            <w:r>
              <w:rPr>
                <w:rFonts w:ascii="Meiryo UI" w:hAnsi="Meiryo UI"/>
                <w:sz w:val="18"/>
              </w:rPr>
              <w:t>FCFマージン</w:t>
            </w:r>
          </w:p>
        </w:tc>
        <w:tc>
          <w:tcPr>
            <w:tcW w:type="dxa" w:w="3135"/>
            <w:shd w:val="clear" w:color="auto" w:fill="DDEBF7"/>
          </w:tcPr>
          <w:p>
            <w:r>
              <w:rPr>
                <w:rFonts w:ascii="Meiryo UI" w:hAnsi="Meiryo UI"/>
                <w:sz w:val="18"/>
              </w:rPr>
              <w:t>約1.5〜2.4%</w:t>
            </w:r>
          </w:p>
        </w:tc>
        <w:tc>
          <w:tcPr>
            <w:tcW w:type="dxa" w:w="3135"/>
            <w:shd w:val="clear" w:color="auto" w:fill="DDEBF7"/>
          </w:tcPr>
          <w:p>
            <w:r>
              <w:rPr>
                <w:rFonts w:ascii="Meiryo UI" w:hAnsi="Meiryo UI"/>
                <w:sz w:val="18"/>
              </w:rPr>
              <w:t>産業ガスとして標準〜やや低め</w:t>
            </w:r>
          </w:p>
        </w:tc>
      </w:tr>
      <w:tr>
        <w:tc>
          <w:tcPr>
            <w:tcW w:type="dxa" w:w="3135"/>
          </w:tcPr>
          <w:p>
            <w:r>
              <w:rPr>
                <w:rFonts w:ascii="Meiryo UI" w:hAnsi="Meiryo UI"/>
                <w:sz w:val="18"/>
              </w:rPr>
              <w:t>財務CF</w:t>
            </w:r>
          </w:p>
        </w:tc>
        <w:tc>
          <w:tcPr>
            <w:tcW w:type="dxa" w:w="3135"/>
          </w:tcPr>
          <w:p>
            <w:r>
              <w:rPr>
                <w:rFonts w:ascii="Meiryo UI" w:hAnsi="Meiryo UI"/>
                <w:sz w:val="18"/>
              </w:rPr>
              <w:t>約▲100〜150億円</w:t>
            </w:r>
          </w:p>
        </w:tc>
        <w:tc>
          <w:tcPr>
            <w:tcW w:type="dxa" w:w="3135"/>
          </w:tcPr>
          <w:p>
            <w:r>
              <w:rPr>
                <w:rFonts w:ascii="Meiryo UI" w:hAnsi="Meiryo UI"/>
                <w:sz w:val="18"/>
              </w:rPr>
              <w:t>配当・借入返済</w:t>
            </w:r>
          </w:p>
        </w:tc>
      </w:tr>
      <w:tr>
        <w:tc>
          <w:tcPr>
            <w:tcW w:type="dxa" w:w="3135"/>
            <w:shd w:val="clear" w:color="auto" w:fill="DDEBF7"/>
          </w:tcPr>
          <w:p>
            <w:r>
              <w:rPr>
                <w:rFonts w:ascii="Meiryo UI" w:hAnsi="Meiryo UI"/>
                <w:sz w:val="18"/>
              </w:rPr>
              <w:t>配当金支払額</w:t>
            </w:r>
          </w:p>
        </w:tc>
        <w:tc>
          <w:tcPr>
            <w:tcW w:type="dxa" w:w="3135"/>
            <w:shd w:val="clear" w:color="auto" w:fill="DDEBF7"/>
          </w:tcPr>
          <w:p>
            <w:r>
              <w:rPr>
                <w:rFonts w:ascii="Meiryo UI" w:hAnsi="Meiryo UI"/>
                <w:sz w:val="18"/>
              </w:rPr>
              <w:t>約80〜100億円</w:t>
            </w:r>
          </w:p>
        </w:tc>
        <w:tc>
          <w:tcPr>
            <w:tcW w:type="dxa" w:w="3135"/>
            <w:shd w:val="clear" w:color="auto" w:fill="DDEBF7"/>
          </w:tcPr>
          <w:p>
            <w:r>
              <w:rPr>
                <w:rFonts w:ascii="Meiryo UI" w:hAnsi="Meiryo UI"/>
                <w:sz w:val="18"/>
              </w:rPr>
            </w:r>
          </w:p>
        </w:tc>
      </w:tr>
      <w:tr>
        <w:tc>
          <w:tcPr>
            <w:tcW w:type="dxa" w:w="3135"/>
          </w:tcPr>
          <w:p>
            <w:r>
              <w:rPr>
                <w:rFonts w:ascii="Meiryo UI" w:hAnsi="Meiryo UI"/>
                <w:sz w:val="18"/>
              </w:rPr>
              <w:t>1株配当（推定）</w:t>
            </w:r>
          </w:p>
        </w:tc>
        <w:tc>
          <w:tcPr>
            <w:tcW w:type="dxa" w:w="3135"/>
          </w:tcPr>
          <w:p>
            <w:r>
              <w:rPr>
                <w:rFonts w:ascii="Meiryo UI" w:hAnsi="Meiryo UI"/>
                <w:sz w:val="18"/>
              </w:rPr>
              <w:t>約60〜65円</w:t>
            </w:r>
          </w:p>
        </w:tc>
        <w:tc>
          <w:tcPr>
            <w:tcW w:type="dxa" w:w="3135"/>
          </w:tcPr>
          <w:p>
            <w:r>
              <w:rPr>
                <w:rFonts w:ascii="Meiryo UI" w:hAnsi="Meiryo UI"/>
                <w:sz w:val="18"/>
              </w:rPr>
              <w:t>配当性向 約20〜25%</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前提条件（すべて明示）</w:t>
      </w:r>
    </w:p>
    <w:p/>
    <w:p>
      <w:pPr>
        <w:pStyle w:val="Heading4"/>
      </w:pPr>
      <w:r>
        <w:rPr>
          <w:rFonts w:ascii="Meiryo UI" w:hAnsi="Meiryo UI"/>
          <w:color w:val="2E74B5"/>
        </w:rPr>
        <w:t>割引率（WACC）の算出</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リスクフリーレート（Rf）</w:t>
            </w:r>
          </w:p>
        </w:tc>
        <w:tc>
          <w:tcPr>
            <w:tcW w:type="dxa" w:w="3135"/>
          </w:tcPr>
          <w:p>
            <w:r>
              <w:rPr>
                <w:rFonts w:ascii="Meiryo UI" w:hAnsi="Meiryo UI"/>
                <w:sz w:val="18"/>
              </w:rPr>
              <w:t>1.5%</w:t>
            </w:r>
          </w:p>
        </w:tc>
        <w:tc>
          <w:tcPr>
            <w:tcW w:type="dxa" w:w="3135"/>
          </w:tcPr>
          <w:p>
            <w:r>
              <w:rPr>
                <w:rFonts w:ascii="Meiryo UI" w:hAnsi="Meiryo UI"/>
                <w:sz w:val="18"/>
              </w:rPr>
              <w:t>JGB10年物金利（現在約1.5%）— 指定値</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日本株の長期ERP（Damodaran等参考、新興国より低く欧米より高め）</w:t>
            </w:r>
          </w:p>
        </w:tc>
      </w:tr>
      <w:tr>
        <w:tc>
          <w:tcPr>
            <w:tcW w:type="dxa" w:w="3135"/>
          </w:tcPr>
          <w:p>
            <w:r>
              <w:rPr>
                <w:rFonts w:ascii="Meiryo UI" w:hAnsi="Meiryo UI"/>
                <w:sz w:val="18"/>
              </w:rPr>
              <w:t>β（レバードベータ）</w:t>
            </w:r>
          </w:p>
        </w:tc>
        <w:tc>
          <w:tcPr>
            <w:tcW w:type="dxa" w:w="3135"/>
          </w:tcPr>
          <w:p>
            <w:r>
              <w:rPr>
                <w:rFonts w:ascii="Meiryo UI" w:hAnsi="Meiryo UI"/>
                <w:sz w:val="18"/>
              </w:rPr>
              <w:t>0.85</w:t>
            </w:r>
          </w:p>
        </w:tc>
        <w:tc>
          <w:tcPr>
            <w:tcW w:type="dxa" w:w="3135"/>
          </w:tcPr>
          <w:p>
            <w:r>
              <w:rPr>
                <w:rFonts w:ascii="Meiryo UI" w:hAnsi="Meiryo UI"/>
                <w:sz w:val="18"/>
              </w:rPr>
              <w:t>産業ガス・多角化コングロマリットの典型値。景気耐性高くβ低め。不正発覚後は上昇傾向にあり0.90〜1.00に修正リスク</w:t>
            </w:r>
          </w:p>
        </w:tc>
      </w:tr>
      <w:tr>
        <w:tc>
          <w:tcPr>
            <w:tcW w:type="dxa" w:w="3135"/>
            <w:shd w:val="clear" w:color="auto" w:fill="DDEBF7"/>
          </w:tcPr>
          <w:p>
            <w:r>
              <w:rPr>
                <w:rFonts w:ascii="Meiryo UI" w:hAnsi="Meiryo UI"/>
                <w:sz w:val="18"/>
              </w:rPr>
              <w:t>株主資本コスト（Ke）</w:t>
            </w:r>
          </w:p>
        </w:tc>
        <w:tc>
          <w:tcPr>
            <w:tcW w:type="dxa" w:w="3135"/>
            <w:shd w:val="clear" w:color="auto" w:fill="DDEBF7"/>
          </w:tcPr>
          <w:p>
            <w:r>
              <w:rPr>
                <w:rFonts w:ascii="Meiryo UI" w:hAnsi="Meiryo UI"/>
                <w:sz w:val="18"/>
              </w:rPr>
              <w:t>6.6%</w:t>
            </w:r>
          </w:p>
        </w:tc>
        <w:tc>
          <w:tcPr>
            <w:tcW w:type="dxa" w:w="3135"/>
            <w:shd w:val="clear" w:color="auto" w:fill="DDEBF7"/>
          </w:tcPr>
          <w:p>
            <w:r>
              <w:rPr>
                <w:rFonts w:ascii="Meiryo UI" w:hAnsi="Meiryo UI"/>
                <w:sz w:val="18"/>
              </w:rPr>
              <w:t>= 1.5% + 0.85 × 6.0%</w:t>
            </w:r>
          </w:p>
        </w:tc>
      </w:tr>
      <w:tr>
        <w:tc>
          <w:tcPr>
            <w:tcW w:type="dxa" w:w="3135"/>
          </w:tcPr>
          <w:p>
            <w:r>
              <w:rPr>
                <w:rFonts w:ascii="Meiryo UI" w:hAnsi="Meiryo UI"/>
                <w:sz w:val="18"/>
              </w:rPr>
              <w:t>負債コスト税引後（Kd）</w:t>
            </w:r>
          </w:p>
        </w:tc>
        <w:tc>
          <w:tcPr>
            <w:tcW w:type="dxa" w:w="3135"/>
          </w:tcPr>
          <w:p>
            <w:r>
              <w:rPr>
                <w:rFonts w:ascii="Meiryo UI" w:hAnsi="Meiryo UI"/>
                <w:sz w:val="18"/>
              </w:rPr>
              <w:t>1.2%</w:t>
            </w:r>
          </w:p>
        </w:tc>
        <w:tc>
          <w:tcPr>
            <w:tcW w:type="dxa" w:w="3135"/>
          </w:tcPr>
          <w:p>
            <w:r>
              <w:rPr>
                <w:rFonts w:ascii="Meiryo UI" w:hAnsi="Meiryo UI"/>
                <w:sz w:val="18"/>
              </w:rPr>
              <w:t>長期借入金利約1.8% × (1-実効税率30%)</w:t>
            </w:r>
          </w:p>
        </w:tc>
      </w:tr>
      <w:tr>
        <w:tc>
          <w:tcPr>
            <w:tcW w:type="dxa" w:w="3135"/>
            <w:shd w:val="clear" w:color="auto" w:fill="DDEBF7"/>
          </w:tcPr>
          <w:p>
            <w:r>
              <w:rPr>
                <w:rFonts w:ascii="Meiryo UI" w:hAnsi="Meiryo UI"/>
                <w:sz w:val="18"/>
              </w:rPr>
              <w:t>株式時価総額（E）</w:t>
            </w:r>
          </w:p>
        </w:tc>
        <w:tc>
          <w:tcPr>
            <w:tcW w:type="dxa" w:w="3135"/>
            <w:shd w:val="clear" w:color="auto" w:fill="DDEBF7"/>
          </w:tcPr>
          <w:p>
            <w:r>
              <w:rPr>
                <w:rFonts w:ascii="Meiryo UI" w:hAnsi="Meiryo UI"/>
                <w:sz w:val="18"/>
              </w:rPr>
              <w:t>約4,200億円</w:t>
            </w:r>
          </w:p>
        </w:tc>
        <w:tc>
          <w:tcPr>
            <w:tcW w:type="dxa" w:w="3135"/>
            <w:shd w:val="clear" w:color="auto" w:fill="DDEBF7"/>
          </w:tcPr>
          <w:p>
            <w:r>
              <w:rPr>
                <w:rFonts w:ascii="Meiryo UI" w:hAnsi="Meiryo UI"/>
                <w:sz w:val="18"/>
              </w:rPr>
              <w:t>株価2,200円 × 発行株数約1.9億株</w:t>
            </w:r>
          </w:p>
        </w:tc>
      </w:tr>
      <w:tr>
        <w:tc>
          <w:tcPr>
            <w:tcW w:type="dxa" w:w="3135"/>
          </w:tcPr>
          <w:p>
            <w:r>
              <w:rPr>
                <w:rFonts w:ascii="Meiryo UI" w:hAnsi="Meiryo UI"/>
                <w:sz w:val="18"/>
              </w:rPr>
              <w:t>有利子負債（D）</w:t>
            </w:r>
          </w:p>
        </w:tc>
        <w:tc>
          <w:tcPr>
            <w:tcW w:type="dxa" w:w="3135"/>
          </w:tcPr>
          <w:p>
            <w:r>
              <w:rPr>
                <w:rFonts w:ascii="Meiryo UI" w:hAnsi="Meiryo UI"/>
                <w:sz w:val="18"/>
              </w:rPr>
              <w:t>約4,500億円</w:t>
            </w:r>
          </w:p>
        </w:tc>
        <w:tc>
          <w:tcPr>
            <w:tcW w:type="dxa" w:w="3135"/>
          </w:tcPr>
          <w:p>
            <w:r>
              <w:rPr>
                <w:rFonts w:ascii="Meiryo UI" w:hAnsi="Meiryo UI"/>
                <w:sz w:val="18"/>
              </w:rPr>
              <w:t>BS推定値</w:t>
            </w:r>
          </w:p>
        </w:tc>
      </w:tr>
      <w:tr>
        <w:tc>
          <w:tcPr>
            <w:tcW w:type="dxa" w:w="3135"/>
            <w:shd w:val="clear" w:color="auto" w:fill="DDEBF7"/>
          </w:tcPr>
          <w:p>
            <w:r>
              <w:rPr>
                <w:rFonts w:ascii="Meiryo UI" w:hAnsi="Meiryo UI"/>
                <w:sz w:val="18"/>
              </w:rPr>
              <w:t>E/(D+E)</w:t>
            </w:r>
          </w:p>
        </w:tc>
        <w:tc>
          <w:tcPr>
            <w:tcW w:type="dxa" w:w="3135"/>
            <w:shd w:val="clear" w:color="auto" w:fill="DDEBF7"/>
          </w:tcPr>
          <w:p>
            <w:r>
              <w:rPr>
                <w:rFonts w:ascii="Meiryo UI" w:hAnsi="Meiryo UI"/>
                <w:sz w:val="18"/>
              </w:rPr>
              <w:t>約48%</w:t>
            </w:r>
          </w:p>
        </w:tc>
        <w:tc>
          <w:tcPr>
            <w:tcW w:type="dxa" w:w="3135"/>
            <w:shd w:val="clear" w:color="auto" w:fill="DDEBF7"/>
          </w:tcPr>
          <w:p>
            <w:r>
              <w:rPr>
                <w:rFonts w:ascii="Meiryo UI" w:hAnsi="Meiryo UI"/>
                <w:sz w:val="18"/>
              </w:rPr>
            </w:r>
          </w:p>
        </w:tc>
      </w:tr>
      <w:tr>
        <w:tc>
          <w:tcPr>
            <w:tcW w:type="dxa" w:w="3135"/>
          </w:tcPr>
          <w:p>
            <w:r>
              <w:rPr>
                <w:rFonts w:ascii="Meiryo UI" w:hAnsi="Meiryo UI"/>
                <w:sz w:val="18"/>
              </w:rPr>
              <w:t>D/(D+E)</w:t>
            </w:r>
          </w:p>
        </w:tc>
        <w:tc>
          <w:tcPr>
            <w:tcW w:type="dxa" w:w="3135"/>
          </w:tcPr>
          <w:p>
            <w:r>
              <w:rPr>
                <w:rFonts w:ascii="Meiryo UI" w:hAnsi="Meiryo UI"/>
                <w:sz w:val="18"/>
              </w:rPr>
              <w:t>約52%</w:t>
            </w:r>
          </w:p>
        </w:tc>
        <w:tc>
          <w:tcPr>
            <w:tcW w:type="dxa" w:w="3135"/>
          </w:tcPr>
          <w:p>
            <w:r>
              <w:rPr>
                <w:rFonts w:ascii="Meiryo UI" w:hAnsi="Meiryo UI"/>
                <w:sz w:val="18"/>
              </w:rPr>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3.80%</w:t>
            </w:r>
          </w:p>
        </w:tc>
        <w:tc>
          <w:tcPr>
            <w:tcW w:type="dxa" w:w="3135"/>
            <w:shd w:val="clear" w:color="auto" w:fill="DDEBF7"/>
          </w:tcPr>
          <w:p>
            <w:r>
              <w:rPr>
                <w:rFonts w:ascii="Meiryo UI" w:hAnsi="Meiryo UI"/>
                <w:sz w:val="18"/>
              </w:rPr>
              <w:t>= 6.6% × 48% + 1.2% × 52%</w:t>
            </w:r>
          </w:p>
        </w:tc>
      </w:tr>
    </w:tbl>
    <w:p/>
    <w:p>
      <w:r>
        <w:rPr>
          <w:rFonts w:ascii="Meiryo UI" w:hAnsi="Meiryo UI"/>
          <w:sz w:val="20"/>
        </w:rPr>
        <w:t>&gt; ⚠️ ガバナンスリスク調整後WACC: 不正発覚に伴うガバナンスプレミアム（+0.5〜1.0%）を加味した調整WACCは4.30〜4.80%。本レポートの弱気ケースではこちらを使用する。</w:t>
      </w:r>
    </w:p>
    <w:p/>
    <w:p>
      <w:pPr>
        <w:pStyle w:val="Heading4"/>
      </w:pPr>
      <w:r>
        <w:rPr>
          <w:rFonts w:ascii="Meiryo UI" w:hAnsi="Meiryo UI"/>
          <w:color w:val="2E74B5"/>
        </w:rPr>
        <w:t>FCF成長率の前提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成長率</w:t>
            </w:r>
          </w:p>
        </w:tc>
        <w:tc>
          <w:tcPr>
            <w:tcW w:type="dxa" w:w="2351"/>
            <w:shd w:val="clear" w:color="auto" w:fill="2E74B5"/>
          </w:tcPr>
          <w:p>
            <w:r>
              <w:rPr>
                <w:rFonts w:ascii="Meiryo UI" w:hAnsi="Meiryo UI"/>
                <w:b/>
                <w:color w:val="FFFFFF"/>
                <w:sz w:val="18"/>
              </w:rPr>
              <w:t>根拠</w:t>
            </w:r>
          </w:p>
        </w:tc>
      </w:tr>
      <w:tr>
        <w:tc>
          <w:tcPr>
            <w:tcW w:type="dxa" w:w="2351"/>
          </w:tcPr>
          <w:p>
            <w:r>
              <w:rPr>
                <w:rFonts w:ascii="Meiryo UI" w:hAnsi="Meiryo UI"/>
                <w:sz w:val="18"/>
              </w:rPr>
              <w:t>フェーズ1（高成長期）</w:t>
            </w:r>
          </w:p>
        </w:tc>
        <w:tc>
          <w:tcPr>
            <w:tcW w:type="dxa" w:w="2351"/>
          </w:tcPr>
          <w:p>
            <w:r>
              <w:rPr>
                <w:rFonts w:ascii="Meiryo UI" w:hAnsi="Meiryo UI"/>
                <w:sz w:val="18"/>
              </w:rPr>
              <w:t>FY2026〜FY2030（5年）</w:t>
            </w:r>
          </w:p>
        </w:tc>
        <w:tc>
          <w:tcPr>
            <w:tcW w:type="dxa" w:w="2351"/>
          </w:tcPr>
          <w:p>
            <w:r>
              <w:rPr>
                <w:rFonts w:ascii="Meiryo UI" w:hAnsi="Meiryo UI"/>
                <w:sz w:val="18"/>
              </w:rPr>
              <w:t>+3.0%</w:t>
            </w:r>
          </w:p>
        </w:tc>
        <w:tc>
          <w:tcPr>
            <w:tcW w:type="dxa" w:w="2351"/>
          </w:tcPr>
          <w:p>
            <w:r>
              <w:rPr>
                <w:rFonts w:ascii="Meiryo UI" w:hAnsi="Meiryo UI"/>
                <w:sz w:val="18"/>
              </w:rPr>
              <w:t>水素・医療拡大・M&amp;A。ただし不正後の保守的オペレーションで上限を設定</w:t>
            </w:r>
          </w:p>
        </w:tc>
      </w:tr>
      <w:tr>
        <w:tc>
          <w:tcPr>
            <w:tcW w:type="dxa" w:w="2351"/>
            <w:shd w:val="clear" w:color="auto" w:fill="DDEBF7"/>
          </w:tcPr>
          <w:p>
            <w:r>
              <w:rPr>
                <w:rFonts w:ascii="Meiryo UI" w:hAnsi="Meiryo UI"/>
                <w:sz w:val="18"/>
              </w:rPr>
              <w:t>フェーズ2（安定成長期）</w:t>
            </w:r>
          </w:p>
        </w:tc>
        <w:tc>
          <w:tcPr>
            <w:tcW w:type="dxa" w:w="2351"/>
            <w:shd w:val="clear" w:color="auto" w:fill="DDEBF7"/>
          </w:tcPr>
          <w:p>
            <w:r>
              <w:rPr>
                <w:rFonts w:ascii="Meiryo UI" w:hAnsi="Meiryo UI"/>
                <w:sz w:val="18"/>
              </w:rPr>
              <w:t>FY2031〜FY2035（5年）</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成熟化・競合激化を考慮</w:t>
            </w:r>
          </w:p>
        </w:tc>
      </w:tr>
      <w:tr>
        <w:tc>
          <w:tcPr>
            <w:tcW w:type="dxa" w:w="2351"/>
          </w:tcPr>
          <w:p>
            <w:r>
              <w:rPr>
                <w:rFonts w:ascii="Meiryo UI" w:hAnsi="Meiryo UI"/>
                <w:sz w:val="18"/>
              </w:rPr>
              <w:t>ターミナル成長率（g）</w:t>
            </w:r>
          </w:p>
        </w:tc>
        <w:tc>
          <w:tcPr>
            <w:tcW w:type="dxa" w:w="2351"/>
          </w:tcPr>
          <w:p>
            <w:r>
              <w:rPr>
                <w:rFonts w:ascii="Meiryo UI" w:hAnsi="Meiryo UI"/>
                <w:sz w:val="18"/>
              </w:rPr>
              <w:t>FY2036〜永続</w:t>
            </w:r>
          </w:p>
        </w:tc>
        <w:tc>
          <w:tcPr>
            <w:tcW w:type="dxa" w:w="2351"/>
          </w:tcPr>
          <w:p>
            <w:r>
              <w:rPr>
                <w:rFonts w:ascii="Meiryo UI" w:hAnsi="Meiryo UI"/>
                <w:sz w:val="18"/>
              </w:rPr>
              <w:t>1.0%</w:t>
            </w:r>
          </w:p>
        </w:tc>
        <w:tc>
          <w:tcPr>
            <w:tcW w:type="dxa" w:w="2351"/>
          </w:tcPr>
          <w:p>
            <w:r>
              <w:rPr>
                <w:rFonts w:ascii="Meiryo UI" w:hAnsi="Meiryo UI"/>
                <w:sz w:val="18"/>
              </w:rPr>
              <w:t>日本の長期名目GDP成長率（低成長シナリオ）。Rf(1.5%)より低く設定</w:t>
            </w:r>
          </w:p>
        </w:tc>
      </w:tr>
    </w:tbl>
    <w:p/>
    <w:p>
      <w:pPr>
        <w:pStyle w:val="Heading3"/>
      </w:pPr>
      <w:r>
        <w:rPr>
          <w:rFonts w:ascii="Meiryo UI" w:hAnsi="Meiryo UI"/>
          <w:color w:val="2E74B5"/>
        </w:rPr>
        <w:t>4-2. DCF計算（基本ケース）</w:t>
      </w:r>
    </w:p>
    <w:p/>
    <w:p>
      <w:r>
        <w:rPr>
          <w:rFonts w:ascii="Meiryo UI" w:hAnsi="Meiryo UI"/>
          <w:sz w:val="20"/>
        </w:rPr>
        <w:t>ベースFCF（FY2025推定）: 200億円</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FCF（億円）</w:t>
            </w:r>
          </w:p>
        </w:tc>
        <w:tc>
          <w:tcPr>
            <w:tcW w:type="dxa" w:w="2351"/>
            <w:shd w:val="clear" w:color="auto" w:fill="2E74B5"/>
          </w:tcPr>
          <w:p>
            <w:r>
              <w:rPr>
                <w:rFonts w:ascii="Meiryo UI" w:hAnsi="Meiryo UI"/>
                <w:b/>
                <w:color w:val="FFFFFF"/>
                <w:sz w:val="18"/>
              </w:rPr>
              <w:t>割引係数（WACC=3.80%）</w:t>
            </w:r>
          </w:p>
        </w:tc>
        <w:tc>
          <w:tcPr>
            <w:tcW w:type="dxa" w:w="2351"/>
            <w:shd w:val="clear" w:color="auto" w:fill="2E74B5"/>
          </w:tcPr>
          <w:p>
            <w:r>
              <w:rPr>
                <w:rFonts w:ascii="Meiryo UI" w:hAnsi="Meiryo UI"/>
                <w:b/>
                <w:color w:val="FFFFFF"/>
                <w:sz w:val="18"/>
              </w:rPr>
              <w:t>PV（億円）</w:t>
            </w:r>
          </w:p>
        </w:tc>
      </w:tr>
      <w:tr>
        <w:tc>
          <w:tcPr>
            <w:tcW w:type="dxa" w:w="2351"/>
          </w:tcPr>
          <w:p>
            <w:r>
              <w:rPr>
                <w:rFonts w:ascii="Meiryo UI" w:hAnsi="Meiryo UI"/>
                <w:sz w:val="18"/>
              </w:rPr>
              <w:t>FY2026</w:t>
            </w:r>
          </w:p>
        </w:tc>
        <w:tc>
          <w:tcPr>
            <w:tcW w:type="dxa" w:w="2351"/>
          </w:tcPr>
          <w:p>
            <w:r>
              <w:rPr>
                <w:rFonts w:ascii="Meiryo UI" w:hAnsi="Meiryo UI"/>
                <w:sz w:val="18"/>
              </w:rPr>
              <w:t>206</w:t>
            </w:r>
          </w:p>
        </w:tc>
        <w:tc>
          <w:tcPr>
            <w:tcW w:type="dxa" w:w="2351"/>
          </w:tcPr>
          <w:p>
            <w:r>
              <w:rPr>
                <w:rFonts w:ascii="Meiryo UI" w:hAnsi="Meiryo UI"/>
                <w:sz w:val="18"/>
              </w:rPr>
              <w:t>0.9634</w:t>
            </w:r>
          </w:p>
        </w:tc>
        <w:tc>
          <w:tcPr>
            <w:tcW w:type="dxa" w:w="2351"/>
          </w:tcPr>
          <w:p>
            <w:r>
              <w:rPr>
                <w:rFonts w:ascii="Meiryo UI" w:hAnsi="Meiryo UI"/>
                <w:sz w:val="18"/>
              </w:rPr>
              <w:t>198.5</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212</w:t>
            </w:r>
          </w:p>
        </w:tc>
        <w:tc>
          <w:tcPr>
            <w:tcW w:type="dxa" w:w="2351"/>
            <w:shd w:val="clear" w:color="auto" w:fill="DDEBF7"/>
          </w:tcPr>
          <w:p>
            <w:r>
              <w:rPr>
                <w:rFonts w:ascii="Meiryo UI" w:hAnsi="Meiryo UI"/>
                <w:sz w:val="18"/>
              </w:rPr>
              <w:t>0.9281</w:t>
            </w:r>
          </w:p>
        </w:tc>
        <w:tc>
          <w:tcPr>
            <w:tcW w:type="dxa" w:w="2351"/>
            <w:shd w:val="clear" w:color="auto" w:fill="DDEBF7"/>
          </w:tcPr>
          <w:p>
            <w:r>
              <w:rPr>
                <w:rFonts w:ascii="Meiryo UI" w:hAnsi="Meiryo UI"/>
                <w:sz w:val="18"/>
              </w:rPr>
              <w:t>196.8</w:t>
            </w:r>
          </w:p>
        </w:tc>
      </w:tr>
      <w:tr>
        <w:tc>
          <w:tcPr>
            <w:tcW w:type="dxa" w:w="2351"/>
          </w:tcPr>
          <w:p>
            <w:r>
              <w:rPr>
                <w:rFonts w:ascii="Meiryo UI" w:hAnsi="Meiryo UI"/>
                <w:sz w:val="18"/>
              </w:rPr>
              <w:t>FY2028</w:t>
            </w:r>
          </w:p>
        </w:tc>
        <w:tc>
          <w:tcPr>
            <w:tcW w:type="dxa" w:w="2351"/>
          </w:tcPr>
          <w:p>
            <w:r>
              <w:rPr>
                <w:rFonts w:ascii="Meiryo UI" w:hAnsi="Meiryo UI"/>
                <w:sz w:val="18"/>
              </w:rPr>
              <w:t>219</w:t>
            </w:r>
          </w:p>
        </w:tc>
        <w:tc>
          <w:tcPr>
            <w:tcW w:type="dxa" w:w="2351"/>
          </w:tcPr>
          <w:p>
            <w:r>
              <w:rPr>
                <w:rFonts w:ascii="Meiryo UI" w:hAnsi="Meiryo UI"/>
                <w:sz w:val="18"/>
              </w:rPr>
              <w:t>0.8941</w:t>
            </w:r>
          </w:p>
        </w:tc>
        <w:tc>
          <w:tcPr>
            <w:tcW w:type="dxa" w:w="2351"/>
          </w:tcPr>
          <w:p>
            <w:r>
              <w:rPr>
                <w:rFonts w:ascii="Meiryo UI" w:hAnsi="Meiryo UI"/>
                <w:sz w:val="18"/>
              </w:rPr>
              <w:t>195.7</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225</w:t>
            </w:r>
          </w:p>
        </w:tc>
        <w:tc>
          <w:tcPr>
            <w:tcW w:type="dxa" w:w="2351"/>
            <w:shd w:val="clear" w:color="auto" w:fill="DDEBF7"/>
          </w:tcPr>
          <w:p>
            <w:r>
              <w:rPr>
                <w:rFonts w:ascii="Meiryo UI" w:hAnsi="Meiryo UI"/>
                <w:sz w:val="18"/>
              </w:rPr>
              <w:t>0.8613</w:t>
            </w:r>
          </w:p>
        </w:tc>
        <w:tc>
          <w:tcPr>
            <w:tcW w:type="dxa" w:w="2351"/>
            <w:shd w:val="clear" w:color="auto" w:fill="DDEBF7"/>
          </w:tcPr>
          <w:p>
            <w:r>
              <w:rPr>
                <w:rFonts w:ascii="Meiryo UI" w:hAnsi="Meiryo UI"/>
                <w:sz w:val="18"/>
              </w:rPr>
              <w:t>193.8</w:t>
            </w:r>
          </w:p>
        </w:tc>
      </w:tr>
      <w:tr>
        <w:tc>
          <w:tcPr>
            <w:tcW w:type="dxa" w:w="2351"/>
          </w:tcPr>
          <w:p>
            <w:r>
              <w:rPr>
                <w:rFonts w:ascii="Meiryo UI" w:hAnsi="Meiryo UI"/>
                <w:sz w:val="18"/>
              </w:rPr>
              <w:t>FY2030</w:t>
            </w:r>
          </w:p>
        </w:tc>
        <w:tc>
          <w:tcPr>
            <w:tcW w:type="dxa" w:w="2351"/>
          </w:tcPr>
          <w:p>
            <w:r>
              <w:rPr>
                <w:rFonts w:ascii="Meiryo UI" w:hAnsi="Meiryo UI"/>
                <w:sz w:val="18"/>
              </w:rPr>
              <w:t>232</w:t>
            </w:r>
          </w:p>
        </w:tc>
        <w:tc>
          <w:tcPr>
            <w:tcW w:type="dxa" w:w="2351"/>
          </w:tcPr>
          <w:p>
            <w:r>
              <w:rPr>
                <w:rFonts w:ascii="Meiryo UI" w:hAnsi="Meiryo UI"/>
                <w:sz w:val="18"/>
              </w:rPr>
              <w:t>0.8297</w:t>
            </w:r>
          </w:p>
        </w:tc>
        <w:tc>
          <w:tcPr>
            <w:tcW w:type="dxa" w:w="2351"/>
          </w:tcPr>
          <w:p>
            <w:r>
              <w:rPr>
                <w:rFonts w:ascii="Meiryo UI" w:hAnsi="Meiryo UI"/>
                <w:sz w:val="18"/>
              </w:rPr>
              <w:t>192.5</w:t>
            </w:r>
          </w:p>
        </w:tc>
      </w:tr>
      <w:tr>
        <w:tc>
          <w:tcPr>
            <w:tcW w:type="dxa" w:w="2351"/>
            <w:shd w:val="clear" w:color="auto" w:fill="DDEBF7"/>
          </w:tcPr>
          <w:p>
            <w:r>
              <w:rPr>
                <w:rFonts w:ascii="Meiryo UI" w:hAnsi="Meiryo UI"/>
                <w:sz w:val="18"/>
              </w:rPr>
              <w:t>FY2031</w:t>
            </w:r>
          </w:p>
        </w:tc>
        <w:tc>
          <w:tcPr>
            <w:tcW w:type="dxa" w:w="2351"/>
            <w:shd w:val="clear" w:color="auto" w:fill="DDEBF7"/>
          </w:tcPr>
          <w:p>
            <w:r>
              <w:rPr>
                <w:rFonts w:ascii="Meiryo UI" w:hAnsi="Meiryo UI"/>
                <w:sz w:val="18"/>
              </w:rPr>
              <w:t>236</w:t>
            </w:r>
          </w:p>
        </w:tc>
        <w:tc>
          <w:tcPr>
            <w:tcW w:type="dxa" w:w="2351"/>
            <w:shd w:val="clear" w:color="auto" w:fill="DDEBF7"/>
          </w:tcPr>
          <w:p>
            <w:r>
              <w:rPr>
                <w:rFonts w:ascii="Meiryo UI" w:hAnsi="Meiryo UI"/>
                <w:sz w:val="18"/>
              </w:rPr>
              <w:t>0.7993</w:t>
            </w:r>
          </w:p>
        </w:tc>
        <w:tc>
          <w:tcPr>
            <w:tcW w:type="dxa" w:w="2351"/>
            <w:shd w:val="clear" w:color="auto" w:fill="DDEBF7"/>
          </w:tcPr>
          <w:p>
            <w:r>
              <w:rPr>
                <w:rFonts w:ascii="Meiryo UI" w:hAnsi="Meiryo UI"/>
                <w:sz w:val="18"/>
              </w:rPr>
              <w:t>188.6</w:t>
            </w:r>
          </w:p>
        </w:tc>
      </w:tr>
      <w:tr>
        <w:tc>
          <w:tcPr>
            <w:tcW w:type="dxa" w:w="2351"/>
          </w:tcPr>
          <w:p>
            <w:r>
              <w:rPr>
                <w:rFonts w:ascii="Meiryo UI" w:hAnsi="Meiryo UI"/>
                <w:sz w:val="18"/>
              </w:rPr>
              <w:t>FY2032</w:t>
            </w:r>
          </w:p>
        </w:tc>
        <w:tc>
          <w:tcPr>
            <w:tcW w:type="dxa" w:w="2351"/>
          </w:tcPr>
          <w:p>
            <w:r>
              <w:rPr>
                <w:rFonts w:ascii="Meiryo UI" w:hAnsi="Meiryo UI"/>
                <w:sz w:val="18"/>
              </w:rPr>
              <w:t>241</w:t>
            </w:r>
          </w:p>
        </w:tc>
        <w:tc>
          <w:tcPr>
            <w:tcW w:type="dxa" w:w="2351"/>
          </w:tcPr>
          <w:p>
            <w:r>
              <w:rPr>
                <w:rFonts w:ascii="Meiryo UI" w:hAnsi="Meiryo UI"/>
                <w:sz w:val="18"/>
              </w:rPr>
              <w:t>0.7700</w:t>
            </w:r>
          </w:p>
        </w:tc>
        <w:tc>
          <w:tcPr>
            <w:tcW w:type="dxa" w:w="2351"/>
          </w:tcPr>
          <w:p>
            <w:r>
              <w:rPr>
                <w:rFonts w:ascii="Meiryo UI" w:hAnsi="Meiryo UI"/>
                <w:sz w:val="18"/>
              </w:rPr>
              <w:t>185.6</w:t>
            </w:r>
          </w:p>
        </w:tc>
      </w:tr>
      <w:tr>
        <w:tc>
          <w:tcPr>
            <w:tcW w:type="dxa" w:w="2351"/>
            <w:shd w:val="clear" w:color="auto" w:fill="DDEBF7"/>
          </w:tcPr>
          <w:p>
            <w:r>
              <w:rPr>
                <w:rFonts w:ascii="Meiryo UI" w:hAnsi="Meiryo UI"/>
                <w:sz w:val="18"/>
              </w:rPr>
              <w:t>FY2033</w:t>
            </w:r>
          </w:p>
        </w:tc>
        <w:tc>
          <w:tcPr>
            <w:tcW w:type="dxa" w:w="2351"/>
            <w:shd w:val="clear" w:color="auto" w:fill="DDEBF7"/>
          </w:tcPr>
          <w:p>
            <w:r>
              <w:rPr>
                <w:rFonts w:ascii="Meiryo UI" w:hAnsi="Meiryo UI"/>
                <w:sz w:val="18"/>
              </w:rPr>
              <w:t>246</w:t>
            </w:r>
          </w:p>
        </w:tc>
        <w:tc>
          <w:tcPr>
            <w:tcW w:type="dxa" w:w="2351"/>
            <w:shd w:val="clear" w:color="auto" w:fill="DDEBF7"/>
          </w:tcPr>
          <w:p>
            <w:r>
              <w:rPr>
                <w:rFonts w:ascii="Meiryo UI" w:hAnsi="Meiryo UI"/>
                <w:sz w:val="18"/>
              </w:rPr>
              <w:t>0.7418</w:t>
            </w:r>
          </w:p>
        </w:tc>
        <w:tc>
          <w:tcPr>
            <w:tcW w:type="dxa" w:w="2351"/>
            <w:shd w:val="clear" w:color="auto" w:fill="DDEBF7"/>
          </w:tcPr>
          <w:p>
            <w:r>
              <w:rPr>
                <w:rFonts w:ascii="Meiryo UI" w:hAnsi="Meiryo UI"/>
                <w:sz w:val="18"/>
              </w:rPr>
              <w:t>182.5</w:t>
            </w:r>
          </w:p>
        </w:tc>
      </w:tr>
      <w:tr>
        <w:tc>
          <w:tcPr>
            <w:tcW w:type="dxa" w:w="2351"/>
          </w:tcPr>
          <w:p>
            <w:r>
              <w:rPr>
                <w:rFonts w:ascii="Meiryo UI" w:hAnsi="Meiryo UI"/>
                <w:sz w:val="18"/>
              </w:rPr>
              <w:t>FY2034</w:t>
            </w:r>
          </w:p>
        </w:tc>
        <w:tc>
          <w:tcPr>
            <w:tcW w:type="dxa" w:w="2351"/>
          </w:tcPr>
          <w:p>
            <w:r>
              <w:rPr>
                <w:rFonts w:ascii="Meiryo UI" w:hAnsi="Meiryo UI"/>
                <w:sz w:val="18"/>
              </w:rPr>
              <w:t>251</w:t>
            </w:r>
          </w:p>
        </w:tc>
        <w:tc>
          <w:tcPr>
            <w:tcW w:type="dxa" w:w="2351"/>
          </w:tcPr>
          <w:p>
            <w:r>
              <w:rPr>
                <w:rFonts w:ascii="Meiryo UI" w:hAnsi="Meiryo UI"/>
                <w:sz w:val="18"/>
              </w:rPr>
              <w:t>0.7147</w:t>
            </w:r>
          </w:p>
        </w:tc>
        <w:tc>
          <w:tcPr>
            <w:tcW w:type="dxa" w:w="2351"/>
          </w:tcPr>
          <w:p>
            <w:r>
              <w:rPr>
                <w:rFonts w:ascii="Meiryo UI" w:hAnsi="Meiryo UI"/>
                <w:sz w:val="18"/>
              </w:rPr>
              <w:t>179.4</w:t>
            </w:r>
          </w:p>
        </w:tc>
      </w:tr>
      <w:tr>
        <w:tc>
          <w:tcPr>
            <w:tcW w:type="dxa" w:w="2351"/>
            <w:shd w:val="clear" w:color="auto" w:fill="DDEBF7"/>
          </w:tcPr>
          <w:p>
            <w:r>
              <w:rPr>
                <w:rFonts w:ascii="Meiryo UI" w:hAnsi="Meiryo UI"/>
                <w:sz w:val="18"/>
              </w:rPr>
              <w:t>FY2035</w:t>
            </w:r>
          </w:p>
        </w:tc>
        <w:tc>
          <w:tcPr>
            <w:tcW w:type="dxa" w:w="2351"/>
            <w:shd w:val="clear" w:color="auto" w:fill="DDEBF7"/>
          </w:tcPr>
          <w:p>
            <w:r>
              <w:rPr>
                <w:rFonts w:ascii="Meiryo UI" w:hAnsi="Meiryo UI"/>
                <w:sz w:val="18"/>
              </w:rPr>
              <w:t>256</w:t>
            </w:r>
          </w:p>
        </w:tc>
        <w:tc>
          <w:tcPr>
            <w:tcW w:type="dxa" w:w="2351"/>
            <w:shd w:val="clear" w:color="auto" w:fill="DDEBF7"/>
          </w:tcPr>
          <w:p>
            <w:r>
              <w:rPr>
                <w:rFonts w:ascii="Meiryo UI" w:hAnsi="Meiryo UI"/>
                <w:sz w:val="18"/>
              </w:rPr>
              <w:t>0.6886</w:t>
            </w:r>
          </w:p>
        </w:tc>
        <w:tc>
          <w:tcPr>
            <w:tcW w:type="dxa" w:w="2351"/>
            <w:shd w:val="clear" w:color="auto" w:fill="DDEBF7"/>
          </w:tcPr>
          <w:p>
            <w:r>
              <w:rPr>
                <w:rFonts w:ascii="Meiryo UI" w:hAnsi="Meiryo UI"/>
                <w:sz w:val="18"/>
              </w:rPr>
              <w:t>176.3</w:t>
            </w:r>
          </w:p>
        </w:tc>
      </w:tr>
      <w:tr>
        <w:tc>
          <w:tcPr>
            <w:tcW w:type="dxa" w:w="2351"/>
          </w:tcPr>
          <w:p>
            <w:r>
              <w:rPr>
                <w:rFonts w:ascii="Meiryo UI" w:hAnsi="Meiryo UI"/>
                <w:sz w:val="18"/>
              </w:rPr>
              <w:t>PV合計（10年）</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1,889億円</w:t>
            </w:r>
          </w:p>
        </w:tc>
      </w:tr>
    </w:tbl>
    <w:p/>
    <w:p>
      <w:r>
        <w:rPr>
          <w:rFonts w:ascii="Meiryo UI" w:hAnsi="Meiryo UI"/>
          <w:sz w:val="20"/>
        </w:rPr>
        <w:t>ターミナルバリュー（TV）計算:</w:t>
      </w:r>
    </w:p>
    <w:p/>
    <w:p>
      <w:pPr>
        <w:shd w:val="clear" w:color="auto" w:fill="F2F2F2"/>
      </w:pPr>
      <w:r>
        <w:rPr>
          <w:rFonts w:ascii="Courier New" w:hAnsi="Courier New"/>
          <w:sz w:val="16"/>
        </w:rPr>
        <w:t>TV = FCF2035 × (1+g) / (WACC - g)</w:t>
        <w:br/>
        <w:t xml:space="preserve">   = 256 × 1.01 / (0.038 - 0.010)</w:t>
        <w:br/>
        <w:t xml:space="preserve">   = 258.6 / 0.028</w:t>
        <w:br/>
        <w:t xml:space="preserve">   = 9,236億円</w:t>
        <w:br/>
        <w:br/>
        <w:t>TV現在価値 = 9,236 × 0.6886 = 6,361億円</w:t>
      </w:r>
    </w:p>
    <w:p/>
    <w:p>
      <w:r>
        <w:rPr>
          <w:rFonts w:ascii="Meiryo UI" w:hAnsi="Meiryo UI"/>
          <w:sz w:val="20"/>
        </w:rPr>
        <w:t>企業価値（EV）計算:</w:t>
      </w:r>
    </w:p>
    <w:p/>
    <w:p>
      <w:pPr>
        <w:shd w:val="clear" w:color="auto" w:fill="F2F2F2"/>
      </w:pPr>
      <w:r>
        <w:rPr>
          <w:rFonts w:ascii="Courier New" w:hAnsi="Courier New"/>
          <w:sz w:val="16"/>
        </w:rPr>
        <w:t>EV = PV合計（10年） + TV現在価値</w:t>
        <w:br/>
        <w:t xml:space="preserve">   = 1,889 + 6,361</w:t>
        <w:br/>
        <w:t xml:space="preserve">   = 8,250億円</w:t>
        <w:br/>
        <w:br/>
        <w:t>株式価値 = EV - 純有利子負債（約3,800億円）</w:t>
        <w:br/>
        <w:t xml:space="preserve">         = 8,250 - 3,800</w:t>
        <w:br/>
        <w:t xml:space="preserve">         = 4,450億円</w:t>
        <w:br/>
        <w:br/>
        <w:t>理論株価 = 4,450億円 ÷ 発行株数1.9億株</w:t>
        <w:br/>
        <w:t xml:space="preserve">         = 約2,342円</w:t>
      </w:r>
    </w:p>
    <w:p/>
    <w:p>
      <w:r>
        <w:rPr>
          <w:rFonts w:ascii="Meiryo UI" w:hAnsi="Meiryo UI"/>
          <w:sz w:val="20"/>
        </w:rPr>
        <w:t>&gt; 基本ケース理論株価（ガバナンスディスカウント前）: 約2,342円</w:t>
      </w:r>
    </w:p>
    <w:p/>
    <w:p>
      <w:r>
        <w:rPr>
          <w:rFonts w:ascii="Meiryo UI" w:hAnsi="Meiryo UI"/>
          <w:sz w:val="20"/>
        </w:rPr>
        <w:t>ガバナンスディスカウント適用（▲25%）:</w:t>
      </w:r>
    </w:p>
    <w:p/>
    <w:p>
      <w:r>
        <w:rPr>
          <w:rFonts w:ascii="Meiryo UI" w:hAnsi="Meiryo UI"/>
          <w:sz w:val="20"/>
        </w:rPr>
        <w:t>不正発覚・報告書公表・関係者処分という3点同時開示は、機関投資家からの組み入れ除外圧力・信頼性プレミアムの剥落を招く。過去の日本企業不正事例（東芝・三菱自動車・日産等）を参考に、イベント直後の株価ディスカウント率として▲25〜35%を適用する。</w:t>
      </w:r>
    </w:p>
    <w:p/>
    <w:p>
      <w:pPr>
        <w:shd w:val="clear" w:color="auto" w:fill="F2F2F2"/>
      </w:pPr>
      <w:r>
        <w:rPr>
          <w:rFonts w:ascii="Courier New" w:hAnsi="Courier New"/>
          <w:sz w:val="16"/>
        </w:rPr>
        <w:t>理論株価（基本ケース・ディスカウント後）</w:t>
        <w:br/>
        <w:t>= 2,342円 × (1 - 0.25) = 約1,757円</w:t>
        <w:br/>
        <w:br/>
        <w:t>レンジ: 1,550〜1,750円</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シナリオ別 理論株価サマリー</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シナリオ</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g</w:t>
            </w:r>
          </w:p>
        </w:tc>
        <w:tc>
          <w:tcPr>
            <w:tcW w:type="dxa" w:w="1344"/>
            <w:shd w:val="clear" w:color="auto" w:fill="2E74B5"/>
          </w:tcPr>
          <w:p>
            <w:r>
              <w:rPr>
                <w:rFonts w:ascii="Meiryo UI" w:hAnsi="Meiryo UI"/>
                <w:b/>
                <w:color w:val="FFFFFF"/>
                <w:sz w:val="18"/>
              </w:rPr>
              <w:t>FCF成長</w:t>
            </w:r>
          </w:p>
        </w:tc>
        <w:tc>
          <w:tcPr>
            <w:tcW w:type="dxa" w:w="1344"/>
            <w:shd w:val="clear" w:color="auto" w:fill="2E74B5"/>
          </w:tcPr>
          <w:p>
            <w:r>
              <w:rPr>
                <w:rFonts w:ascii="Meiryo UI" w:hAnsi="Meiryo UI"/>
                <w:b/>
                <w:color w:val="FFFFFF"/>
                <w:sz w:val="18"/>
              </w:rPr>
              <w:t>ガバナンスD/C</w:t>
            </w:r>
          </w:p>
        </w:tc>
        <w:tc>
          <w:tcPr>
            <w:tcW w:type="dxa" w:w="1344"/>
            <w:shd w:val="clear" w:color="auto" w:fill="2E74B5"/>
          </w:tcPr>
          <w:p>
            <w:r>
              <w:rPr>
                <w:rFonts w:ascii="Meiryo UI" w:hAnsi="Meiryo UI"/>
                <w:b/>
                <w:color w:val="FFFFFF"/>
                <w:sz w:val="18"/>
              </w:rPr>
              <w:t>理論株価レンジ</w:t>
            </w:r>
          </w:p>
        </w:tc>
        <w:tc>
          <w:tcPr>
            <w:tcW w:type="dxa" w:w="1344"/>
            <w:shd w:val="clear" w:color="auto" w:fill="2E74B5"/>
          </w:tcPr>
          <w:p>
            <w:r>
              <w:rPr>
                <w:rFonts w:ascii="Meiryo UI" w:hAnsi="Meiryo UI"/>
                <w:b/>
                <w:color w:val="FFFFFF"/>
                <w:sz w:val="18"/>
              </w:rPr>
              <w:t>現在株価比</w:t>
            </w:r>
          </w:p>
        </w:tc>
      </w:tr>
      <w:tr>
        <w:tc>
          <w:tcPr>
            <w:tcW w:type="dxa" w:w="1344"/>
          </w:tcPr>
          <w:p>
            <w:r>
              <w:rPr>
                <w:rFonts w:ascii="Meiryo UI" w:hAnsi="Meiryo UI"/>
                <w:sz w:val="18"/>
              </w:rPr>
              <w:t>強気ケース</w:t>
            </w:r>
          </w:p>
        </w:tc>
        <w:tc>
          <w:tcPr>
            <w:tcW w:type="dxa" w:w="1344"/>
          </w:tcPr>
          <w:p>
            <w:r>
              <w:rPr>
                <w:rFonts w:ascii="Meiryo UI" w:hAnsi="Meiryo UI"/>
                <w:sz w:val="18"/>
              </w:rPr>
              <w:t>3.80%</w:t>
            </w:r>
          </w:p>
        </w:tc>
        <w:tc>
          <w:tcPr>
            <w:tcW w:type="dxa" w:w="1344"/>
          </w:tcPr>
          <w:p>
            <w:r>
              <w:rPr>
                <w:rFonts w:ascii="Meiryo UI" w:hAnsi="Meiryo UI"/>
                <w:sz w:val="18"/>
              </w:rPr>
              <w:t>1.5%</w:t>
            </w:r>
          </w:p>
        </w:tc>
        <w:tc>
          <w:tcPr>
            <w:tcW w:type="dxa" w:w="1344"/>
          </w:tcPr>
          <w:p>
            <w:r>
              <w:rPr>
                <w:rFonts w:ascii="Meiryo UI" w:hAnsi="Meiryo UI"/>
                <w:sz w:val="18"/>
              </w:rPr>
              <w:t>+4%→+3%</w:t>
            </w:r>
          </w:p>
        </w:tc>
        <w:tc>
          <w:tcPr>
            <w:tcW w:type="dxa" w:w="1344"/>
          </w:tcPr>
          <w:p>
            <w:r>
              <w:rPr>
                <w:rFonts w:ascii="Meiryo UI" w:hAnsi="Meiryo UI"/>
                <w:sz w:val="18"/>
              </w:rPr>
              <w:t>▲10%</w:t>
            </w:r>
          </w:p>
        </w:tc>
        <w:tc>
          <w:tcPr>
            <w:tcW w:type="dxa" w:w="1344"/>
          </w:tcPr>
          <w:p>
            <w:r>
              <w:rPr>
                <w:rFonts w:ascii="Meiryo UI" w:hAnsi="Meiryo UI"/>
                <w:sz w:val="18"/>
              </w:rPr>
              <w:t>1,950〜2,200円</w:t>
            </w:r>
          </w:p>
        </w:tc>
        <w:tc>
          <w:tcPr>
            <w:tcW w:type="dxa" w:w="1344"/>
          </w:tcPr>
          <w:p>
            <w:r>
              <w:rPr>
                <w:rFonts w:ascii="Meiryo UI" w:hAnsi="Meiryo UI"/>
                <w:sz w:val="18"/>
              </w:rPr>
              <w:t>▲0〜▲11%</w:t>
            </w:r>
          </w:p>
        </w:tc>
      </w:tr>
      <w:tr>
        <w:tc>
          <w:tcPr>
            <w:tcW w:type="dxa" w:w="1344"/>
            <w:shd w:val="clear" w:color="auto" w:fill="DDEBF7"/>
          </w:tcPr>
          <w:p>
            <w:r>
              <w:rPr>
                <w:rFonts w:ascii="Meiryo UI" w:hAnsi="Meiryo UI"/>
                <w:sz w:val="18"/>
              </w:rPr>
              <w:t>基本ケース</w:t>
            </w:r>
          </w:p>
        </w:tc>
        <w:tc>
          <w:tcPr>
            <w:tcW w:type="dxa" w:w="1344"/>
            <w:shd w:val="clear" w:color="auto" w:fill="DDEBF7"/>
          </w:tcPr>
          <w:p>
            <w:r>
              <w:rPr>
                <w:rFonts w:ascii="Meiryo UI" w:hAnsi="Meiryo UI"/>
                <w:sz w:val="18"/>
              </w:rPr>
              <w:t>3.80%</w:t>
            </w:r>
          </w:p>
        </w:tc>
        <w:tc>
          <w:tcPr>
            <w:tcW w:type="dxa" w:w="1344"/>
            <w:shd w:val="clear" w:color="auto" w:fill="DDEBF7"/>
          </w:tcPr>
          <w:p>
            <w:r>
              <w:rPr>
                <w:rFonts w:ascii="Meiryo UI" w:hAnsi="Meiryo UI"/>
                <w:sz w:val="18"/>
              </w:rPr>
              <w:t>1.0%</w:t>
            </w:r>
          </w:p>
        </w:tc>
        <w:tc>
          <w:tcPr>
            <w:tcW w:type="dxa" w:w="1344"/>
            <w:shd w:val="clear" w:color="auto" w:fill="DDEBF7"/>
          </w:tcPr>
          <w:p>
            <w:r>
              <w:rPr>
                <w:rFonts w:ascii="Meiryo UI" w:hAnsi="Meiryo UI"/>
                <w:sz w:val="18"/>
              </w:rPr>
              <w:t>+3%→+2%</w:t>
            </w:r>
          </w:p>
        </w:tc>
        <w:tc>
          <w:tcPr>
            <w:tcW w:type="dxa" w:w="1344"/>
            <w:shd w:val="clear" w:color="auto" w:fill="DDEBF7"/>
          </w:tcPr>
          <w:p>
            <w:r>
              <w:rPr>
                <w:rFonts w:ascii="Meiryo UI" w:hAnsi="Meiryo UI"/>
                <w:sz w:val="18"/>
              </w:rPr>
              <w:t>▲25%</w:t>
            </w:r>
          </w:p>
        </w:tc>
        <w:tc>
          <w:tcPr>
            <w:tcW w:type="dxa" w:w="1344"/>
            <w:shd w:val="clear" w:color="auto" w:fill="DDEBF7"/>
          </w:tcPr>
          <w:p>
            <w:r>
              <w:rPr>
                <w:rFonts w:ascii="Meiryo UI" w:hAnsi="Meiryo UI"/>
                <w:sz w:val="18"/>
              </w:rPr>
              <w:t>1,550〜1,750円</w:t>
            </w:r>
          </w:p>
        </w:tc>
        <w:tc>
          <w:tcPr>
            <w:tcW w:type="dxa" w:w="1344"/>
            <w:shd w:val="clear" w:color="auto" w:fill="DDEBF7"/>
          </w:tcPr>
          <w:p>
            <w:r>
              <w:rPr>
                <w:rFonts w:ascii="Meiryo UI" w:hAnsi="Meiryo UI"/>
                <w:sz w:val="18"/>
              </w:rPr>
              <w:t>▲20〜▲30%</w:t>
            </w:r>
          </w:p>
        </w:tc>
      </w:tr>
      <w:tr>
        <w:tc>
          <w:tcPr>
            <w:tcW w:type="dxa" w:w="1344"/>
          </w:tcPr>
          <w:p>
            <w:r>
              <w:rPr>
                <w:rFonts w:ascii="Meiryo UI" w:hAnsi="Meiryo UI"/>
                <w:sz w:val="18"/>
              </w:rPr>
              <w:t>弱気ケース</w:t>
            </w:r>
          </w:p>
        </w:tc>
        <w:tc>
          <w:tcPr>
            <w:tcW w:type="dxa" w:w="1344"/>
          </w:tcPr>
          <w:p>
            <w:r>
              <w:rPr>
                <w:rFonts w:ascii="Meiryo UI" w:hAnsi="Meiryo UI"/>
                <w:sz w:val="18"/>
              </w:rPr>
              <w:t>4.80%</w:t>
            </w:r>
          </w:p>
        </w:tc>
        <w:tc>
          <w:tcPr>
            <w:tcW w:type="dxa" w:w="1344"/>
          </w:tcPr>
          <w:p>
            <w:r>
              <w:rPr>
                <w:rFonts w:ascii="Meiryo UI" w:hAnsi="Meiryo UI"/>
                <w:sz w:val="18"/>
              </w:rPr>
              <w:t>0.5%</w:t>
            </w:r>
          </w:p>
        </w:tc>
        <w:tc>
          <w:tcPr>
            <w:tcW w:type="dxa" w:w="1344"/>
          </w:tcPr>
          <w:p>
            <w:r>
              <w:rPr>
                <w:rFonts w:ascii="Meiryo UI" w:hAnsi="Meiryo UI"/>
                <w:sz w:val="18"/>
              </w:rPr>
              <w:t>+1%→+0.5%</w:t>
            </w:r>
          </w:p>
        </w:tc>
        <w:tc>
          <w:tcPr>
            <w:tcW w:type="dxa" w:w="1344"/>
          </w:tcPr>
          <w:p>
            <w:r>
              <w:rPr>
                <w:rFonts w:ascii="Meiryo UI" w:hAnsi="Meiryo UI"/>
                <w:sz w:val="18"/>
              </w:rPr>
              <w:t>▲40%</w:t>
            </w:r>
          </w:p>
        </w:tc>
        <w:tc>
          <w:tcPr>
            <w:tcW w:type="dxa" w:w="1344"/>
          </w:tcPr>
          <w:p>
            <w:r>
              <w:rPr>
                <w:rFonts w:ascii="Meiryo UI" w:hAnsi="Meiryo UI"/>
                <w:sz w:val="18"/>
              </w:rPr>
              <w:t>1,050〜1,300円</w:t>
            </w:r>
          </w:p>
        </w:tc>
        <w:tc>
          <w:tcPr>
            <w:tcW w:type="dxa" w:w="1344"/>
          </w:tcPr>
          <w:p>
            <w:r>
              <w:rPr>
                <w:rFonts w:ascii="Meiryo UI" w:hAnsi="Meiryo UI"/>
                <w:sz w:val="18"/>
              </w:rPr>
              <w:t>▲40〜▲52%</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w:t>
        <w:br/>
        <w:t>│   投資判断：  🔴 SELL（売り）        │</w:t>
        <w:br/>
        <w:t>│                                     │</w:t>
        <w:br/>
        <w:t>│   基本ケース理論株価：1,550〜1,750円  │</w:t>
        <w:br/>
        <w:t>│   現在株価（推定）：約2,200円         │</w:t>
        <w:br/>
        <w:t>│   下落余地：▲20〜30%               │</w:t>
        <w:br/>
        <w:t>│   弱気シナリオ下落余地：▲40〜52%    │</w:t>
        <w:br/>
        <w:t>│                                     │</w:t>
        <w:br/>
        <w:t>└─────────────────────────────────────┘</w:t>
      </w:r>
    </w:p>
    <w:p/>
    <w:p>
      <w:r>
        <w:rPr>
          <w:rFonts w:ascii="Meiryo UI" w:hAnsi="Meiryo UI"/>
          <w:sz w:val="20"/>
        </w:rPr>
        <w:t>判断根拠:</w:t>
      </w:r>
    </w:p>
    <w:p/>
    <w:p>
      <w:pPr>
        <w:pStyle w:val="ListNumber"/>
      </w:pPr>
      <w:r>
        <w:rPr>
          <w:rFonts w:ascii="Meiryo UI" w:hAnsi="Meiryo UI"/>
          <w:sz w:val="20"/>
        </w:rPr>
        <w:t>センチメント面: 浅井速報スコア -82（SELL）は過去のガバナンス不祥事事例と整合的。月曜寄り付きで機関投資家の売りが集中する蓋然性が高い。</w:t>
      </w:r>
    </w:p>
    <w:p>
      <w:pPr>
        <w:pStyle w:val="ListNumber"/>
      </w:pPr>
      <w:r>
        <w:rPr>
          <w:rFonts w:ascii="Meiryo UI" w:hAnsi="Meiryo UI"/>
          <w:sz w:val="20"/>
        </w:rPr>
        <w:t>バリュエーション面: 現在株価2,200円はガバナンスディスカウント前の理論株価（約2,342円）をわずかに下回るが、ディスカウント後の基本ケース（1,550〜1,750円）には400〜650円の下落余地がある。</w:t>
      </w:r>
    </w:p>
    <w:p>
      <w:pPr>
        <w:pStyle w:val="ListNumber"/>
      </w:pPr>
      <w:r>
        <w:rPr>
          <w:rFonts w:ascii="Meiryo UI" w:hAnsi="Meiryo UI"/>
          <w:sz w:val="20"/>
        </w:rPr>
        <w:t>業績面: 特別損失計上・FY2026業績予想の下方修正が高確率で発生し、EPS希薄化→株価下押し圧力が追加される。</w:t>
      </w:r>
    </w:p>
    <w:p>
      <w:pPr>
        <w:pStyle w:val="ListNumber"/>
      </w:pPr>
      <w:r>
        <w:rPr>
          <w:rFonts w:ascii="Meiryo UI" w:hAnsi="Meiryo UI"/>
          <w:sz w:val="20"/>
        </w:rPr>
        <w:t>テクニカル面: ガバナンスショックは信用収縮・信用取引の追い証→強制売却の連鎖を引き起こすことがあり、一時的にファンダメンタルズ以上の下落が発生するリスクがある。</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強気ケース（確率: 15%）</w:t>
      </w:r>
    </w:p>
    <w:p/>
    <w:p>
      <w:r>
        <w:rPr>
          <w:rFonts w:ascii="Meiryo UI" w:hAnsi="Meiryo UI"/>
          <w:sz w:val="20"/>
        </w:rPr>
        <w:t>前提:</w:t>
      </w:r>
    </w:p>
    <w:p>
      <w:pPr>
        <w:pStyle w:val="ListBullet"/>
      </w:pPr>
      <w:r>
        <w:rPr>
          <w:rFonts w:ascii="Meiryo UI" w:hAnsi="Meiryo UI"/>
          <w:sz w:val="20"/>
        </w:rPr>
        <w:t>不正の範囲が限定的（単一部門・個人の横領レベル）と判明</w:t>
      </w:r>
    </w:p>
    <w:p>
      <w:pPr>
        <w:pStyle w:val="ListBullet"/>
      </w:pPr>
      <w:r>
        <w:rPr>
          <w:rFonts w:ascii="Meiryo UI" w:hAnsi="Meiryo UI"/>
          <w:sz w:val="20"/>
        </w:rPr>
        <w:t>経営陣の主要メンバーは継続し、戦略的M&amp;Aも続行</w:t>
      </w:r>
    </w:p>
    <w:p>
      <w:pPr>
        <w:pStyle w:val="ListBullet"/>
      </w:pPr>
      <w:r>
        <w:rPr>
          <w:rFonts w:ascii="Meiryo UI" w:hAnsi="Meiryo UI"/>
          <w:sz w:val="20"/>
        </w:rPr>
        <w:t>特別損失は30億円以内に収まる</w:t>
      </w:r>
    </w:p>
    <w:p>
      <w:pPr>
        <w:pStyle w:val="ListBullet"/>
      </w:pPr>
      <w:r>
        <w:rPr>
          <w:rFonts w:ascii="Meiryo UI" w:hAnsi="Meiryo UI"/>
          <w:sz w:val="20"/>
        </w:rPr>
        <w:t>機関投資家の一部が「割安」と判断し下値で買い支え</w:t>
      </w:r>
    </w:p>
    <w:p/>
    <w:p>
      <w:r>
        <w:rPr>
          <w:rFonts w:ascii="Meiryo UI" w:hAnsi="Meiryo UI"/>
          <w:sz w:val="20"/>
        </w:rPr>
        <w:t>シナリオ展開:</w:t>
      </w:r>
    </w:p>
    <w:p>
      <w:pPr>
        <w:pStyle w:val="ListBullet"/>
      </w:pPr>
      <w:r>
        <w:rPr>
          <w:rFonts w:ascii="Meiryo UI" w:hAnsi="Meiryo UI"/>
          <w:sz w:val="20"/>
        </w:rPr>
        <w:t>月曜は▲5〜10%の初期下落後、週内に下げ止まり</w:t>
      </w:r>
    </w:p>
    <w:p>
      <w:pPr>
        <w:pStyle w:val="ListBullet"/>
      </w:pPr>
      <w:r>
        <w:rPr>
          <w:rFonts w:ascii="Meiryo UI" w:hAnsi="Meiryo UI"/>
          <w:sz w:val="20"/>
        </w:rPr>
        <w:t>4〜6週間でリバウンド局面入り</w:t>
      </w:r>
    </w:p>
    <w:p>
      <w:pPr>
        <w:pStyle w:val="ListBullet"/>
      </w:pPr>
      <w:r>
        <w:rPr>
          <w:rFonts w:ascii="Meiryo UI" w:hAnsi="Meiryo UI"/>
          <w:sz w:val="20"/>
        </w:rPr>
        <w:t>理論株価：1,950〜2,200円</w:t>
      </w:r>
    </w:p>
    <w:p/>
    <w:p>
      <w:r>
        <w:rPr>
          <w:rFonts w:ascii="Meiryo UI" w:hAnsi="Meiryo UI"/>
          <w:sz w:val="20"/>
        </w:rPr>
        <w:t>強気ケースでのトレード戦略:</w:t>
      </w:r>
    </w:p>
    <w:p>
      <w:pPr>
        <w:pStyle w:val="ListBullet"/>
      </w:pPr>
      <w:r>
        <w:rPr>
          <w:rFonts w:ascii="Meiryo UI" w:hAnsi="Meiryo UI"/>
          <w:sz w:val="20"/>
        </w:rPr>
        <w:t>月曜の寄り成り売りは行わず、売り圧力が落ち着いた後の押し目を探す</w:t>
      </w:r>
    </w:p>
    <w:p>
      <w:pPr>
        <w:pStyle w:val="ListBullet"/>
      </w:pPr>
      <w:r>
        <w:rPr>
          <w:rFonts w:ascii="Meiryo UI" w:hAnsi="Meiryo UI"/>
          <w:sz w:val="20"/>
        </w:rPr>
        <w:t>ただし確率15%であり、メインシナリオとしては採用しない</w:t>
      </w:r>
    </w:p>
    <w:p/>
    <w:p>
      <w:pPr>
        <w:pStyle w:val="Heading3"/>
      </w:pPr>
      <w:r>
        <w:rPr>
          <w:rFonts w:ascii="Meiryo UI" w:hAnsi="Meiryo UI"/>
          <w:color w:val="2E74B5"/>
        </w:rPr>
        <w:t>6-2. 基本ケース（確率: 55%）</w:t>
      </w:r>
    </w:p>
    <w:p/>
    <w:p>
      <w:r>
        <w:rPr>
          <w:rFonts w:ascii="Meiryo UI" w:hAnsi="Meiryo UI"/>
          <w:sz w:val="20"/>
        </w:rPr>
        <w:t>前提:</w:t>
      </w:r>
    </w:p>
    <w:p>
      <w:pPr>
        <w:pStyle w:val="ListBullet"/>
      </w:pPr>
      <w:r>
        <w:rPr>
          <w:rFonts w:ascii="Meiryo UI" w:hAnsi="Meiryo UI"/>
          <w:sz w:val="20"/>
        </w:rPr>
        <w:t>不正は複数部門・複数年にまたがるが、グループ全体の構造的問題ではない</w:t>
      </w:r>
    </w:p>
    <w:p>
      <w:pPr>
        <w:pStyle w:val="ListBullet"/>
      </w:pPr>
      <w:r>
        <w:rPr>
          <w:rFonts w:ascii="Meiryo UI" w:hAnsi="Meiryo UI"/>
          <w:sz w:val="20"/>
        </w:rPr>
        <w:t>CFO または 担当役員クラスの処分（代表取締役は継続）</w:t>
      </w:r>
    </w:p>
    <w:p>
      <w:pPr>
        <w:pStyle w:val="ListBullet"/>
      </w:pPr>
      <w:r>
        <w:rPr>
          <w:rFonts w:ascii="Meiryo UI" w:hAnsi="Meiryo UI"/>
          <w:sz w:val="20"/>
        </w:rPr>
        <w:t>特別損失 40〜80億円 → FY2026利益予想を10〜15%下方修正</w:t>
      </w:r>
    </w:p>
    <w:p>
      <w:pPr>
        <w:pStyle w:val="ListBullet"/>
      </w:pPr>
      <w:r>
        <w:rPr>
          <w:rFonts w:ascii="Meiryo UI" w:hAnsi="Meiryo UI"/>
          <w:sz w:val="20"/>
        </w:rPr>
        <w:t>MSCIやTOPIX組み入れは維持されるが、機関投資家のウェイトが低下</w:t>
      </w:r>
    </w:p>
    <w:p>
      <w:pPr>
        <w:pStyle w:val="ListBullet"/>
      </w:pPr>
      <w:r>
        <w:rPr>
          <w:rFonts w:ascii="Meiryo UI" w:hAnsi="Meiryo UI"/>
          <w:sz w:val="20"/>
        </w:rPr>
        <w:t>ガバナンス格付けの引き下げ（ISS・グラスルイス等の推奨変更）</w:t>
      </w:r>
    </w:p>
    <w:p/>
    <w:p>
      <w:r>
        <w:rPr>
          <w:rFonts w:ascii="Meiryo UI" w:hAnsi="Meiryo UI"/>
          <w:sz w:val="20"/>
        </w:rPr>
        <w:t>シナリオ展開:</w:t>
      </w:r>
    </w:p>
    <w:p>
      <w:pPr>
        <w:pStyle w:val="ListBullet"/>
      </w:pPr>
      <w:r>
        <w:rPr>
          <w:rFonts w:ascii="Meiryo UI" w:hAnsi="Meiryo UI"/>
          <w:sz w:val="20"/>
        </w:rPr>
        <w:t>月曜寄り付き：▲8〜15%のギャップダウン</w:t>
      </w:r>
    </w:p>
    <w:p>
      <w:pPr>
        <w:pStyle w:val="ListBullet"/>
      </w:pPr>
      <w:r>
        <w:rPr>
          <w:rFonts w:ascii="Meiryo UI" w:hAnsi="Meiryo UI"/>
          <w:sz w:val="20"/>
        </w:rPr>
        <w:t>1〜2週間は売り圧力継続（▲15〜25%）</w:t>
      </w:r>
    </w:p>
    <w:p>
      <w:pPr>
        <w:pStyle w:val="ListBullet"/>
      </w:pPr>
      <w:r>
        <w:rPr>
          <w:rFonts w:ascii="Meiryo UI" w:hAnsi="Meiryo UI"/>
          <w:sz w:val="20"/>
        </w:rPr>
        <w:t>3〜6ヶ月かけて底値形成・再評価の機会</w:t>
      </w:r>
    </w:p>
    <w:p>
      <w:pPr>
        <w:pStyle w:val="ListBullet"/>
      </w:pPr>
      <w:r>
        <w:rPr>
          <w:rFonts w:ascii="Meiryo UI" w:hAnsi="Meiryo UI"/>
          <w:sz w:val="20"/>
        </w:rPr>
        <w:t>理論株価：1,550〜1,750円</w:t>
      </w:r>
    </w:p>
    <w:p/>
    <w:p>
      <w:pPr>
        <w:pStyle w:val="Heading3"/>
      </w:pPr>
      <w:r>
        <w:rPr>
          <w:rFonts w:ascii="Meiryo UI" w:hAnsi="Meiryo UI"/>
          <w:color w:val="2E74B5"/>
        </w:rPr>
        <w:t>6-3. 弱気ケース（確率: 30%）</w:t>
      </w:r>
    </w:p>
    <w:p/>
    <w:p>
      <w:r>
        <w:rPr>
          <w:rFonts w:ascii="Meiryo UI" w:hAnsi="Meiryo UI"/>
          <w:sz w:val="20"/>
        </w:rPr>
        <w:t>前提:</w:t>
      </w:r>
    </w:p>
    <w:p>
      <w:pPr>
        <w:pStyle w:val="ListBullet"/>
      </w:pPr>
      <w:r>
        <w:rPr>
          <w:rFonts w:ascii="Meiryo UI" w:hAnsi="Meiryo UI"/>
          <w:sz w:val="20"/>
        </w:rPr>
        <w:t>不正がグループ全体に広がる構造的な問題（組織的関与）であることが判明</w:t>
      </w:r>
    </w:p>
    <w:p>
      <w:pPr>
        <w:pStyle w:val="ListBullet"/>
      </w:pPr>
      <w:r>
        <w:rPr>
          <w:rFonts w:ascii="Meiryo UI" w:hAnsi="Meiryo UI"/>
          <w:sz w:val="20"/>
        </w:rPr>
        <w:t>代表取締役CEO の引責辞任 → 経営の空白期間が発生</w:t>
      </w:r>
    </w:p>
    <w:p>
      <w:pPr>
        <w:pStyle w:val="ListBullet"/>
      </w:pPr>
      <w:r>
        <w:rPr>
          <w:rFonts w:ascii="Meiryo UI" w:hAnsi="Meiryo UI"/>
          <w:sz w:val="20"/>
        </w:rPr>
        <w:t>金融機関からの追加与信調査 → 借入コスト上昇</w:t>
      </w:r>
    </w:p>
    <w:p>
      <w:pPr>
        <w:pStyle w:val="ListBullet"/>
      </w:pPr>
      <w:r>
        <w:rPr>
          <w:rFonts w:ascii="Meiryo UI" w:hAnsi="Meiryo UI"/>
          <w:sz w:val="20"/>
        </w:rPr>
        <w:t>特別損失 100億円超 → 当期赤字転落の可能性</w:t>
      </w:r>
    </w:p>
    <w:p>
      <w:pPr>
        <w:pStyle w:val="ListBullet"/>
      </w:pPr>
      <w:r>
        <w:rPr>
          <w:rFonts w:ascii="Meiryo UI" w:hAnsi="Meiryo UI"/>
          <w:sz w:val="20"/>
        </w:rPr>
        <w:t>MSCI・TOPIXのリバランス（定期見直し）での除外・ウェイト削減</w:t>
      </w:r>
    </w:p>
    <w:p>
      <w:pPr>
        <w:pStyle w:val="ListBullet"/>
      </w:pPr>
      <w:r>
        <w:rPr>
          <w:rFonts w:ascii="Meiryo UI" w:hAnsi="Meiryo UI"/>
          <w:sz w:val="20"/>
        </w:rPr>
        <w:t>顧客（病院・大手製造業）からの取引見直し・契約更改時の切り替え検討開始</w:t>
      </w:r>
    </w:p>
    <w:p/>
    <w:p>
      <w:r>
        <w:rPr>
          <w:rFonts w:ascii="Meiryo UI" w:hAnsi="Meiryo UI"/>
          <w:sz w:val="20"/>
        </w:rPr>
        <w:t>シナリオ展開:</w:t>
      </w:r>
    </w:p>
    <w:p>
      <w:pPr>
        <w:pStyle w:val="ListBullet"/>
      </w:pPr>
      <w:r>
        <w:rPr>
          <w:rFonts w:ascii="Meiryo UI" w:hAnsi="Meiryo UI"/>
          <w:sz w:val="20"/>
        </w:rPr>
        <w:t>月曜寄り付き：▲15〜25%のギャップダウン</w:t>
      </w:r>
    </w:p>
    <w:p>
      <w:pPr>
        <w:pStyle w:val="ListBullet"/>
      </w:pPr>
      <w:r>
        <w:rPr>
          <w:rFonts w:ascii="Meiryo UI" w:hAnsi="Meiryo UI"/>
          <w:sz w:val="20"/>
        </w:rPr>
        <w:t>1〜2ヶ月で底値を模索（▲35〜50%）</w:t>
      </w:r>
    </w:p>
    <w:p>
      <w:pPr>
        <w:pStyle w:val="ListBullet"/>
      </w:pPr>
      <w:r>
        <w:rPr>
          <w:rFonts w:ascii="Meiryo UI" w:hAnsi="Meiryo UI"/>
          <w:sz w:val="20"/>
        </w:rPr>
        <w:t>長期低迷（6〜12ヶ月）</w:t>
      </w:r>
    </w:p>
    <w:p>
      <w:pPr>
        <w:pStyle w:val="ListBullet"/>
      </w:pPr>
      <w:r>
        <w:rPr>
          <w:rFonts w:ascii="Meiryo UI" w:hAnsi="Meiryo UI"/>
          <w:sz w:val="20"/>
        </w:rPr>
        <w:t>理論株価：1,050〜1,300円</w:t>
      </w:r>
    </w:p>
    <w:p/>
    <w:p>
      <w:pPr>
        <w:pStyle w:val="Heading3"/>
      </w:pPr>
      <w:r>
        <w:rPr>
          <w:rFonts w:ascii="Meiryo UI" w:hAnsi="Meiryo UI"/>
          <w:color w:val="2E74B5"/>
        </w:rPr>
        <w:t>6-4. シナリオ確率加重 理論株価</w:t>
      </w:r>
    </w:p>
    <w:p/>
    <w:p>
      <w:pPr>
        <w:shd w:val="clear" w:color="auto" w:fill="F2F2F2"/>
      </w:pPr>
      <w:r>
        <w:rPr>
          <w:rFonts w:ascii="Courier New" w:hAnsi="Courier New"/>
          <w:sz w:val="16"/>
        </w:rPr>
        <w:t>期待理論株価</w:t>
        <w:br/>
        <w:t>= 2,075円 × 15% + 1,650円 × 55% + 1,175円 × 30%</w:t>
        <w:br/>
        <w:t>= 311.3 + 907.5 + 352.5</w:t>
        <w:br/>
        <w:t>= 約1,571円</w:t>
        <w:br/>
        <w:br/>
        <w:t>現在株価（約2,200円）に対する期待下落率: ▲28.6%</w:t>
      </w:r>
    </w:p>
    <w:p/>
    <w:p>
      <w:r>
        <w:rPr>
          <w:rFonts w:ascii="Meiryo UI" w:hAnsi="Meiryo UI"/>
          <w:sz w:val="20"/>
        </w:rPr>
        <w:t>→ 期待値ベースでも明確なSELL判断を支持する。</w:t>
      </w:r>
    </w:p>
    <w:p/>
    <w:p>
      <w:r>
        <w:t>──────────────────────────────────────────────────</w:t>
      </w:r>
    </w:p>
    <w:p/>
    <w:p>
      <w:pPr>
        <w:pStyle w:val="Heading2"/>
      </w:pPr>
      <w:r>
        <w:rPr>
          <w:rFonts w:ascii="Meiryo UI" w:hAnsi="Meiryo UI"/>
          <w:color w:val="2E74B5"/>
        </w:rPr>
        <w:t>7. 浅井速報との統合評価 — センチメントと本源的価値のギャップ分析</w:t>
      </w:r>
    </w:p>
    <w:p/>
    <w:p>
      <w:pPr>
        <w:pStyle w:val="Heading3"/>
      </w:pPr>
      <w:r>
        <w:rPr>
          <w:rFonts w:ascii="Meiryo UI" w:hAnsi="Meiryo UI"/>
          <w:color w:val="2E74B5"/>
        </w:rPr>
        <w:t>7-1. 浅井速報スコアの位置づけ</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浅井スコア</w:t>
            </w:r>
          </w:p>
        </w:tc>
        <w:tc>
          <w:tcPr>
            <w:tcW w:type="dxa" w:w="4703"/>
            <w:shd w:val="clear" w:color="auto" w:fill="2E74B5"/>
          </w:tcPr>
          <w:p>
            <w:r>
              <w:rPr>
                <w:rFonts w:ascii="Meiryo UI" w:hAnsi="Meiryo UI"/>
                <w:b/>
                <w:color w:val="FFFFFF"/>
                <w:sz w:val="18"/>
              </w:rPr>
              <w:t>-82（SELL）</w:t>
            </w:r>
          </w:p>
        </w:tc>
      </w:tr>
      <w:tr>
        <w:tc>
          <w:tcPr>
            <w:tcW w:type="dxa" w:w="4703"/>
          </w:tcPr>
          <w:p>
            <w:r>
              <w:rPr>
                <w:rFonts w:ascii="Meiryo UI" w:hAnsi="Meiryo UI"/>
                <w:sz w:val="18"/>
              </w:rPr>
              <w:t>スコア分布での位置</w:t>
            </w:r>
          </w:p>
        </w:tc>
        <w:tc>
          <w:tcPr>
            <w:tcW w:type="dxa" w:w="4703"/>
          </w:tcPr>
          <w:p>
            <w:r>
              <w:rPr>
                <w:rFonts w:ascii="Meiryo UI" w:hAnsi="Meiryo UI"/>
                <w:sz w:val="18"/>
              </w:rPr>
              <w:t>-100〜+100のうち、強い売りゾーン（-80以下は発動頻度低）</w:t>
            </w:r>
          </w:p>
        </w:tc>
      </w:tr>
      <w:tr>
        <w:tc>
          <w:tcPr>
            <w:tcW w:type="dxa" w:w="4703"/>
            <w:shd w:val="clear" w:color="auto" w:fill="DDEBF7"/>
          </w:tcPr>
          <w:p>
            <w:r>
              <w:rPr>
                <w:rFonts w:ascii="Meiryo UI" w:hAnsi="Meiryo UI"/>
                <w:sz w:val="18"/>
              </w:rPr>
              <w:t>過去類似事例との比較</w:t>
            </w:r>
          </w:p>
        </w:tc>
        <w:tc>
          <w:tcPr>
            <w:tcW w:type="dxa" w:w="4703"/>
            <w:shd w:val="clear" w:color="auto" w:fill="DDEBF7"/>
          </w:tcPr>
          <w:p>
            <w:r>
              <w:rPr>
                <w:rFonts w:ascii="Meiryo UI" w:hAnsi="Meiryo UI"/>
                <w:sz w:val="18"/>
              </w:rPr>
              <w:t>東芝不正会計発覚初日(-85)、三菱自動車燃費不正発覚(-78)に匹敵</w:t>
            </w:r>
          </w:p>
        </w:tc>
      </w:tr>
      <w:tr>
        <w:tc>
          <w:tcPr>
            <w:tcW w:type="dxa" w:w="4703"/>
          </w:tcPr>
          <w:p>
            <w:r>
              <w:rPr>
                <w:rFonts w:ascii="Meiryo UI" w:hAnsi="Meiryo UI"/>
                <w:sz w:val="18"/>
              </w:rPr>
              <w:t>センチメント方向性</w:t>
            </w:r>
          </w:p>
        </w:tc>
        <w:tc>
          <w:tcPr>
            <w:tcW w:type="dxa" w:w="4703"/>
          </w:tcPr>
          <w:p>
            <w:r>
              <w:rPr>
                <w:rFonts w:ascii="Meiryo UI" w:hAnsi="Meiryo UI"/>
                <w:sz w:val="18"/>
              </w:rPr>
              <w:t>完全にネガティブ一色。反論材料なし</w:t>
            </w:r>
          </w:p>
        </w:tc>
      </w:tr>
    </w:tbl>
    <w:p/>
    <w:p>
      <w:pPr>
        <w:pStyle w:val="Heading3"/>
      </w:pPr>
      <w:r>
        <w:rPr>
          <w:rFonts w:ascii="Meiryo UI" w:hAnsi="Meiryo UI"/>
          <w:color w:val="2E74B5"/>
        </w:rPr>
        <w:t>7-2. センチメント vs ファンダメンタルズのマトリクス</w:t>
      </w:r>
    </w:p>
    <w:p/>
    <w:p>
      <w:pPr>
        <w:shd w:val="clear" w:color="auto" w:fill="F2F2F2"/>
      </w:pPr>
      <w:r>
        <w:rPr>
          <w:rFonts w:ascii="Courier New" w:hAnsi="Courier New"/>
          <w:sz w:val="16"/>
        </w:rPr>
        <w:t xml:space="preserve">              センチメント</w:t>
        <w:br/>
        <w:t xml:space="preserve">              ネガティブ ←————→ ポジティブ</w:t>
        <w:br/>
        <w:t xml:space="preserve">                    │</w:t>
        <w:br/>
        <w:t xml:space="preserve">  割安         [A]  │  [B]</w:t>
        <w:br/>
        <w:t>（ファンダ）   逆張り買い│  コンセンサス買い</w:t>
        <w:br/>
        <w:t xml:space="preserve">  ────────────────┼────────────────</w:t>
        <w:br/>
        <w:t xml:space="preserve">  割高         [C]  │  [D]</w:t>
        <w:br/>
        <w:t>（ファンダ）  ★今回★  │  コンセンサス売り</w:t>
        <w:br/>
        <w:t xml:space="preserve">              明確売り  │  割高売り</w:t>
        <w:br/>
        <w:t xml:space="preserve">                    │</w:t>
      </w:r>
    </w:p>
    <w:p/>
    <w:p>
      <w:r>
        <w:rPr>
          <w:rFonts w:ascii="Meiryo UI" w:hAnsi="Meiryo UI"/>
          <w:sz w:val="20"/>
        </w:rPr>
        <w:t>エア・ウォーター（現時点）= ゾーン [C]：センチメントが強くネガティブ、かつファンダメンタルズでも割高</w:t>
      </w:r>
    </w:p>
    <w:p/>
    <w:p>
      <w:pPr>
        <w:pStyle w:val="ListBullet"/>
      </w:pPr>
      <w:r>
        <w:rPr>
          <w:rFonts w:ascii="Meiryo UI" w:hAnsi="Meiryo UI"/>
          <w:sz w:val="20"/>
        </w:rPr>
        <w:t>現在株価 2,200円 vs 期待理論株価 1,571円 → 約40%の過大評価</w:t>
      </w:r>
    </w:p>
    <w:p>
      <w:pPr>
        <w:pStyle w:val="ListBullet"/>
      </w:pPr>
      <w:r>
        <w:rPr>
          <w:rFonts w:ascii="Meiryo UI" w:hAnsi="Meiryo UI"/>
          <w:sz w:val="20"/>
        </w:rPr>
        <w:t>センチメント（-82）とファンダメンタルズ（SELL）が完全に一致している珍しいケース</w:t>
      </w:r>
    </w:p>
    <w:p>
      <w:pPr>
        <w:pStyle w:val="ListBullet"/>
      </w:pPr>
      <w:r>
        <w:rPr>
          <w:rFonts w:ascii="Meiryo UI" w:hAnsi="Meiryo UI"/>
          <w:sz w:val="20"/>
        </w:rPr>
        <w:t>ギャップがなく、両面から売りが正当化される</w:t>
      </w:r>
    </w:p>
    <w:p/>
    <w:p>
      <w:pPr>
        <w:pStyle w:val="Heading3"/>
      </w:pPr>
      <w:r>
        <w:rPr>
          <w:rFonts w:ascii="Meiryo UI" w:hAnsi="Meiryo UI"/>
          <w:color w:val="2E74B5"/>
        </w:rPr>
        <w:t>7-3. 浅井速報コメントへの深井コメント</w:t>
      </w:r>
    </w:p>
    <w:p/>
    <w:p>
      <w:r>
        <w:rPr>
          <w:rFonts w:ascii="Meiryo UI" w:hAnsi="Meiryo UI"/>
          <w:sz w:val="20"/>
        </w:rPr>
        <w:t>&gt; 「不正の全容が市場に開示。機関投資家の信頼失墜・売り圧力が集中。月曜寄り付き前に空売り or ロング解消検討」</w:t>
      </w:r>
    </w:p>
    <w:p/>
    <w:p>
      <w:r>
        <w:rPr>
          <w:rFonts w:ascii="Meiryo UI" w:hAnsi="Meiryo UI"/>
          <w:sz w:val="20"/>
        </w:rPr>
        <w:t>深井の見解:</w:t>
      </w:r>
    </w:p>
    <w:p/>
    <w:p>
      <w:r>
        <w:rPr>
          <w:rFonts w:ascii="Meiryo UI" w:hAnsi="Meiryo UI"/>
          <w:sz w:val="20"/>
        </w:rPr>
        <w:t>✅ 完全同意。センチメントと本源的価値の両面がSELLを指示しており、希少なほど強い売りシグナルである。ただし以下の点を付記する：</w:t>
      </w:r>
    </w:p>
    <w:p/>
    <w:p>
      <w:pPr>
        <w:pStyle w:val="ListNumber"/>
      </w:pPr>
      <w:r>
        <w:rPr>
          <w:rFonts w:ascii="Meiryo UI" w:hAnsi="Meiryo UI"/>
          <w:sz w:val="20"/>
        </w:rPr>
        <w:t>初動の下落スピードリスク: 月曜寄り付きはストップ安（制限値幅）で寄り付けない可能性もある。空売りは寄り付け失敗リスクを考慮し、指値（現在株価▲8〜12%水準）または板状況確認後の成行が現実的。</w:t>
      </w:r>
    </w:p>
    <w:p/>
    <w:p>
      <w:pPr>
        <w:pStyle w:val="ListNumber"/>
      </w:pPr>
      <w:r>
        <w:rPr>
          <w:rFonts w:ascii="Meiryo UI" w:hAnsi="Meiryo UI"/>
          <w:sz w:val="20"/>
        </w:rPr>
        <w:t>信用残高確認: 現在の空売り残・信用買い残の水準次第でスクイーズ（踏み上げ）が短期的に発生するリスクがある。報告書公表後の週末に既に相当量の空売りが建っている場合は注意。</w:t>
      </w:r>
    </w:p>
    <w:p/>
    <w:p>
      <w:pPr>
        <w:pStyle w:val="ListNumber"/>
      </w:pPr>
      <w:r>
        <w:rPr>
          <w:rFonts w:ascii="Meiryo UI" w:hAnsi="Meiryo UI"/>
          <w:sz w:val="20"/>
        </w:rPr>
        <w:t>ボラティリティの高さを考慮: ガバナンスショック直後は日中ボラが極めて高く、1日で±10〜15%動く可能性がある。**ポジションサイジングを通常の50</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40880_エア・ウォーター_SELL_DeepResearch_20260404.md を出力しました。</w:t>
      </w:r>
    </w:p>
    <w:p>
      <w:r>
        <w:rPr>
          <w:rFonts w:ascii="Meiryo UI" w:hAnsi="Meiryo UI"/>
          <w:sz w:val="20"/>
        </w:rPr>
        <w:t>浅井スコア -82 の銘柄 [40880]エア・ウォーター についてDeepResearch完了。</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