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4182 三菱ガス化学（三菱瓦斯化学）Deep Research</w:t>
      </w:r>
    </w:p>
    <w:p>
      <w:pPr>
        <w:spacing w:after="40"/>
      </w:pPr>
      <w:r>
        <w:rPr>
          <w:rFonts w:eastAsia="Yu Gothic"/>
          <w:rFonts w:ascii="Yu Gothic" w:hAnsi="Yu Gothic"/>
          <w:b/>
          <w:sz w:val="20"/>
        </w:rPr>
        <w:t>竹村トレードカンパニー 深井アナリスト</w:t>
      </w:r>
    </w:p>
    <w:p>
      <w:pPr>
        <w:spacing w:after="40"/>
      </w:pPr>
      <w:r>
        <w:rPr>
          <w:rFonts w:eastAsia="Yu Gothic"/>
          <w:rFonts w:ascii="Yu Gothic" w:hAnsi="Yu Gothic"/>
          <w:b/>
          <w:sz w:val="20"/>
        </w:rPr>
        <w:t>作成日: 2026年4月24日</w:t>
      </w:r>
    </w:p>
    <w:p/>
    <w:p/>
    <w:p/>
    <w:p>
      <w:pPr>
        <w:spacing w:before="120" w:after="80"/>
        <w:jc w:val="left"/>
        <w:pBdr>
          <w:bottom w:val="single" w:sz="6" w:space="1" w:color="4472C4"/>
        </w:pBdr>
      </w:pPr>
      <w:r>
        <w:rPr>
          <w:rFonts w:eastAsia="Yu Gothic"/>
          <w:rFonts w:ascii="Yu Gothic" w:hAnsi="Yu Gothic"/>
          <w:b/>
          <w:color w:val="1F497D"/>
          <w:sz w:val="26"/>
        </w:rPr>
        <w:t>0. 10秒サマリー（結論ファースト）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**SELL / 回避（ホルムズ被害筆頭銘柄）**</w:t>
            </w:r>
          </w:p>
        </w:tc>
      </w:tr>
      <w:tr>
        <w:tc>
          <w:tcPr>
            <w:tcW w:type="dxa" w:w="4703"/>
          </w:tcPr>
          <w:p>
            <w:r>
              <w:rPr>
                <w:rFonts w:eastAsia="Yu Gothic"/>
                <w:rFonts w:ascii="Yu Gothic" w:hAnsi="Yu Gothic"/>
                <w:b w:val="0"/>
                <w:sz w:val="18"/>
              </w:rPr>
              <w:t>**浅井スコア**</w:t>
            </w:r>
          </w:p>
        </w:tc>
        <w:tc>
          <w:tcPr>
            <w:tcW w:type="dxa" w:w="4703"/>
          </w:tcPr>
          <w:p>
            <w:r>
              <w:rPr>
                <w:rFonts w:eastAsia="Yu Gothic"/>
                <w:rFonts w:ascii="Yu Gothic" w:hAnsi="Yu Gothic"/>
                <w:b w:val="0"/>
                <w:sz w:val="18"/>
              </w:rPr>
              <w:t>**-72**</w:t>
            </w:r>
          </w:p>
        </w:tc>
      </w:tr>
      <w:tr>
        <w:tc>
          <w:tcPr>
            <w:tcW w:type="dxa" w:w="4703"/>
          </w:tcPr>
          <w:p>
            <w:r>
              <w:rPr>
                <w:rFonts w:eastAsia="Yu Gothic"/>
                <w:rFonts w:ascii="Yu Gothic" w:hAnsi="Yu Gothic"/>
                <w:b w:val="0"/>
                <w:sz w:val="18"/>
              </w:rPr>
              <w:t>**現在値（参照）**</w:t>
            </w:r>
          </w:p>
        </w:tc>
        <w:tc>
          <w:tcPr>
            <w:tcW w:type="dxa" w:w="4703"/>
          </w:tcPr>
          <w:p>
            <w:r>
              <w:rPr>
                <w:rFonts w:eastAsia="Yu Gothic"/>
                <w:rFonts w:ascii="Yu Gothic" w:hAnsi="Yu Gothic"/>
                <w:b w:val="0"/>
                <w:sz w:val="18"/>
              </w:rPr>
              <w:t>約¥4,329（2026年4月22日終値参照）</w:t>
            </w:r>
          </w:p>
        </w:tc>
      </w:tr>
      <w:tr>
        <w:tc>
          <w:tcPr>
            <w:tcW w:type="dxa" w:w="4703"/>
          </w:tcPr>
          <w:p>
            <w:r>
              <w:rPr>
                <w:rFonts w:eastAsia="Yu Gothic"/>
                <w:rFonts w:ascii="Yu Gothic" w:hAnsi="Yu Gothic"/>
                <w:b w:val="0"/>
                <w:sz w:val="18"/>
              </w:rPr>
              <w:t>**TP（ベース）**</w:t>
            </w:r>
          </w:p>
        </w:tc>
        <w:tc>
          <w:tcPr>
            <w:tcW w:type="dxa" w:w="4703"/>
          </w:tcPr>
          <w:p>
            <w:r>
              <w:rPr>
                <w:rFonts w:eastAsia="Yu Gothic"/>
                <w:rFonts w:ascii="Yu Gothic" w:hAnsi="Yu Gothic"/>
                <w:b w:val="0"/>
                <w:sz w:val="18"/>
              </w:rPr>
              <w:t>¥3,600（ホルムズ長期化シナリオ）</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現値比▲17%下落余地（ベースTP対比）</w:t>
            </w:r>
          </w:p>
        </w:tc>
      </w:tr>
      <w:tr>
        <w:tc>
          <w:tcPr>
            <w:tcW w:type="dxa" w:w="4703"/>
          </w:tcPr>
          <w:p>
            <w:r>
              <w:rPr>
                <w:rFonts w:eastAsia="Yu Gothic"/>
                <w:rFonts w:ascii="Yu Gothic" w:hAnsi="Yu Gothic"/>
                <w:b w:val="0"/>
                <w:sz w:val="18"/>
              </w:rPr>
              <w:t>**強気TP**</w:t>
            </w:r>
          </w:p>
        </w:tc>
        <w:tc>
          <w:tcPr>
            <w:tcW w:type="dxa" w:w="4703"/>
          </w:tcPr>
          <w:p>
            <w:r>
              <w:rPr>
                <w:rFonts w:eastAsia="Yu Gothic"/>
                <w:rFonts w:ascii="Yu Gothic" w:hAnsi="Yu Gothic"/>
                <w:b w:val="0"/>
                <w:sz w:val="18"/>
              </w:rPr>
              <w:t>¥5,000（ホルムズ解除・メタノール市況回復）</w:t>
            </w:r>
          </w:p>
        </w:tc>
      </w:tr>
    </w:tbl>
    <w:p/>
    <w:p/>
    <w:p>
      <w:pPr>
        <w:spacing w:before="120" w:after="80"/>
        <w:jc w:val="left"/>
      </w:pPr>
      <w:r>
        <w:rPr>
          <w:rFonts w:eastAsia="Yu Gothic"/>
          <w:rFonts w:ascii="Yu Gothic" w:hAnsi="Yu Gothic"/>
          <w:b/>
          <w:color w:val="366092"/>
          <w:sz w:val="23"/>
        </w:rPr>
        <w:t>3弾丸（最重要ポジティブ点）</w:t>
      </w:r>
    </w:p>
    <w:p>
      <w:pPr>
        <w:spacing w:after="40"/>
      </w:pPr>
      <w:r>
        <w:rPr>
          <w:rFonts w:eastAsia="Yu Gothic"/>
          <w:rFonts w:ascii="Yu Gothic" w:hAnsi="Yu Gothic"/>
          <w:b w:val="0"/>
          <w:sz w:val="20"/>
        </w:rPr>
        <w:t>1. **BT材・過酸化水素が半導体向けに絶好調** — 半導体パッケージ用BT材料は納期16〜20週（従来の2倍超）に達する需要超過。電子材料セグメントは中計「Grow UP 2026」の牽引役で、2030年OP利益率10%目標の核</w:t>
      </w:r>
    </w:p>
    <w:p>
      <w:pPr>
        <w:spacing w:after="40"/>
      </w:pPr>
      <w:r>
        <w:rPr>
          <w:rFonts w:eastAsia="Yu Gothic"/>
          <w:rFonts w:ascii="Yu Gothic" w:hAnsi="Yu Gothic"/>
          <w:b w:val="0"/>
          <w:sz w:val="20"/>
        </w:rPr>
        <w:t>2. **累進配当方針・1株100円配当維持意向** — 2026年3月期赤字転落にもかかわらず1株配当100円/期を維持する方針。配当利回り約2.3%（¥4,329ベース）。総還元性向50%中計公約</w:t>
      </w:r>
    </w:p>
    <w:p>
      <w:pPr>
        <w:spacing w:after="40"/>
      </w:pPr>
      <w:r>
        <w:rPr>
          <w:rFonts w:eastAsia="Yu Gothic"/>
          <w:rFonts w:ascii="Yu Gothic" w:hAnsi="Yu Gothic"/>
          <w:b w:val="0"/>
          <w:sz w:val="20"/>
        </w:rPr>
        <w:t>3. **4拠点分散で代替調達が一部機能** — サウジ封鎖後、ベネズエラ・ブルネイ・トリニダード・トバゴの3拠点で代替調達を実施中。完全代替は困難だが全面供給停止は回避</w:t>
      </w:r>
    </w:p>
    <w:p/>
    <w:p>
      <w:pPr>
        <w:spacing w:before="120" w:after="80"/>
        <w:jc w:val="left"/>
      </w:pPr>
      <w:r>
        <w:rPr>
          <w:rFonts w:eastAsia="Yu Gothic"/>
          <w:rFonts w:ascii="Yu Gothic" w:hAnsi="Yu Gothic"/>
          <w:b/>
          <w:color w:val="366092"/>
          <w:sz w:val="23"/>
        </w:rPr>
        <w:t>最大リスク1点</w:t>
      </w:r>
    </w:p>
    <w:p>
      <w:pPr>
        <w:spacing w:after="40"/>
      </w:pPr>
      <w:r>
        <w:rPr>
          <w:rFonts w:eastAsia="Yu Gothic"/>
          <w:rFonts w:ascii="Yu Gothic" w:hAnsi="Yu Gothic"/>
          <w:b w:val="0"/>
          <w:sz w:val="20"/>
        </w:rPr>
        <w:t>**ホルムズ海峡封鎖継続によるサウジメタノール調達不能の業績直撃** — サウジ生産能力は全体の50%超を占める。封鎖長期化で調達コスト急騰（輸送費・保険料）＋供給量不足が重複打撃。2026年3月期純損失180億円（13年ぶり）＋MXDA減損502億円に加え、2027年3月期も経常利益17%減見通し</w:t>
      </w:r>
    </w:p>
    <w:p/>
    <w:p>
      <w:pPr>
        <w:spacing w:before="120" w:after="80"/>
        <w:jc w:val="left"/>
      </w:pPr>
      <w:r>
        <w:rPr>
          <w:rFonts w:eastAsia="Yu Gothic"/>
          <w:rFonts w:ascii="Yu Gothic" w:hAnsi="Yu Gothic"/>
          <w:b/>
          <w:color w:val="366092"/>
          <w:sz w:val="23"/>
        </w:rPr>
        <w:t>推奨アクション</w:t>
      </w:r>
    </w:p>
    <w:p>
      <w:pPr>
        <w:spacing w:after="40"/>
      </w:pPr>
      <w:r>
        <w:rPr>
          <w:rFonts w:eastAsia="Yu Gothic"/>
          <w:rFonts w:ascii="Yu Gothic" w:hAnsi="Yu Gothic"/>
          <w:b w:val="0"/>
          <w:sz w:val="20"/>
        </w:rPr>
        <w:t>**現時点では購入回避・既保有者は段階的売却を検討**。ホルムズ解除の明確なシグナル（IRGC許可証発行停止・タンカー航行再開）が確認されるまでポジション構築は待機。解除確認後は強気シナリオ（¥5,000+）への回転を検討余地あり。</w:t>
      </w:r>
    </w:p>
    <w:p/>
    <w:p/>
    <w:p/>
    <w:p>
      <w:pPr>
        <w:spacing w:before="120" w:after="80"/>
        <w:jc w:val="left"/>
        <w:pBdr>
          <w:bottom w:val="single" w:sz="6" w:space="1" w:color="4472C4"/>
        </w:pBdr>
      </w:pPr>
      <w:r>
        <w:rPr>
          <w:rFonts w:eastAsia="Yu Gothic"/>
          <w:rFonts w:ascii="Yu Gothic" w:hAnsi="Yu Gothic"/>
          <w:b/>
          <w:color w:val="1F497D"/>
          <w:sz w:val="26"/>
        </w:rPr>
        <w:t>1. 企業IR情報</w:t>
      </w:r>
    </w:p>
    <w:p/>
    <w:p>
      <w:pPr>
        <w:spacing w:before="120" w:after="80"/>
        <w:jc w:val="left"/>
      </w:pPr>
      <w:r>
        <w:rPr>
          <w:rFonts w:eastAsia="Yu Gothic"/>
          <w:rFonts w:ascii="Yu Gothic" w:hAnsi="Yu Gothic"/>
          <w:b/>
          <w:color w:val="366092"/>
          <w:sz w:val="23"/>
        </w:rPr>
        <w:t>IRページURL（自律取得）</w:t>
      </w:r>
    </w:p>
    <w:p>
      <w:pPr>
        <w:pStyle w:val="ListBullet"/>
      </w:pPr>
      <w:r>
        <w:rPr>
          <w:rFonts w:eastAsia="Yu Gothic"/>
          <w:rFonts w:ascii="Yu Gothic" w:hAnsi="Yu Gothic"/>
          <w:b w:val="0"/>
          <w:sz w:val="20"/>
        </w:rPr>
        <w:t>**IR総合ページ**: https://www.mgc.co.jp/ir/</w:t>
      </w:r>
    </w:p>
    <w:p>
      <w:pPr>
        <w:pStyle w:val="ListBullet"/>
      </w:pPr>
      <w:r>
        <w:rPr>
          <w:rFonts w:eastAsia="Yu Gothic"/>
          <w:rFonts w:ascii="Yu Gothic" w:hAnsi="Yu Gothic"/>
          <w:b w:val="0"/>
          <w:sz w:val="20"/>
        </w:rPr>
        <w:t>**決算短信ライブラリ**: https://www.mgc.co.jp/ir/library/results.html</w:t>
      </w:r>
    </w:p>
    <w:p>
      <w:pPr>
        <w:pStyle w:val="ListBullet"/>
      </w:pPr>
      <w:r>
        <w:rPr>
          <w:rFonts w:eastAsia="Yu Gothic"/>
          <w:rFonts w:ascii="Yu Gothic" w:hAnsi="Yu Gothic"/>
          <w:b w:val="0"/>
          <w:sz w:val="20"/>
        </w:rPr>
        <w:t>**業績予想**: https://www.mgc.co.jp/ir/finance/forecast.html</w:t>
      </w:r>
    </w:p>
    <w:p>
      <w:pPr>
        <w:pStyle w:val="ListBullet"/>
      </w:pPr>
      <w:r>
        <w:rPr>
          <w:rFonts w:eastAsia="Yu Gothic"/>
          <w:rFonts w:ascii="Yu Gothic" w:hAnsi="Yu Gothic"/>
          <w:b w:val="0"/>
          <w:sz w:val="20"/>
        </w:rPr>
        <w:t>**IRカレンダー**: https://www.mgc.co.jp/ir/calendar.html</w:t>
      </w:r>
    </w:p>
    <w:p>
      <w:pPr>
        <w:pStyle w:val="ListBullet"/>
      </w:pPr>
      <w:r>
        <w:rPr>
          <w:rFonts w:eastAsia="Yu Gothic"/>
          <w:rFonts w:ascii="Yu Gothic" w:hAnsi="Yu Gothic"/>
          <w:b w:val="0"/>
          <w:sz w:val="20"/>
        </w:rPr>
        <w:t>**IRメール配信登録**: https://www.mgc.co.jp/ir/mail/</w:t>
      </w:r>
    </w:p>
    <w:p/>
    <w:p>
      <w:pPr>
        <w:spacing w:before="120" w:after="80"/>
        <w:jc w:val="left"/>
      </w:pPr>
      <w:r>
        <w:rPr>
          <w:rFonts w:eastAsia="Yu Gothic"/>
          <w:rFonts w:ascii="Yu Gothic" w:hAnsi="Yu Gothic"/>
          <w:b/>
          <w:color w:val="366092"/>
          <w:sz w:val="23"/>
        </w:rPr>
        <w:t>コンタクト先</w:t>
      </w:r>
    </w:p>
    <w:p>
      <w:pPr>
        <w:pStyle w:val="ListBullet"/>
      </w:pPr>
      <w:r>
        <w:rPr>
          <w:rFonts w:eastAsia="Yu Gothic"/>
          <w:rFonts w:ascii="Yu Gothic" w:hAnsi="Yu Gothic"/>
          <w:b w:val="0"/>
          <w:sz w:val="20"/>
        </w:rPr>
        <w:t>**お問い合わせ（IR）**: https://www.mgc.co.jp/inquiry/</w:t>
      </w:r>
    </w:p>
    <w:p>
      <w:pPr>
        <w:pStyle w:val="ListBullet"/>
      </w:pPr>
      <w:r>
        <w:rPr>
          <w:rFonts w:eastAsia="Yu Gothic"/>
          <w:rFonts w:ascii="Yu Gothic" w:hAnsi="Yu Gothic"/>
          <w:b w:val="0"/>
          <w:sz w:val="20"/>
        </w:rPr>
        <w:t>**広報IR部（事業部問い合わせ）**: https://www.mgc.co.jp/inquiry/division/?q=広報IR部</w:t>
      </w:r>
    </w:p>
    <w:p>
      <w:pPr>
        <w:pStyle w:val="ListBullet"/>
      </w:pPr>
      <w:r>
        <w:rPr>
          <w:rFonts w:eastAsia="Yu Gothic"/>
          <w:rFonts w:ascii="Yu Gothic" w:hAnsi="Yu Gothic"/>
          <w:b w:val="0"/>
          <w:sz w:val="20"/>
        </w:rPr>
        <w:t>**本社**: 〒100-8324 東京都千代田区丸の内一丁目1番1号 パレスビル</w:t>
      </w:r>
    </w:p>
    <w:p>
      <w:pPr>
        <w:pStyle w:val="ListBullet"/>
      </w:pPr>
      <w:r>
        <w:rPr>
          <w:rFonts w:eastAsia="Yu Gothic"/>
          <w:rFonts w:ascii="Yu Gothic" w:hAnsi="Yu Gothic"/>
          <w:b w:val="0"/>
          <w:sz w:val="20"/>
        </w:rPr>
        <w:t>**電話**: 公式ウェブサイトのお問い合わせフォーム経由（個別番号は公式サイトで確認要）</w:t>
      </w:r>
    </w:p>
    <w:p/>
    <w:p>
      <w:pPr>
        <w:spacing w:before="120" w:after="80"/>
        <w:jc w:val="left"/>
      </w:pPr>
      <w:r>
        <w:rPr>
          <w:rFonts w:eastAsia="Yu Gothic"/>
          <w:rFonts w:ascii="Yu Gothic" w:hAnsi="Yu Gothic"/>
          <w:b/>
          <w:color w:val="366092"/>
          <w:sz w:val="23"/>
        </w:rPr>
        <w:t>決算スケジュール（参考）</w:t>
      </w:r>
    </w:p>
    <w:p>
      <w:pPr>
        <w:pStyle w:val="ListBullet"/>
      </w:pPr>
      <w:r>
        <w:rPr>
          <w:rFonts w:eastAsia="Yu Gothic"/>
          <w:rFonts w:ascii="Yu Gothic" w:hAnsi="Yu Gothic"/>
          <w:b w:val="0"/>
          <w:sz w:val="20"/>
        </w:rPr>
        <w:t>**2026年3月期 通期決算発表**: 2026年5月12日（予定。過去実績から推定 — 要IRカレンダーで確認）</w:t>
      </w:r>
    </w:p>
    <w:p>
      <w:pPr>
        <w:pStyle w:val="ListBullet"/>
      </w:pPr>
      <w:r>
        <w:rPr>
          <w:rFonts w:eastAsia="Yu Gothic"/>
          <w:rFonts w:ascii="Yu Gothic" w:hAnsi="Yu Gothic"/>
          <w:b w:val="0"/>
          <w:sz w:val="20"/>
        </w:rPr>
        <w:t>**2027年3月期 第1四半期**: 2026年8月（予定 — 要確認）</w:t>
      </w:r>
    </w:p>
    <w:p>
      <w:pPr>
        <w:pStyle w:val="ListBullet"/>
      </w:pPr>
      <w:r>
        <w:rPr>
          <w:rFonts w:eastAsia="Yu Gothic"/>
          <w:rFonts w:ascii="Yu Gothic" w:hAnsi="Yu Gothic"/>
          <w:b w:val="0"/>
          <w:sz w:val="20"/>
        </w:rPr>
        <w:t>**中期経営計画「Grow UP 2026」**: 2024年度〜2026年度（3ヶ年）</w:t>
      </w:r>
    </w:p>
    <w:p/>
    <w:p/>
    <w:p/>
    <w:p>
      <w:pPr>
        <w:spacing w:before="120" w:after="80"/>
        <w:jc w:val="left"/>
        <w:pBdr>
          <w:bottom w:val="single" w:sz="6" w:space="1" w:color="4472C4"/>
        </w:pBdr>
      </w:pPr>
      <w:r>
        <w:rPr>
          <w:rFonts w:eastAsia="Yu Gothic"/>
          <w:rFonts w:ascii="Yu Gothic" w:hAnsi="Yu Gothic"/>
          <w:b/>
          <w:color w:val="1F497D"/>
          <w:sz w:val="26"/>
        </w:rPr>
        <w:t>2. ビジネスモデル・収益構造</w:t>
      </w:r>
    </w:p>
    <w:p/>
    <w:p>
      <w:pPr>
        <w:spacing w:before="120" w:after="80"/>
        <w:jc w:val="left"/>
      </w:pPr>
      <w:r>
        <w:rPr>
          <w:rFonts w:eastAsia="Yu Gothic"/>
          <w:rFonts w:ascii="Yu Gothic" w:hAnsi="Yu Gothic"/>
          <w:b/>
          <w:color w:val="366092"/>
          <w:sz w:val="23"/>
        </w:rPr>
        <w:t>企業概要</w:t>
      </w:r>
    </w:p>
    <w:p>
      <w:pPr>
        <w:spacing w:after="40"/>
      </w:pPr>
      <w:r>
        <w:rPr>
          <w:rFonts w:eastAsia="Yu Gothic"/>
          <w:rFonts w:ascii="Yu Gothic" w:hAnsi="Yu Gothic"/>
          <w:b w:val="0"/>
          <w:sz w:val="20"/>
        </w:rPr>
        <w:t>三菱ガス化学（MGC）は天然ガスを起点としたグローバル化学メーカー。自社技術でメタノールを海外4拠点で製造し、専用タンカー・専用基地で日本へ輸入・販売する「世界唯一のメタノール総合メーカー」を自認。2セグメント制で運営。</w:t>
      </w:r>
    </w:p>
    <w:p/>
    <w:p>
      <w:pPr>
        <w:spacing w:before="120" w:after="80"/>
        <w:jc w:val="left"/>
      </w:pPr>
      <w:r>
        <w:rPr>
          <w:rFonts w:eastAsia="Yu Gothic"/>
          <w:rFonts w:ascii="Yu Gothic" w:hAnsi="Yu Gothic"/>
          <w:b/>
          <w:color w:val="366092"/>
          <w:sz w:val="23"/>
        </w:rPr>
        <w:t>セグメント構成（2026年3月期 会社予想）</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セグメント</w:t>
            </w:r>
          </w:p>
        </w:tc>
        <w:tc>
          <w:tcPr>
            <w:tcW w:type="dxa" w:w="3135"/>
            <w:shd w:val="clear" w:color="auto" w:fill="1F497D"/>
          </w:tcPr>
          <w:p>
            <w:r>
              <w:rPr>
                <w:rFonts w:eastAsia="Yu Gothic"/>
                <w:rFonts w:ascii="Yu Gothic" w:hAnsi="Yu Gothic"/>
                <w:b/>
                <w:color w:val="FFFFFF"/>
                <w:sz w:val="18"/>
              </w:rPr>
              <w:t>主要製品</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**グリーン・エネルギー&amp;ケミカル（GEC）**</w:t>
            </w:r>
          </w:p>
        </w:tc>
        <w:tc>
          <w:tcPr>
            <w:tcW w:type="dxa" w:w="3135"/>
          </w:tcPr>
          <w:p>
            <w:r>
              <w:rPr>
                <w:rFonts w:eastAsia="Yu Gothic"/>
                <w:rFonts w:ascii="Yu Gothic" w:hAnsi="Yu Gothic"/>
                <w:b w:val="0"/>
                <w:sz w:val="18"/>
              </w:rPr>
              <w:t>メタノール、アンモニア系化学品（ホルマリン・MDI・DMMなど）、芳香族化学品（MXDA等）、発泡プラスチック</w:t>
            </w:r>
          </w:p>
        </w:tc>
        <w:tc>
          <w:tcPr>
            <w:tcW w:type="dxa" w:w="3135"/>
          </w:tcPr>
          <w:p>
            <w:r>
              <w:rPr>
                <w:rFonts w:eastAsia="Yu Gothic"/>
                <w:rFonts w:ascii="Yu Gothic" w:hAnsi="Yu Gothic"/>
                <w:b w:val="0"/>
                <w:sz w:val="18"/>
              </w:rPr>
              <w:t>売上規模大・利益率低。ホルムズ直撃セグメント</w:t>
            </w:r>
          </w:p>
        </w:tc>
      </w:tr>
      <w:tr>
        <w:tc>
          <w:tcPr>
            <w:tcW w:type="dxa" w:w="3135"/>
          </w:tcPr>
          <w:p>
            <w:r>
              <w:rPr>
                <w:rFonts w:eastAsia="Yu Gothic"/>
                <w:rFonts w:ascii="Yu Gothic" w:hAnsi="Yu Gothic"/>
                <w:b w:val="0"/>
                <w:sz w:val="18"/>
              </w:rPr>
              <w:t>**機能化学品（FC）**</w:t>
            </w:r>
          </w:p>
        </w:tc>
        <w:tc>
          <w:tcPr>
            <w:tcW w:type="dxa" w:w="3135"/>
          </w:tcPr>
          <w:p>
            <w:r>
              <w:rPr>
                <w:rFonts w:eastAsia="Yu Gothic"/>
                <w:rFonts w:ascii="Yu Gothic" w:hAnsi="Yu Gothic"/>
                <w:b w:val="0"/>
                <w:sz w:val="18"/>
              </w:rPr>
              <w:t>過酸化水素（半導体用超純品含む）、BT材（半導体パッケージ基板）、MXナイロン、エンジニアリングプラスチック、脱酸素剤（エージレス）</w:t>
            </w:r>
          </w:p>
        </w:tc>
        <w:tc>
          <w:tcPr>
            <w:tcW w:type="dxa" w:w="3135"/>
          </w:tcPr>
          <w:p>
            <w:r>
              <w:rPr>
                <w:rFonts w:eastAsia="Yu Gothic"/>
                <w:rFonts w:ascii="Yu Gothic" w:hAnsi="Yu Gothic"/>
                <w:b w:val="0"/>
                <w:sz w:val="18"/>
              </w:rPr>
              <w:t>高収益セグメント。半導体ブームの恩恵直接</w:t>
            </w:r>
          </w:p>
        </w:tc>
      </w:tr>
    </w:tbl>
    <w:p/>
    <w:p/>
    <w:p>
      <w:pPr>
        <w:spacing w:after="40"/>
      </w:pPr>
      <w:r>
        <w:rPr>
          <w:rFonts w:eastAsia="Yu Gothic"/>
          <w:rFonts w:ascii="Yu Gothic" w:hAnsi="Yu Gothic"/>
          <w:b w:val="0"/>
          <w:sz w:val="20"/>
        </w:rPr>
        <w:t>**注**: 売上高・セグメント別営業利益の具体的数値は2026年3月期 通期決算短信（2026年5月予定）公表まで公式確認不可。以下は3Q累計（4-12月）の情報をベースとした概算。</w:t>
      </w:r>
    </w:p>
    <w:p/>
    <w:p>
      <w:pPr>
        <w:spacing w:before="120" w:after="80"/>
        <w:jc w:val="left"/>
      </w:pPr>
      <w:r>
        <w:rPr>
          <w:rFonts w:eastAsia="Yu Gothic"/>
          <w:rFonts w:ascii="Yu Gothic" w:hAnsi="Yu Gothic"/>
          <w:b/>
          <w:color w:val="366092"/>
          <w:sz w:val="23"/>
        </w:rPr>
        <w:t>2026年3月期 3Q累計（4-12月 2025）業績概要（公式開示ベース）</w:t>
      </w:r>
    </w:p>
    <w:p>
      <w:pPr>
        <w:pStyle w:val="ListBullet"/>
      </w:pPr>
      <w:r>
        <w:rPr>
          <w:rFonts w:eastAsia="Yu Gothic"/>
          <w:rFonts w:ascii="Yu Gothic" w:hAnsi="Yu Gothic"/>
          <w:b w:val="0"/>
          <w:sz w:val="20"/>
        </w:rPr>
        <w:t>**売上高**: 5,494億円（前年同期比▲5.8%）</w:t>
      </w:r>
    </w:p>
    <w:p>
      <w:pPr>
        <w:pStyle w:val="ListBullet"/>
      </w:pPr>
      <w:r>
        <w:rPr>
          <w:rFonts w:eastAsia="Yu Gothic"/>
          <w:rFonts w:ascii="Yu Gothic" w:hAnsi="Yu Gothic"/>
          <w:b w:val="0"/>
          <w:sz w:val="20"/>
        </w:rPr>
        <w:t>**営業利益**: 378億円（前年同期比▲16.5%）</w:t>
      </w:r>
    </w:p>
    <w:p>
      <w:pPr>
        <w:pStyle w:val="ListBullet"/>
      </w:pPr>
      <w:r>
        <w:rPr>
          <w:rFonts w:eastAsia="Yu Gothic"/>
          <w:rFonts w:ascii="Yu Gothic" w:hAnsi="Yu Gothic"/>
          <w:b w:val="0"/>
          <w:sz w:val="20"/>
        </w:rPr>
        <w:t>**当期純損失**: ▲261億円（MXDA減損502億円特別損失が主因）</w:t>
      </w:r>
    </w:p>
    <w:p>
      <w:pPr>
        <w:pStyle w:val="ListBullet"/>
      </w:pPr>
      <w:r>
        <w:rPr>
          <w:rFonts w:eastAsia="Yu Gothic"/>
          <w:rFonts w:ascii="Yu Gothic" w:hAnsi="Yu Gothic"/>
          <w:b w:val="0"/>
          <w:sz w:val="20"/>
        </w:rPr>
        <w:t>**通期会社予想（最終）**: 売上7,300億円 / 営業利益470億円 / 経常利益550億円 / 純損失▲180億円</w:t>
      </w:r>
    </w:p>
    <w:p/>
    <w:p>
      <w:pPr>
        <w:spacing w:after="40"/>
      </w:pPr>
      <w:r>
        <w:rPr>
          <w:rFonts w:eastAsia="Yu Gothic"/>
          <w:rFonts w:ascii="Yu Gothic" w:hAnsi="Yu Gothic"/>
          <w:b w:val="0"/>
          <w:sz w:val="20"/>
        </w:rPr>
        <w:t>出所: 三菱ガス化学 2025年度第2四半期決算説明資料（2025年11月10日）、同社適時開示</w:t>
      </w:r>
    </w:p>
    <w:p/>
    <w:p>
      <w:pPr>
        <w:spacing w:before="120" w:after="80"/>
        <w:jc w:val="left"/>
      </w:pPr>
      <w:r>
        <w:rPr>
          <w:rFonts w:eastAsia="Yu Gothic"/>
          <w:rFonts w:ascii="Yu Gothic" w:hAnsi="Yu Gothic"/>
          <w:b/>
          <w:color w:val="366092"/>
          <w:sz w:val="23"/>
        </w:rPr>
        <w:t>肥料原料・アンモニア・関連化学品との事業関連</w:t>
      </w:r>
    </w:p>
    <w:p/>
    <w:p>
      <w:pPr>
        <w:spacing w:after="40"/>
      </w:pPr>
      <w:r>
        <w:rPr>
          <w:rFonts w:eastAsia="Yu Gothic"/>
          <w:rFonts w:ascii="Yu Gothic" w:hAnsi="Yu Gothic"/>
          <w:b w:val="0"/>
          <w:sz w:val="20"/>
        </w:rPr>
        <w:t>#### メタノール</w:t>
      </w:r>
    </w:p>
    <w:p>
      <w:pPr>
        <w:pStyle w:val="ListBullet"/>
      </w:pPr>
      <w:r>
        <w:rPr>
          <w:rFonts w:eastAsia="Yu Gothic"/>
          <w:rFonts w:ascii="Yu Gothic" w:hAnsi="Yu Gothic"/>
          <w:b w:val="0"/>
          <w:sz w:val="20"/>
        </w:rPr>
        <w:t>国内供給の約40%をMGCが担う「基幹品目」</w:t>
      </w:r>
    </w:p>
    <w:p>
      <w:pPr>
        <w:pStyle w:val="ListBullet"/>
      </w:pPr>
      <w:r>
        <w:rPr>
          <w:rFonts w:eastAsia="Yu Gothic"/>
          <w:rFonts w:ascii="Yu Gothic" w:hAnsi="Yu Gothic"/>
          <w:b w:val="0"/>
          <w:sz w:val="20"/>
        </w:rPr>
        <w:t>ホルマリン（ホルムアルデヒド）の原料。ホルマリンはMDI（断熱材）・尿素樹脂（肥料コーティング材含む）の中間原料</w:t>
      </w:r>
    </w:p>
    <w:p>
      <w:pPr>
        <w:pStyle w:val="ListBullet"/>
      </w:pPr>
      <w:r>
        <w:rPr>
          <w:rFonts w:eastAsia="Yu Gothic"/>
          <w:rFonts w:ascii="Yu Gothic" w:hAnsi="Yu Gothic"/>
          <w:b w:val="0"/>
          <w:sz w:val="20"/>
        </w:rPr>
        <w:t>2026年3月 — ホルムズ封鎖によりサウジアラビア拠点（全体の50%超）からの調達不能を公式発表（2026年3月3日プレスリリース）</w:t>
      </w:r>
    </w:p>
    <w:p/>
    <w:p>
      <w:pPr>
        <w:spacing w:after="40"/>
      </w:pPr>
      <w:r>
        <w:rPr>
          <w:rFonts w:eastAsia="Yu Gothic"/>
          <w:rFonts w:ascii="Yu Gothic" w:hAnsi="Yu Gothic"/>
          <w:b w:val="0"/>
          <w:sz w:val="20"/>
        </w:rPr>
        <w:t>#### アンモニア系化学品</w:t>
      </w:r>
    </w:p>
    <w:p>
      <w:pPr>
        <w:pStyle w:val="ListBullet"/>
      </w:pPr>
      <w:r>
        <w:rPr>
          <w:rFonts w:eastAsia="Yu Gothic"/>
          <w:rFonts w:ascii="Yu Gothic" w:hAnsi="Yu Gothic"/>
          <w:b w:val="0"/>
          <w:sz w:val="20"/>
        </w:rPr>
        <w:t>国内工場（新潟・水島等）でアンモニアから硝酸、亜硝酸ナトリウム、カプロラクタム誘導体等を生産</w:t>
      </w:r>
    </w:p>
    <w:p>
      <w:pPr>
        <w:pStyle w:val="ListBullet"/>
      </w:pPr>
      <w:r>
        <w:rPr>
          <w:rFonts w:eastAsia="Yu Gothic"/>
          <w:rFonts w:ascii="Yu Gothic" w:hAnsi="Yu Gothic"/>
          <w:b w:val="0"/>
          <w:sz w:val="20"/>
        </w:rPr>
        <w:t>**直接の農業向け肥料としての尿素・硝安生産は主力事業ではない**が、アンモニアを原料とする工業用化学品（MDI・リサイクル促進剤等）を展開</w:t>
      </w:r>
    </w:p>
    <w:p>
      <w:pPr>
        <w:pStyle w:val="ListBullet"/>
      </w:pPr>
      <w:r>
        <w:rPr>
          <w:rFonts w:eastAsia="Yu Gothic"/>
          <w:rFonts w:ascii="Yu Gothic" w:hAnsi="Yu Gothic"/>
          <w:b w:val="0"/>
          <w:sz w:val="20"/>
        </w:rPr>
        <w:t>農業用肥料原料としての硫黄・リン酸については直接的な関連薄（公式ソース未確認 — 要確認）</w:t>
      </w:r>
    </w:p>
    <w:p/>
    <w:p>
      <w:pPr>
        <w:spacing w:after="40"/>
      </w:pPr>
      <w:r>
        <w:rPr>
          <w:rFonts w:eastAsia="Yu Gothic"/>
          <w:rFonts w:ascii="Yu Gothic" w:hAnsi="Yu Gothic"/>
          <w:b w:val="0"/>
          <w:sz w:val="20"/>
        </w:rPr>
        <w:t>#### 芳香族化学品（MXDA）</w:t>
      </w:r>
    </w:p>
    <w:p>
      <w:pPr>
        <w:pStyle w:val="ListBullet"/>
      </w:pPr>
      <w:r>
        <w:rPr>
          <w:rFonts w:eastAsia="Yu Gothic"/>
          <w:rFonts w:ascii="Yu Gothic" w:hAnsi="Yu Gothic"/>
          <w:b w:val="0"/>
          <w:sz w:val="20"/>
        </w:rPr>
        <w:t>オランダで建設中のプラント（ナイロン用硬化剤）は502億円減損 → 建設工事中断。欧州市場向け新規需要獲得の機会を逸失</w:t>
      </w:r>
    </w:p>
    <w:p/>
    <w:p>
      <w:pPr>
        <w:spacing w:before="120" w:after="80"/>
        <w:jc w:val="left"/>
      </w:pPr>
      <w:r>
        <w:rPr>
          <w:rFonts w:eastAsia="Yu Gothic"/>
          <w:rFonts w:ascii="Yu Gothic" w:hAnsi="Yu Gothic"/>
          <w:b/>
          <w:color w:val="366092"/>
          <w:sz w:val="23"/>
        </w:rPr>
        <w:t>原料調達構造（天然ガス・ホルムズ依存）</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拠点</w:t>
            </w:r>
          </w:p>
        </w:tc>
        <w:tc>
          <w:tcPr>
            <w:tcW w:type="dxa" w:w="1881"/>
            <w:shd w:val="clear" w:color="auto" w:fill="1F497D"/>
          </w:tcPr>
          <w:p>
            <w:r>
              <w:rPr>
                <w:rFonts w:eastAsia="Yu Gothic"/>
                <w:rFonts w:ascii="Yu Gothic" w:hAnsi="Yu Gothic"/>
                <w:b/>
                <w:color w:val="FFFFFF"/>
                <w:sz w:val="18"/>
              </w:rPr>
              <w:t>国</w:t>
            </w:r>
          </w:p>
        </w:tc>
        <w:tc>
          <w:tcPr>
            <w:tcW w:type="dxa" w:w="1881"/>
            <w:shd w:val="clear" w:color="auto" w:fill="1F497D"/>
          </w:tcPr>
          <w:p>
            <w:r>
              <w:rPr>
                <w:rFonts w:eastAsia="Yu Gothic"/>
                <w:rFonts w:ascii="Yu Gothic" w:hAnsi="Yu Gothic"/>
                <w:b/>
                <w:color w:val="FFFFFF"/>
                <w:sz w:val="18"/>
              </w:rPr>
              <w:t>開始年</w:t>
            </w:r>
          </w:p>
        </w:tc>
        <w:tc>
          <w:tcPr>
            <w:tcW w:type="dxa" w:w="1881"/>
            <w:shd w:val="clear" w:color="auto" w:fill="1F497D"/>
          </w:tcPr>
          <w:p>
            <w:r>
              <w:rPr>
                <w:rFonts w:eastAsia="Yu Gothic"/>
                <w:rFonts w:ascii="Yu Gothic" w:hAnsi="Yu Gothic"/>
                <w:b/>
                <w:color w:val="FFFFFF"/>
                <w:sz w:val="18"/>
              </w:rPr>
              <w:t>生産能力概算</w:t>
            </w:r>
          </w:p>
        </w:tc>
        <w:tc>
          <w:tcPr>
            <w:tcW w:type="dxa" w:w="1881"/>
            <w:shd w:val="clear" w:color="auto" w:fill="1F497D"/>
          </w:tcPr>
          <w:p>
            <w:r>
              <w:rPr>
                <w:rFonts w:eastAsia="Yu Gothic"/>
                <w:rFonts w:ascii="Yu Gothic" w:hAnsi="Yu Gothic"/>
                <w:b/>
                <w:color w:val="FFFFFF"/>
                <w:sz w:val="18"/>
              </w:rPr>
              <w:t>ホルムズ依存</w:t>
            </w:r>
          </w:p>
        </w:tc>
      </w:tr>
      <w:tr>
        <w:tc>
          <w:tcPr>
            <w:tcW w:type="dxa" w:w="1881"/>
          </w:tcPr>
          <w:p>
            <w:r>
              <w:rPr>
                <w:rFonts w:eastAsia="Yu Gothic"/>
                <w:rFonts w:ascii="Yu Gothic" w:hAnsi="Yu Gothic"/>
                <w:b w:val="0"/>
                <w:sz w:val="18"/>
              </w:rPr>
              <w:t>AR-RAZI</w:t>
            </w:r>
          </w:p>
        </w:tc>
        <w:tc>
          <w:tcPr>
            <w:tcW w:type="dxa" w:w="1881"/>
          </w:tcPr>
          <w:p>
            <w:r>
              <w:rPr>
                <w:rFonts w:eastAsia="Yu Gothic"/>
                <w:rFonts w:ascii="Yu Gothic" w:hAnsi="Yu Gothic"/>
                <w:b w:val="0"/>
                <w:sz w:val="18"/>
              </w:rPr>
              <w:t>サウジアラビア</w:t>
            </w:r>
          </w:p>
        </w:tc>
        <w:tc>
          <w:tcPr>
            <w:tcW w:type="dxa" w:w="1881"/>
          </w:tcPr>
          <w:p>
            <w:r>
              <w:rPr>
                <w:rFonts w:eastAsia="Yu Gothic"/>
                <w:rFonts w:ascii="Yu Gothic" w:hAnsi="Yu Gothic"/>
                <w:b w:val="0"/>
                <w:sz w:val="18"/>
              </w:rPr>
              <w:t>1983年</w:t>
            </w:r>
          </w:p>
        </w:tc>
        <w:tc>
          <w:tcPr>
            <w:tcW w:type="dxa" w:w="1881"/>
          </w:tcPr>
          <w:p>
            <w:r>
              <w:rPr>
                <w:rFonts w:eastAsia="Yu Gothic"/>
                <w:rFonts w:ascii="Yu Gothic" w:hAnsi="Yu Gothic"/>
                <w:b w:val="0"/>
                <w:sz w:val="18"/>
              </w:rPr>
              <w:t>全体の50%超（公称500万t/年規模）</w:t>
            </w:r>
          </w:p>
        </w:tc>
        <w:tc>
          <w:tcPr>
            <w:tcW w:type="dxa" w:w="1881"/>
          </w:tcPr>
          <w:p>
            <w:r>
              <w:rPr>
                <w:rFonts w:eastAsia="Yu Gothic"/>
                <w:rFonts w:ascii="Yu Gothic" w:hAnsi="Yu Gothic"/>
                <w:b w:val="0"/>
                <w:sz w:val="18"/>
              </w:rPr>
              <w:t>**直接依存（封鎖で遮断）**</w:t>
            </w:r>
          </w:p>
        </w:tc>
      </w:tr>
      <w:tr>
        <w:tc>
          <w:tcPr>
            <w:tcW w:type="dxa" w:w="1881"/>
          </w:tcPr>
          <w:p>
            <w:r>
              <w:rPr>
                <w:rFonts w:eastAsia="Yu Gothic"/>
                <w:rFonts w:ascii="Yu Gothic" w:hAnsi="Yu Gothic"/>
                <w:b w:val="0"/>
                <w:sz w:val="18"/>
              </w:rPr>
              <w:t>ベネズエラ合弁</w:t>
            </w:r>
          </w:p>
        </w:tc>
        <w:tc>
          <w:tcPr>
            <w:tcW w:type="dxa" w:w="1881"/>
          </w:tcPr>
          <w:p>
            <w:r>
              <w:rPr>
                <w:rFonts w:eastAsia="Yu Gothic"/>
                <w:rFonts w:ascii="Yu Gothic" w:hAnsi="Yu Gothic"/>
                <w:b w:val="0"/>
                <w:sz w:val="18"/>
              </w:rPr>
              <w:t>ベネズエラ</w:t>
            </w:r>
          </w:p>
        </w:tc>
        <w:tc>
          <w:tcPr>
            <w:tcW w:type="dxa" w:w="1881"/>
          </w:tcPr>
          <w:p>
            <w:r>
              <w:rPr>
                <w:rFonts w:eastAsia="Yu Gothic"/>
                <w:rFonts w:ascii="Yu Gothic" w:hAnsi="Yu Gothic"/>
                <w:b w:val="0"/>
                <w:sz w:val="18"/>
              </w:rPr>
              <w:t>1994年（第2プラント2010年）</w:t>
            </w:r>
          </w:p>
        </w:tc>
        <w:tc>
          <w:tcPr>
            <w:tcW w:type="dxa" w:w="1881"/>
          </w:tcPr>
          <w:p>
            <w:r>
              <w:rPr>
                <w:rFonts w:eastAsia="Yu Gothic"/>
                <w:rFonts w:ascii="Yu Gothic" w:hAnsi="Yu Gothic"/>
                <w:b w:val="0"/>
                <w:sz w:val="18"/>
              </w:rPr>
              <w:t>年産160万t規模</w:t>
            </w:r>
          </w:p>
        </w:tc>
        <w:tc>
          <w:tcPr>
            <w:tcW w:type="dxa" w:w="1881"/>
          </w:tcPr>
          <w:p>
            <w:r>
              <w:rPr>
                <w:rFonts w:eastAsia="Yu Gothic"/>
                <w:rFonts w:ascii="Yu Gothic" w:hAnsi="Yu Gothic"/>
                <w:b w:val="0"/>
                <w:sz w:val="18"/>
              </w:rPr>
              <w:t>依存なし</w:t>
            </w:r>
          </w:p>
        </w:tc>
      </w:tr>
      <w:tr>
        <w:tc>
          <w:tcPr>
            <w:tcW w:type="dxa" w:w="1881"/>
          </w:tcPr>
          <w:p>
            <w:r>
              <w:rPr>
                <w:rFonts w:eastAsia="Yu Gothic"/>
                <w:rFonts w:ascii="Yu Gothic" w:hAnsi="Yu Gothic"/>
                <w:b w:val="0"/>
                <w:sz w:val="18"/>
              </w:rPr>
              <w:t>BMC社</w:t>
            </w:r>
          </w:p>
        </w:tc>
        <w:tc>
          <w:tcPr>
            <w:tcW w:type="dxa" w:w="1881"/>
          </w:tcPr>
          <w:p>
            <w:r>
              <w:rPr>
                <w:rFonts w:eastAsia="Yu Gothic"/>
                <w:rFonts w:ascii="Yu Gothic" w:hAnsi="Yu Gothic"/>
                <w:b w:val="0"/>
                <w:sz w:val="18"/>
              </w:rPr>
              <w:t>ブルネイ</w:t>
            </w:r>
          </w:p>
        </w:tc>
        <w:tc>
          <w:tcPr>
            <w:tcW w:type="dxa" w:w="1881"/>
          </w:tcPr>
          <w:p>
            <w:r>
              <w:rPr>
                <w:rFonts w:eastAsia="Yu Gothic"/>
                <w:rFonts w:ascii="Yu Gothic" w:hAnsi="Yu Gothic"/>
                <w:b w:val="0"/>
                <w:sz w:val="18"/>
              </w:rPr>
              <w:t>2006年</w:t>
            </w:r>
          </w:p>
        </w:tc>
        <w:tc>
          <w:tcPr>
            <w:tcW w:type="dxa" w:w="1881"/>
          </w:tcPr>
          <w:p>
            <w:r>
              <w:rPr>
                <w:rFonts w:eastAsia="Yu Gothic"/>
                <w:rFonts w:ascii="Yu Gothic" w:hAnsi="Yu Gothic"/>
                <w:b w:val="0"/>
                <w:sz w:val="18"/>
              </w:rPr>
              <w:t>年産85万t規模</w:t>
            </w:r>
          </w:p>
        </w:tc>
        <w:tc>
          <w:tcPr>
            <w:tcW w:type="dxa" w:w="1881"/>
          </w:tcPr>
          <w:p>
            <w:r>
              <w:rPr>
                <w:rFonts w:eastAsia="Yu Gothic"/>
                <w:rFonts w:ascii="Yu Gothic" w:hAnsi="Yu Gothic"/>
                <w:b w:val="0"/>
                <w:sz w:val="18"/>
              </w:rPr>
              <w:t>依存なし</w:t>
            </w:r>
          </w:p>
        </w:tc>
      </w:tr>
      <w:tr>
        <w:tc>
          <w:tcPr>
            <w:tcW w:type="dxa" w:w="1881"/>
          </w:tcPr>
          <w:p>
            <w:r>
              <w:rPr>
                <w:rFonts w:eastAsia="Yu Gothic"/>
                <w:rFonts w:ascii="Yu Gothic" w:hAnsi="Yu Gothic"/>
                <w:b w:val="0"/>
                <w:sz w:val="18"/>
              </w:rPr>
              <w:t>Atlas Methanol等</w:t>
            </w:r>
          </w:p>
        </w:tc>
        <w:tc>
          <w:tcPr>
            <w:tcW w:type="dxa" w:w="1881"/>
          </w:tcPr>
          <w:p>
            <w:r>
              <w:rPr>
                <w:rFonts w:eastAsia="Yu Gothic"/>
                <w:rFonts w:ascii="Yu Gothic" w:hAnsi="Yu Gothic"/>
                <w:b w:val="0"/>
                <w:sz w:val="18"/>
              </w:rPr>
              <w:t>トリニダード・トバゴ</w:t>
            </w:r>
          </w:p>
        </w:tc>
        <w:tc>
          <w:tcPr>
            <w:tcW w:type="dxa" w:w="1881"/>
          </w:tcPr>
          <w:p>
            <w:r>
              <w:rPr>
                <w:rFonts w:eastAsia="Yu Gothic"/>
                <w:rFonts w:ascii="Yu Gothic" w:hAnsi="Yu Gothic"/>
                <w:b w:val="0"/>
                <w:sz w:val="18"/>
              </w:rPr>
              <w:t>2021年</w:t>
            </w:r>
          </w:p>
        </w:tc>
        <w:tc>
          <w:tcPr>
            <w:tcW w:type="dxa" w:w="1881"/>
          </w:tcPr>
          <w:p>
            <w:r>
              <w:rPr>
                <w:rFonts w:eastAsia="Yu Gothic"/>
                <w:rFonts w:ascii="Yu Gothic" w:hAnsi="Yu Gothic"/>
                <w:b w:val="0"/>
                <w:sz w:val="18"/>
              </w:rPr>
              <w:t>年産100万t規模</w:t>
            </w:r>
          </w:p>
        </w:tc>
        <w:tc>
          <w:tcPr>
            <w:tcW w:type="dxa" w:w="1881"/>
          </w:tcPr>
          <w:p>
            <w:r>
              <w:rPr>
                <w:rFonts w:eastAsia="Yu Gothic"/>
                <w:rFonts w:ascii="Yu Gothic" w:hAnsi="Yu Gothic"/>
                <w:b w:val="0"/>
                <w:sz w:val="18"/>
              </w:rPr>
              <w:t>依存なし</w:t>
            </w:r>
          </w:p>
        </w:tc>
      </w:tr>
    </w:tbl>
    <w:p/>
    <w:p/>
    <w:p>
      <w:pPr>
        <w:spacing w:after="40"/>
      </w:pPr>
      <w:r>
        <w:rPr>
          <w:rFonts w:eastAsia="Yu Gothic"/>
          <w:rFonts w:ascii="Yu Gothic" w:hAnsi="Yu Gothic"/>
          <w:b w:val="0"/>
          <w:sz w:val="20"/>
        </w:rPr>
        <w:t>**構造的問題**: サウジ拠点が生産能力の半分超を占めているため、ホルムズ封鎖は最大かつ回避困難なリスクを現実化させた。残3拠点（合計345万t相当）では国内需要の一部しかカバーできず、コスト高・供給不足が同時進行。</w:t>
      </w:r>
    </w:p>
    <w:p/>
    <w:p/>
    <w:p/>
    <w:p>
      <w:pPr>
        <w:spacing w:before="120" w:after="80"/>
        <w:jc w:val="left"/>
        <w:pBdr>
          <w:bottom w:val="single" w:sz="6" w:space="1" w:color="4472C4"/>
        </w:pBdr>
      </w:pPr>
      <w:r>
        <w:rPr>
          <w:rFonts w:eastAsia="Yu Gothic"/>
          <w:rFonts w:ascii="Yu Gothic" w:hAnsi="Yu Gothic"/>
          <w:b/>
          <w:color w:val="1F497D"/>
          <w:sz w:val="26"/>
        </w:rPr>
        <w:t>3. 財務分析</w:t>
      </w:r>
    </w:p>
    <w:p/>
    <w:p>
      <w:pPr>
        <w:spacing w:before="120" w:after="80"/>
        <w:jc w:val="left"/>
      </w:pPr>
      <w:r>
        <w:rPr>
          <w:rFonts w:eastAsia="Yu Gothic"/>
          <w:rFonts w:ascii="Yu Gothic" w:hAnsi="Yu Gothic"/>
          <w:b/>
          <w:color w:val="366092"/>
          <w:sz w:val="23"/>
        </w:rPr>
        <w:t>主要株価指標（2026年4月22日参照値）</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出所・備考</w:t>
            </w:r>
          </w:p>
        </w:tc>
      </w:tr>
      <w:tr>
        <w:tc>
          <w:tcPr>
            <w:tcW w:type="dxa" w:w="3135"/>
          </w:tcPr>
          <w:p>
            <w:r>
              <w:rPr>
                <w:rFonts w:eastAsia="Yu Gothic"/>
                <w:rFonts w:ascii="Yu Gothic" w:hAnsi="Yu Gothic"/>
                <w:b w:val="0"/>
                <w:sz w:val="18"/>
              </w:rPr>
              <w:t>株価（参照）</w:t>
            </w:r>
          </w:p>
        </w:tc>
        <w:tc>
          <w:tcPr>
            <w:tcW w:type="dxa" w:w="3135"/>
          </w:tcPr>
          <w:p>
            <w:r>
              <w:rPr>
                <w:rFonts w:eastAsia="Yu Gothic"/>
                <w:rFonts w:ascii="Yu Gothic" w:hAnsi="Yu Gothic"/>
                <w:b w:val="0"/>
                <w:sz w:val="18"/>
              </w:rPr>
              <w:t>¥4,329</w:t>
            </w:r>
          </w:p>
        </w:tc>
        <w:tc>
          <w:tcPr>
            <w:tcW w:type="dxa" w:w="3135"/>
          </w:tcPr>
          <w:p>
            <w:r>
              <w:rPr>
                <w:rFonts w:eastAsia="Yu Gothic"/>
                <w:rFonts w:ascii="Yu Gothic" w:hAnsi="Yu Gothic"/>
                <w:b w:val="0"/>
                <w:sz w:val="18"/>
              </w:rPr>
              <w:t>2026年4月22日終値（Yahoo Finance報道ベース）</w:t>
            </w:r>
          </w:p>
        </w:tc>
      </w:tr>
      <w:tr>
        <w:tc>
          <w:tcPr>
            <w:tcW w:type="dxa" w:w="3135"/>
          </w:tcPr>
          <w:p>
            <w:r>
              <w:rPr>
                <w:rFonts w:eastAsia="Yu Gothic"/>
                <w:rFonts w:ascii="Yu Gothic" w:hAnsi="Yu Gothic"/>
                <w:b w:val="0"/>
                <w:sz w:val="18"/>
              </w:rPr>
              <w:t>時価総額（推定）</w:t>
            </w:r>
          </w:p>
        </w:tc>
        <w:tc>
          <w:tcPr>
            <w:tcW w:type="dxa" w:w="3135"/>
          </w:tcPr>
          <w:p>
            <w:r>
              <w:rPr>
                <w:rFonts w:eastAsia="Yu Gothic"/>
                <w:rFonts w:ascii="Yu Gothic" w:hAnsi="Yu Gothic"/>
                <w:b w:val="0"/>
                <w:sz w:val="18"/>
              </w:rPr>
              <w:t>約¥9,164億（参照）</w:t>
            </w:r>
          </w:p>
        </w:tc>
        <w:tc>
          <w:tcPr>
            <w:tcW w:type="dxa" w:w="3135"/>
          </w:tcPr>
          <w:p>
            <w:r>
              <w:rPr>
                <w:rFonts w:eastAsia="Yu Gothic"/>
                <w:rFonts w:ascii="Yu Gothic" w:hAnsi="Yu Gothic"/>
                <w:b w:val="0"/>
                <w:sz w:val="18"/>
              </w:rPr>
              <w:t>発行済株式数約2,117万株（概算）— 要公式確認</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1.41倍</w:t>
            </w:r>
          </w:p>
        </w:tc>
        <w:tc>
          <w:tcPr>
            <w:tcW w:type="dxa" w:w="3135"/>
          </w:tcPr>
          <w:p>
            <w:r>
              <w:rPr>
                <w:rFonts w:eastAsia="Yu Gothic"/>
                <w:rFonts w:ascii="Yu Gothic" w:hAnsi="Yu Gothic"/>
                <w:b w:val="0"/>
                <w:sz w:val="18"/>
              </w:rPr>
              <w:t>検索結果（2026年3月時点参照）</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6.87%（前期実績）</w:t>
            </w:r>
          </w:p>
        </w:tc>
        <w:tc>
          <w:tcPr>
            <w:tcW w:type="dxa" w:w="3135"/>
          </w:tcPr>
          <w:p>
            <w:r>
              <w:rPr>
                <w:rFonts w:eastAsia="Yu Gothic"/>
                <w:rFonts w:ascii="Yu Gothic" w:hAnsi="Yu Gothic"/>
                <w:b w:val="0"/>
                <w:sz w:val="18"/>
              </w:rPr>
              <w:t>2025年3月期実績ベース（検索結果参照）</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約2.3%</w:t>
            </w:r>
          </w:p>
        </w:tc>
        <w:tc>
          <w:tcPr>
            <w:tcW w:type="dxa" w:w="3135"/>
          </w:tcPr>
          <w:p>
            <w:r>
              <w:rPr>
                <w:rFonts w:eastAsia="Yu Gothic"/>
                <w:rFonts w:ascii="Yu Gothic" w:hAnsi="Yu Gothic"/>
                <w:b w:val="0"/>
                <w:sz w:val="18"/>
              </w:rPr>
              <w:t>¥4,329 / 1株配当100円</w:t>
            </w:r>
          </w:p>
        </w:tc>
      </w:tr>
      <w:tr>
        <w:tc>
          <w:tcPr>
            <w:tcW w:type="dxa" w:w="3135"/>
          </w:tcPr>
          <w:p>
            <w:r>
              <w:rPr>
                <w:rFonts w:eastAsia="Yu Gothic"/>
                <w:rFonts w:ascii="Yu Gothic" w:hAnsi="Yu Gothic"/>
                <w:b w:val="0"/>
                <w:sz w:val="18"/>
              </w:rPr>
              <w:t>PER</w:t>
            </w:r>
          </w:p>
        </w:tc>
        <w:tc>
          <w:tcPr>
            <w:tcW w:type="dxa" w:w="3135"/>
          </w:tcPr>
          <w:p>
            <w:r>
              <w:rPr>
                <w:rFonts w:eastAsia="Yu Gothic"/>
                <w:rFonts w:ascii="Yu Gothic" w:hAnsi="Yu Gothic"/>
                <w:b w:val="0"/>
                <w:sz w:val="18"/>
              </w:rPr>
              <w:t>N/A（赤字期）</w:t>
            </w:r>
          </w:p>
        </w:tc>
        <w:tc>
          <w:tcPr>
            <w:tcW w:type="dxa" w:w="3135"/>
          </w:tcPr>
          <w:p>
            <w:r>
              <w:rPr>
                <w:rFonts w:eastAsia="Yu Gothic"/>
                <w:rFonts w:ascii="Yu Gothic" w:hAnsi="Yu Gothic"/>
                <w:b w:val="0"/>
                <w:sz w:val="18"/>
              </w:rPr>
              <w:t>2026年3月期純損失のためPER算出不可</w:t>
            </w:r>
          </w:p>
        </w:tc>
      </w:tr>
      <w:tr>
        <w:tc>
          <w:tcPr>
            <w:tcW w:type="dxa" w:w="3135"/>
          </w:tcPr>
          <w:p>
            <w:r>
              <w:rPr>
                <w:rFonts w:eastAsia="Yu Gothic"/>
                <w:rFonts w:ascii="Yu Gothic" w:hAnsi="Yu Gothic"/>
                <w:b w:val="0"/>
                <w:sz w:val="18"/>
              </w:rPr>
              <w:t>1株配当</w:t>
            </w:r>
          </w:p>
        </w:tc>
        <w:tc>
          <w:tcPr>
            <w:tcW w:type="dxa" w:w="3135"/>
          </w:tcPr>
          <w:p>
            <w:r>
              <w:rPr>
                <w:rFonts w:eastAsia="Yu Gothic"/>
                <w:rFonts w:ascii="Yu Gothic" w:hAnsi="Yu Gothic"/>
                <w:b w:val="0"/>
                <w:sz w:val="18"/>
              </w:rPr>
              <w:t>100円/期（予想）</w:t>
            </w:r>
          </w:p>
        </w:tc>
        <w:tc>
          <w:tcPr>
            <w:tcW w:type="dxa" w:w="3135"/>
          </w:tcPr>
          <w:p>
            <w:r>
              <w:rPr>
                <w:rFonts w:eastAsia="Yu Gothic"/>
                <w:rFonts w:ascii="Yu Gothic" w:hAnsi="Yu Gothic"/>
                <w:b w:val="0"/>
                <w:sz w:val="18"/>
              </w:rPr>
              <w:t>会社方針。累進配当を方針として継続</w:t>
            </w:r>
          </w:p>
        </w:tc>
      </w:tr>
    </w:tbl>
    <w:p/>
    <w:p/>
    <w:p>
      <w:pPr>
        <w:spacing w:after="40"/>
      </w:pPr>
      <w:r>
        <w:rPr>
          <w:rFonts w:eastAsia="Yu Gothic"/>
          <w:rFonts w:ascii="Yu Gothic" w:hAnsi="Yu Gothic"/>
          <w:b w:val="0"/>
          <w:sz w:val="20"/>
        </w:rPr>
        <w:t>**注**: 時価総額・発行済株式数は推定。正確な数値は公式IRで確認要。</w:t>
      </w:r>
    </w:p>
    <w:p/>
    <w:p>
      <w:pPr>
        <w:spacing w:before="120" w:after="80"/>
        <w:jc w:val="left"/>
      </w:pPr>
      <w:r>
        <w:rPr>
          <w:rFonts w:eastAsia="Yu Gothic"/>
          <w:rFonts w:ascii="Yu Gothic" w:hAnsi="Yu Gothic"/>
          <w:b/>
          <w:color w:val="366092"/>
          <w:sz w:val="23"/>
        </w:rPr>
        <w:t>過去3期 業績推移（公式開示ベース）</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期</w:t>
            </w:r>
          </w:p>
        </w:tc>
        <w:tc>
          <w:tcPr>
            <w:tcW w:type="dxa" w:w="1568"/>
            <w:shd w:val="clear" w:color="auto" w:fill="1F497D"/>
          </w:tcPr>
          <w:p>
            <w:r>
              <w:rPr>
                <w:rFonts w:eastAsia="Yu Gothic"/>
                <w:rFonts w:ascii="Yu Gothic" w:hAnsi="Yu Gothic"/>
                <w:b/>
                <w:color w:val="FFFFFF"/>
                <w:sz w:val="18"/>
              </w:rPr>
              <w:t>売上高</w:t>
            </w:r>
          </w:p>
        </w:tc>
        <w:tc>
          <w:tcPr>
            <w:tcW w:type="dxa" w:w="1568"/>
            <w:shd w:val="clear" w:color="auto" w:fill="1F497D"/>
          </w:tcPr>
          <w:p>
            <w:r>
              <w:rPr>
                <w:rFonts w:eastAsia="Yu Gothic"/>
                <w:rFonts w:ascii="Yu Gothic" w:hAnsi="Yu Gothic"/>
                <w:b/>
                <w:color w:val="FFFFFF"/>
                <w:sz w:val="18"/>
              </w:rPr>
              <w:t>営業利益</w:t>
            </w:r>
          </w:p>
        </w:tc>
        <w:tc>
          <w:tcPr>
            <w:tcW w:type="dxa" w:w="1568"/>
            <w:shd w:val="clear" w:color="auto" w:fill="1F497D"/>
          </w:tcPr>
          <w:p>
            <w:r>
              <w:rPr>
                <w:rFonts w:eastAsia="Yu Gothic"/>
                <w:rFonts w:ascii="Yu Gothic" w:hAnsi="Yu Gothic"/>
                <w:b/>
                <w:color w:val="FFFFFF"/>
                <w:sz w:val="18"/>
              </w:rPr>
              <w:t>経常利益</w:t>
            </w:r>
          </w:p>
        </w:tc>
        <w:tc>
          <w:tcPr>
            <w:tcW w:type="dxa" w:w="1568"/>
            <w:shd w:val="clear" w:color="auto" w:fill="1F497D"/>
          </w:tcPr>
          <w:p>
            <w:r>
              <w:rPr>
                <w:rFonts w:eastAsia="Yu Gothic"/>
                <w:rFonts w:ascii="Yu Gothic" w:hAnsi="Yu Gothic"/>
                <w:b/>
                <w:color w:val="FFFFFF"/>
                <w:sz w:val="18"/>
              </w:rPr>
              <w:t>純利益（損失）</w:t>
            </w:r>
          </w:p>
        </w:tc>
        <w:tc>
          <w:tcPr>
            <w:tcW w:type="dxa" w:w="1568"/>
            <w:shd w:val="clear" w:color="auto" w:fill="1F497D"/>
          </w:tcPr>
          <w:p>
            <w:r>
              <w:rPr>
                <w:rFonts w:eastAsia="Yu Gothic"/>
                <w:rFonts w:ascii="Yu Gothic" w:hAnsi="Yu Gothic"/>
                <w:b/>
                <w:color w:val="FFFFFF"/>
                <w:sz w:val="18"/>
              </w:rPr>
              <w:t>備考</w:t>
            </w:r>
          </w:p>
        </w:tc>
      </w:tr>
      <w:tr>
        <w:tc>
          <w:tcPr>
            <w:tcW w:type="dxa" w:w="1568"/>
          </w:tcPr>
          <w:p>
            <w:r>
              <w:rPr>
                <w:rFonts w:eastAsia="Yu Gothic"/>
                <w:rFonts w:ascii="Yu Gothic" w:hAnsi="Yu Gothic"/>
                <w:b w:val="0"/>
                <w:sz w:val="18"/>
              </w:rPr>
              <w:t>2024年3月期</w:t>
            </w:r>
          </w:p>
        </w:tc>
        <w:tc>
          <w:tcPr>
            <w:tcW w:type="dxa" w:w="1568"/>
          </w:tcPr>
          <w:p>
            <w:r>
              <w:rPr>
                <w:rFonts w:eastAsia="Yu Gothic"/>
                <w:rFonts w:ascii="Yu Gothic" w:hAnsi="Yu Gothic"/>
                <w:b w:val="0"/>
                <w:sz w:val="18"/>
              </w:rPr>
              <w:t>公式ソース未確認 要確認</w:t>
            </w:r>
          </w:p>
        </w:tc>
        <w:tc>
          <w:tcPr>
            <w:tcW w:type="dxa" w:w="1568"/>
          </w:tcPr>
          <w:p>
            <w:r>
              <w:rPr>
                <w:rFonts w:eastAsia="Yu Gothic"/>
                <w:rFonts w:ascii="Yu Gothic" w:hAnsi="Yu Gothic"/>
                <w:b w:val="0"/>
                <w:sz w:val="18"/>
              </w:rPr>
              <w:t>公式ソース未確認 要確認</w:t>
            </w:r>
          </w:p>
        </w:tc>
        <w:tc>
          <w:tcPr>
            <w:tcW w:type="dxa" w:w="1568"/>
          </w:tcPr>
          <w:p>
            <w:r>
              <w:rPr>
                <w:rFonts w:eastAsia="Yu Gothic"/>
                <w:rFonts w:ascii="Yu Gothic" w:hAnsi="Yu Gothic"/>
                <w:b w:val="0"/>
                <w:sz w:val="18"/>
              </w:rPr>
              <w:t>461億円（参照値）</w:t>
            </w:r>
          </w:p>
        </w:tc>
        <w:tc>
          <w:tcPr>
            <w:tcW w:type="dxa" w:w="1568"/>
          </w:tcPr>
          <w:p>
            <w:r>
              <w:rPr>
                <w:rFonts w:eastAsia="Yu Gothic"/>
                <w:rFonts w:ascii="Yu Gothic" w:hAnsi="Yu Gothic"/>
                <w:b w:val="0"/>
                <w:sz w:val="18"/>
              </w:rPr>
              <w:t>公式ソース未確認 要確認</w:t>
            </w:r>
          </w:p>
        </w:tc>
        <w:tc>
          <w:tcPr>
            <w:tcW w:type="dxa" w:w="1568"/>
          </w:tcPr>
          <w:p>
            <w:r>
              <w:rPr>
                <w:rFonts w:eastAsia="Yu Gothic"/>
                <w:rFonts w:ascii="Yu Gothic" w:hAnsi="Yu Gothic"/>
                <w:b w:val="0"/>
                <w:sz w:val="18"/>
              </w:rPr>
              <w:t>—</w:t>
            </w:r>
          </w:p>
        </w:tc>
      </w:tr>
      <w:tr>
        <w:tc>
          <w:tcPr>
            <w:tcW w:type="dxa" w:w="1568"/>
          </w:tcPr>
          <w:p>
            <w:r>
              <w:rPr>
                <w:rFonts w:eastAsia="Yu Gothic"/>
                <w:rFonts w:ascii="Yu Gothic" w:hAnsi="Yu Gothic"/>
                <w:b w:val="0"/>
                <w:sz w:val="18"/>
              </w:rPr>
              <w:t>**2025年3月期**</w:t>
            </w:r>
          </w:p>
        </w:tc>
        <w:tc>
          <w:tcPr>
            <w:tcW w:type="dxa" w:w="1568"/>
          </w:tcPr>
          <w:p>
            <w:r>
              <w:rPr>
                <w:rFonts w:eastAsia="Yu Gothic"/>
                <w:rFonts w:ascii="Yu Gothic" w:hAnsi="Yu Gothic"/>
                <w:b w:val="0"/>
                <w:sz w:val="18"/>
              </w:rPr>
              <w:t>約7,700億円（参照値）</w:t>
            </w:r>
          </w:p>
        </w:tc>
        <w:tc>
          <w:tcPr>
            <w:tcW w:type="dxa" w:w="1568"/>
          </w:tcPr>
          <w:p>
            <w:r>
              <w:rPr>
                <w:rFonts w:eastAsia="Yu Gothic"/>
                <w:rFonts w:ascii="Yu Gothic" w:hAnsi="Yu Gothic"/>
                <w:b w:val="0"/>
                <w:sz w:val="18"/>
              </w:rPr>
              <w:t>公式ソース未確認 要確認</w:t>
            </w:r>
          </w:p>
        </w:tc>
        <w:tc>
          <w:tcPr>
            <w:tcW w:type="dxa" w:w="1568"/>
          </w:tcPr>
          <w:p>
            <w:r>
              <w:rPr>
                <w:rFonts w:eastAsia="Yu Gothic"/>
                <w:rFonts w:ascii="Yu Gothic" w:hAnsi="Yu Gothic"/>
                <w:b w:val="0"/>
                <w:sz w:val="18"/>
              </w:rPr>
              <w:t>**603億円（前期比+31%）**</w:t>
            </w:r>
          </w:p>
        </w:tc>
        <w:tc>
          <w:tcPr>
            <w:tcW w:type="dxa" w:w="1568"/>
          </w:tcPr>
          <w:p>
            <w:r>
              <w:rPr>
                <w:rFonts w:eastAsia="Yu Gothic"/>
                <w:rFonts w:ascii="Yu Gothic" w:hAnsi="Yu Gothic"/>
                <w:b w:val="0"/>
                <w:sz w:val="18"/>
              </w:rPr>
              <w:t>公式ソース未確認 要確認</w:t>
            </w:r>
          </w:p>
        </w:tc>
        <w:tc>
          <w:tcPr>
            <w:tcW w:type="dxa" w:w="1568"/>
          </w:tcPr>
          <w:p>
            <w:r>
              <w:rPr>
                <w:rFonts w:eastAsia="Yu Gothic"/>
                <w:rFonts w:ascii="Yu Gothic" w:hAnsi="Yu Gothic"/>
                <w:b w:val="0"/>
                <w:sz w:val="18"/>
              </w:rPr>
              <w:t>BT材好調・メタノール市況改善</w:t>
            </w:r>
          </w:p>
        </w:tc>
      </w:tr>
      <w:tr>
        <w:tc>
          <w:tcPr>
            <w:tcW w:type="dxa" w:w="1568"/>
          </w:tcPr>
          <w:p>
            <w:r>
              <w:rPr>
                <w:rFonts w:eastAsia="Yu Gothic"/>
                <w:rFonts w:ascii="Yu Gothic" w:hAnsi="Yu Gothic"/>
                <w:b w:val="0"/>
                <w:sz w:val="18"/>
              </w:rPr>
              <w:t>**2026年3月期（会社予想）**</w:t>
            </w:r>
          </w:p>
        </w:tc>
        <w:tc>
          <w:tcPr>
            <w:tcW w:type="dxa" w:w="1568"/>
          </w:tcPr>
          <w:p>
            <w:r>
              <w:rPr>
                <w:rFonts w:eastAsia="Yu Gothic"/>
                <w:rFonts w:ascii="Yu Gothic" w:hAnsi="Yu Gothic"/>
                <w:b w:val="0"/>
                <w:sz w:val="18"/>
              </w:rPr>
              <w:t>**7,300億円（▲5.6%）**</w:t>
            </w:r>
          </w:p>
        </w:tc>
        <w:tc>
          <w:tcPr>
            <w:tcW w:type="dxa" w:w="1568"/>
          </w:tcPr>
          <w:p>
            <w:r>
              <w:rPr>
                <w:rFonts w:eastAsia="Yu Gothic"/>
                <w:rFonts w:ascii="Yu Gothic" w:hAnsi="Yu Gothic"/>
                <w:b w:val="0"/>
                <w:sz w:val="18"/>
              </w:rPr>
              <w:t>**470億円（▲7.6%）**</w:t>
            </w:r>
          </w:p>
        </w:tc>
        <w:tc>
          <w:tcPr>
            <w:tcW w:type="dxa" w:w="1568"/>
          </w:tcPr>
          <w:p>
            <w:r>
              <w:rPr>
                <w:rFonts w:eastAsia="Yu Gothic"/>
                <w:rFonts w:ascii="Yu Gothic" w:hAnsi="Yu Gothic"/>
                <w:b w:val="0"/>
                <w:sz w:val="18"/>
              </w:rPr>
              <w:t>**550億円（▲8.8%）**</w:t>
            </w:r>
          </w:p>
        </w:tc>
        <w:tc>
          <w:tcPr>
            <w:tcW w:type="dxa" w:w="1568"/>
          </w:tcPr>
          <w:p>
            <w:r>
              <w:rPr>
                <w:rFonts w:eastAsia="Yu Gothic"/>
                <w:rFonts w:ascii="Yu Gothic" w:hAnsi="Yu Gothic"/>
                <w:b w:val="0"/>
                <w:sz w:val="18"/>
              </w:rPr>
              <w:t>**▲180億円（赤字転落）**</w:t>
            </w:r>
          </w:p>
        </w:tc>
        <w:tc>
          <w:tcPr>
            <w:tcW w:type="dxa" w:w="1568"/>
          </w:tcPr>
          <w:p>
            <w:r>
              <w:rPr>
                <w:rFonts w:eastAsia="Yu Gothic"/>
                <w:rFonts w:ascii="Yu Gothic" w:hAnsi="Yu Gothic"/>
                <w:b w:val="0"/>
                <w:sz w:val="18"/>
              </w:rPr>
              <w:t>MXDA減損502億円計上。13年ぶり赤字</w:t>
            </w:r>
          </w:p>
        </w:tc>
      </w:tr>
    </w:tbl>
    <w:p/>
    <w:p/>
    <w:p>
      <w:pPr>
        <w:spacing w:after="40"/>
      </w:pPr>
      <w:r>
        <w:rPr>
          <w:rFonts w:eastAsia="Yu Gothic"/>
          <w:rFonts w:ascii="Yu Gothic" w:hAnsi="Yu Gothic"/>
          <w:b w:val="0"/>
          <w:sz w:val="20"/>
        </w:rPr>
        <w:t>出所: 三菱ガス化学 決算短信・適時開示各種（2025年11月10日中間決算説明資料ほか）</w:t>
      </w:r>
    </w:p>
    <w:p>
      <w:pPr>
        <w:spacing w:after="40"/>
      </w:pPr>
      <w:r>
        <w:rPr>
          <w:rFonts w:eastAsia="Yu Gothic"/>
          <w:rFonts w:ascii="Yu Gothic" w:hAnsi="Yu Gothic"/>
          <w:b w:val="0"/>
          <w:sz w:val="20"/>
        </w:rPr>
        <w:t>**注意**: 2024年3月期・2025年3月期の詳細なセグメント別数値は、決算短信PDF（公式ソース）を直接確認のこと。本レポートの参照値には推計含む可能性あり — 過去実績値は必ず公式開示で検証要。</w:t>
      </w:r>
    </w:p>
    <w:p/>
    <w:p>
      <w:pPr>
        <w:spacing w:before="120" w:after="80"/>
        <w:jc w:val="left"/>
      </w:pPr>
      <w:r>
        <w:rPr>
          <w:rFonts w:eastAsia="Yu Gothic"/>
          <w:rFonts w:ascii="Yu Gothic" w:hAnsi="Yu Gothic"/>
          <w:b/>
          <w:color w:val="366092"/>
          <w:sz w:val="23"/>
        </w:rPr>
        <w:t>直近 3Q（2025年10-12月）主要数値</w:t>
      </w:r>
    </w:p>
    <w:p>
      <w:pPr>
        <w:pStyle w:val="ListBullet"/>
      </w:pPr>
      <w:r>
        <w:rPr>
          <w:rFonts w:eastAsia="Yu Gothic"/>
          <w:rFonts w:ascii="Yu Gothic" w:hAnsi="Yu Gothic"/>
          <w:b w:val="0"/>
          <w:sz w:val="20"/>
        </w:rPr>
        <w:t>累計売上: 5,494億円（前年比▲5.8%）</w:t>
      </w:r>
    </w:p>
    <w:p>
      <w:pPr>
        <w:pStyle w:val="ListBullet"/>
      </w:pPr>
      <w:r>
        <w:rPr>
          <w:rFonts w:eastAsia="Yu Gothic"/>
          <w:rFonts w:ascii="Yu Gothic" w:hAnsi="Yu Gothic"/>
          <w:b w:val="0"/>
          <w:sz w:val="20"/>
        </w:rPr>
        <w:t>累計営業利益: 378億円（前年比▲16.5%）</w:t>
      </w:r>
    </w:p>
    <w:p>
      <w:pPr>
        <w:pStyle w:val="ListBullet"/>
      </w:pPr>
      <w:r>
        <w:rPr>
          <w:rFonts w:eastAsia="Yu Gothic"/>
          <w:rFonts w:ascii="Yu Gothic" w:hAnsi="Yu Gothic"/>
          <w:b w:val="0"/>
          <w:sz w:val="20"/>
        </w:rPr>
        <w:t>累計純損失: ▲261億円（減損502億円の影響）</w:t>
      </w:r>
    </w:p>
    <w:p/>
    <w:p>
      <w:pPr>
        <w:spacing w:after="40"/>
      </w:pPr>
      <w:r>
        <w:rPr>
          <w:rFonts w:eastAsia="Yu Gothic"/>
          <w:rFonts w:ascii="Yu Gothic" w:hAnsi="Yu Gothic"/>
          <w:b w:val="0"/>
          <w:sz w:val="20"/>
        </w:rPr>
        <w:t>出所: 三菱ガス化学 2026年3月期第3四半期決算発表（2026年2月5日）</w:t>
      </w:r>
    </w:p>
    <w:p/>
    <w:p/>
    <w:p/>
    <w:p>
      <w:pPr>
        <w:spacing w:before="120" w:after="80"/>
        <w:jc w:val="left"/>
        <w:pBdr>
          <w:bottom w:val="single" w:sz="6" w:space="1" w:color="4472C4"/>
        </w:pBdr>
      </w:pPr>
      <w:r>
        <w:rPr>
          <w:rFonts w:eastAsia="Yu Gothic"/>
          <w:rFonts w:ascii="Yu Gothic" w:hAnsi="Yu Gothic"/>
          <w:b/>
          <w:color w:val="1F497D"/>
          <w:sz w:val="26"/>
        </w:rPr>
        <w:t>4. 肥料原料需給・原料調達リスク分析（★最重要セクション）</w:t>
      </w:r>
    </w:p>
    <w:p/>
    <w:p>
      <w:pPr>
        <w:spacing w:before="120" w:after="80"/>
        <w:jc w:val="left"/>
      </w:pPr>
      <w:r>
        <w:rPr>
          <w:rFonts w:eastAsia="Yu Gothic"/>
          <w:rFonts w:ascii="Yu Gothic" w:hAnsi="Yu Gothic"/>
          <w:b/>
          <w:color w:val="366092"/>
          <w:sz w:val="23"/>
        </w:rPr>
        <w:t>4-1. 事業直撃：ホルムズ封鎖によるメタノール調達不能</w:t>
      </w:r>
    </w:p>
    <w:p/>
    <w:p>
      <w:pPr>
        <w:spacing w:after="40"/>
      </w:pPr>
      <w:r>
        <w:rPr>
          <w:rFonts w:eastAsia="Yu Gothic"/>
          <w:rFonts w:ascii="Yu Gothic" w:hAnsi="Yu Gothic"/>
          <w:b w:val="0"/>
          <w:sz w:val="20"/>
        </w:rPr>
        <w:t>**事実確認（公式）**: 2026年3月3日、三菱ガス化学はサウジアラビアのAR-RAZI社からのメタノール調達が不能になったことを公式発表。理由：ホルムズ海峡封鎖により輸送船が通航不能。（出所: 同社プレスリリース 2026/03/03）</w:t>
      </w:r>
    </w:p>
    <w:p/>
    <w:p>
      <w:pPr>
        <w:spacing w:after="40"/>
      </w:pPr>
      <w:r>
        <w:rPr>
          <w:rFonts w:eastAsia="Yu Gothic"/>
          <w:rFonts w:ascii="Yu Gothic" w:hAnsi="Yu Gothic"/>
          <w:b w:val="0"/>
          <w:sz w:val="20"/>
        </w:rPr>
        <w:t>**影響の規模（推計）**:</w:t>
      </w:r>
    </w:p>
    <w:p>
      <w:pPr>
        <w:pStyle w:val="ListBullet"/>
      </w:pPr>
      <w:r>
        <w:rPr>
          <w:rFonts w:eastAsia="Yu Gothic"/>
          <w:rFonts w:ascii="Yu Gothic" w:hAnsi="Yu Gothic"/>
          <w:b w:val="0"/>
          <w:sz w:val="20"/>
        </w:rPr>
        <w:t>サウジ拠点は全体調達量の50%超 → 供給ギャップは年産500万t級の約半分</w:t>
      </w:r>
    </w:p>
    <w:p>
      <w:pPr>
        <w:pStyle w:val="ListBullet"/>
      </w:pPr>
      <w:r>
        <w:rPr>
          <w:rFonts w:eastAsia="Yu Gothic"/>
          <w:rFonts w:ascii="Yu Gothic" w:hAnsi="Yu Gothic"/>
          <w:b w:val="0"/>
          <w:sz w:val="20"/>
        </w:rPr>
        <w:t>ベネズエラ+ブルネイ+T&amp;T（3拠点合計）で最大約345万t/年の代替可能だが、輸送距離・保険料・コストが急上昇</w:t>
      </w:r>
    </w:p>
    <w:p>
      <w:pPr>
        <w:pStyle w:val="ListBullet"/>
      </w:pPr>
      <w:r>
        <w:rPr>
          <w:rFonts w:eastAsia="Yu Gothic"/>
          <w:rFonts w:ascii="Yu Gothic" w:hAnsi="Yu Gothic"/>
          <w:b w:val="0"/>
          <w:sz w:val="20"/>
        </w:rPr>
        <w:t>メタノール国内市場の約40%のサプライヤーとして価格転嫁交渉を実施（2026年3月23日 Bloomberg報道）</w:t>
      </w:r>
    </w:p>
    <w:p/>
    <w:p>
      <w:pPr>
        <w:spacing w:after="40"/>
      </w:pPr>
      <w:r>
        <w:rPr>
          <w:rFonts w:eastAsia="Yu Gothic"/>
          <w:rFonts w:ascii="Yu Gothic" w:hAnsi="Yu Gothic"/>
          <w:b w:val="0"/>
          <w:sz w:val="20"/>
        </w:rPr>
        <w:t>**コスト転嫁状況**:</w:t>
      </w:r>
    </w:p>
    <w:p>
      <w:pPr>
        <w:pStyle w:val="ListBullet"/>
      </w:pPr>
      <w:r>
        <w:rPr>
          <w:rFonts w:eastAsia="Yu Gothic"/>
          <w:rFonts w:ascii="Yu Gothic" w:hAnsi="Yu Gothic"/>
          <w:b w:val="0"/>
          <w:sz w:val="20"/>
        </w:rPr>
        <w:t>2026年3月 — 国内取引先とのメタノール値上げ交渉を開始（Bloomberg報道）</w:t>
      </w:r>
    </w:p>
    <w:p>
      <w:pPr>
        <w:pStyle w:val="ListBullet"/>
      </w:pPr>
      <w:r>
        <w:rPr>
          <w:rFonts w:eastAsia="Yu Gothic"/>
          <w:rFonts w:ascii="Yu Gothic" w:hAnsi="Yu Gothic"/>
          <w:b w:val="0"/>
          <w:sz w:val="20"/>
        </w:rPr>
        <w:t>値上げ理由: 中東回避による輸送コスト増 + 保険料急騰</w:t>
      </w:r>
    </w:p>
    <w:p>
      <w:pPr>
        <w:pStyle w:val="ListBullet"/>
      </w:pPr>
      <w:r>
        <w:rPr>
          <w:rFonts w:eastAsia="Yu Gothic"/>
          <w:rFonts w:ascii="Yu Gothic" w:hAnsi="Yu Gothic"/>
          <w:b w:val="0"/>
          <w:sz w:val="20"/>
        </w:rPr>
        <w:t>一律値上げではなく個別交渉。転嫁が完了するまでの期差コストが利益を圧迫</w:t>
      </w:r>
    </w:p>
    <w:p/>
    <w:p>
      <w:pPr>
        <w:spacing w:before="120" w:after="80"/>
        <w:jc w:val="left"/>
      </w:pPr>
      <w:r>
        <w:rPr>
          <w:rFonts w:eastAsia="Yu Gothic"/>
          <w:rFonts w:ascii="Yu Gothic" w:hAnsi="Yu Gothic"/>
          <w:b/>
          <w:color w:val="366092"/>
          <w:sz w:val="23"/>
        </w:rPr>
        <w:t>4-2. 肥料原料需要拡大との関係</w:t>
      </w:r>
    </w:p>
    <w:p/>
    <w:p>
      <w:pPr>
        <w:spacing w:after="40"/>
      </w:pPr>
      <w:r>
        <w:rPr>
          <w:rFonts w:eastAsia="Yu Gothic"/>
          <w:rFonts w:ascii="Yu Gothic" w:hAnsi="Yu Gothic"/>
          <w:b w:val="0"/>
          <w:sz w:val="20"/>
        </w:rPr>
        <w:t>#### 直接製品（肥料原料）</w:t>
      </w:r>
    </w:p>
    <w:p>
      <w:pPr>
        <w:spacing w:after="40"/>
      </w:pPr>
      <w:r>
        <w:rPr>
          <w:rFonts w:eastAsia="Yu Gothic"/>
          <w:rFonts w:ascii="Yu Gothic" w:hAnsi="Yu Gothic"/>
          <w:b w:val="0"/>
          <w:sz w:val="20"/>
        </w:rPr>
        <w:t>MGCの主力はメタノールとアンモニア誘導体だが、**農業用肥料（尿素・硝安・DAP等）の直接製造は主力事業ではない**。ただし間接的に以下の関連がある:</w:t>
      </w:r>
    </w:p>
    <w:p>
      <w:pPr>
        <w:pStyle w:val="ListBullet"/>
      </w:pPr>
      <w:r>
        <w:rPr>
          <w:rFonts w:eastAsia="Yu Gothic"/>
          <w:rFonts w:ascii="Yu Gothic" w:hAnsi="Yu Gothic"/>
          <w:b w:val="0"/>
          <w:sz w:val="20"/>
        </w:rPr>
        <w:t>**ホルマリン（メタノール誘導体）**: 尿素樹脂（肥料コーティング）、農業用ホルムアルデヒド系除菌剤の原料</w:t>
      </w:r>
    </w:p>
    <w:p>
      <w:pPr>
        <w:pStyle w:val="ListBullet"/>
      </w:pPr>
      <w:r>
        <w:rPr>
          <w:rFonts w:eastAsia="Yu Gothic"/>
          <w:rFonts w:ascii="Yu Gothic" w:hAnsi="Yu Gothic"/>
          <w:b w:val="0"/>
          <w:sz w:val="20"/>
        </w:rPr>
        <w:t>**アンモニア誘導品**: 硝酸→硝酸アンモニウム系は一部国内生産だが規模は限定的（公式売上比率 未確認）</w:t>
      </w:r>
    </w:p>
    <w:p/>
    <w:p>
      <w:pPr>
        <w:spacing w:after="40"/>
      </w:pPr>
      <w:r>
        <w:rPr>
          <w:rFonts w:eastAsia="Yu Gothic"/>
          <w:rFonts w:ascii="Yu Gothic" w:hAnsi="Yu Gothic"/>
          <w:b w:val="0"/>
          <w:sz w:val="20"/>
        </w:rPr>
        <w:t>#### 肥料危機からの恩恵（限定的）</w:t>
      </w:r>
    </w:p>
    <w:p>
      <w:pPr>
        <w:pStyle w:val="ListBullet"/>
      </w:pPr>
      <w:r>
        <w:rPr>
          <w:rFonts w:eastAsia="Yu Gothic"/>
          <w:rFonts w:ascii="Yu Gothic" w:hAnsi="Yu Gothic"/>
          <w:b w:val="0"/>
          <w:sz w:val="20"/>
        </w:rPr>
        <w:t>世界肥料危機（尿素+54%/$726/t）の直接受益者は肥料製造業者（住友化学農業資材・イハラケミカル等）</w:t>
      </w:r>
    </w:p>
    <w:p>
      <w:pPr>
        <w:pStyle w:val="ListBullet"/>
      </w:pPr>
      <w:r>
        <w:rPr>
          <w:rFonts w:eastAsia="Yu Gothic"/>
          <w:rFonts w:ascii="Yu Gothic" w:hAnsi="Yu Gothic"/>
          <w:b w:val="0"/>
          <w:sz w:val="20"/>
        </w:rPr>
        <w:t>MGCは原料供給側（メタノール・アンモニア）だが、ホルムズ封鎖で自社調達も寸断されており、**需要拡大の恩恵より原料調達コスト上昇のマイナスが上回る**</w:t>
      </w:r>
    </w:p>
    <w:p/>
    <w:p>
      <w:pPr>
        <w:spacing w:after="40"/>
      </w:pPr>
      <w:r>
        <w:rPr>
          <w:rFonts w:eastAsia="Yu Gothic"/>
          <w:rFonts w:ascii="Yu Gothic" w:hAnsi="Yu Gothic"/>
          <w:b w:val="0"/>
          <w:sz w:val="20"/>
        </w:rPr>
        <w:t>#### 全体評価</w:t>
      </w:r>
    </w:p>
    <w:p>
      <w:pPr>
        <w:spacing w:after="40"/>
      </w:pPr>
      <w:r>
        <w:rPr>
          <w:rFonts w:eastAsia="Yu Gothic"/>
          <w:rFonts w:ascii="Yu Gothic" w:hAnsi="Yu Gothic"/>
          <w:b w:val="0"/>
          <w:sz w:val="20"/>
        </w:rPr>
        <w:t>「肥料原料需要拡大」のテーマにおいて、MGCは受益者である側面より**直接的被害を受ける川上サプライヤー**として位置づけるべき。</w:t>
      </w:r>
    </w:p>
    <w:p/>
    <w:p>
      <w:pPr>
        <w:spacing w:before="120" w:after="80"/>
        <w:jc w:val="left"/>
      </w:pPr>
      <w:r>
        <w:rPr>
          <w:rFonts w:eastAsia="Yu Gothic"/>
          <w:rFonts w:ascii="Yu Gothic" w:hAnsi="Yu Gothic"/>
          <w:b/>
          <w:color w:val="366092"/>
          <w:sz w:val="23"/>
        </w:rPr>
        <w:t>4-3. 競合との相対比較</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比較軸</w:t>
            </w:r>
          </w:p>
        </w:tc>
        <w:tc>
          <w:tcPr>
            <w:tcW w:type="dxa" w:w="2351"/>
            <w:shd w:val="clear" w:color="auto" w:fill="1F497D"/>
          </w:tcPr>
          <w:p>
            <w:r>
              <w:rPr>
                <w:rFonts w:eastAsia="Yu Gothic"/>
                <w:rFonts w:ascii="Yu Gothic" w:hAnsi="Yu Gothic"/>
                <w:b/>
                <w:color w:val="FFFFFF"/>
                <w:sz w:val="18"/>
              </w:rPr>
              <w:t>三菱ガス化学（4182）</w:t>
            </w:r>
          </w:p>
        </w:tc>
        <w:tc>
          <w:tcPr>
            <w:tcW w:type="dxa" w:w="2351"/>
            <w:shd w:val="clear" w:color="auto" w:fill="1F497D"/>
          </w:tcPr>
          <w:p>
            <w:r>
              <w:rPr>
                <w:rFonts w:eastAsia="Yu Gothic"/>
                <w:rFonts w:ascii="Yu Gothic" w:hAnsi="Yu Gothic"/>
                <w:b/>
                <w:color w:val="FFFFFF"/>
                <w:sz w:val="18"/>
              </w:rPr>
              <w:t>信越化学（4063）</w:t>
            </w:r>
          </w:p>
        </w:tc>
        <w:tc>
          <w:tcPr>
            <w:tcW w:type="dxa" w:w="2351"/>
            <w:shd w:val="clear" w:color="auto" w:fill="1F497D"/>
          </w:tcPr>
          <w:p>
            <w:r>
              <w:rPr>
                <w:rFonts w:eastAsia="Yu Gothic"/>
                <w:rFonts w:ascii="Yu Gothic" w:hAnsi="Yu Gothic"/>
                <w:b/>
                <w:color w:val="FFFFFF"/>
                <w:sz w:val="18"/>
              </w:rPr>
              <w:t>旭化成（3407）</w:t>
            </w:r>
          </w:p>
        </w:tc>
      </w:tr>
      <w:tr>
        <w:tc>
          <w:tcPr>
            <w:tcW w:type="dxa" w:w="2351"/>
          </w:tcPr>
          <w:p>
            <w:r>
              <w:rPr>
                <w:rFonts w:eastAsia="Yu Gothic"/>
                <w:rFonts w:ascii="Yu Gothic" w:hAnsi="Yu Gothic"/>
                <w:b w:val="0"/>
                <w:sz w:val="18"/>
              </w:rPr>
              <w:t>ホルムズ依存</w:t>
            </w:r>
          </w:p>
        </w:tc>
        <w:tc>
          <w:tcPr>
            <w:tcW w:type="dxa" w:w="2351"/>
          </w:tcPr>
          <w:p>
            <w:r>
              <w:rPr>
                <w:rFonts w:eastAsia="Yu Gothic"/>
                <w:rFonts w:ascii="Yu Gothic" w:hAnsi="Yu Gothic"/>
                <w:b w:val="0"/>
                <w:sz w:val="18"/>
              </w:rPr>
              <w:t>**最大級（サウジ50%超）**</w:t>
            </w:r>
          </w:p>
        </w:tc>
        <w:tc>
          <w:tcPr>
            <w:tcW w:type="dxa" w:w="2351"/>
          </w:tcPr>
          <w:p>
            <w:r>
              <w:rPr>
                <w:rFonts w:eastAsia="Yu Gothic"/>
                <w:rFonts w:ascii="Yu Gothic" w:hAnsi="Yu Gothic"/>
                <w:b w:val="0"/>
                <w:sz w:val="18"/>
              </w:rPr>
              <w:t>低（塩ビ等は国内原料）</w:t>
            </w:r>
          </w:p>
        </w:tc>
        <w:tc>
          <w:tcPr>
            <w:tcW w:type="dxa" w:w="2351"/>
          </w:tcPr>
          <w:p>
            <w:r>
              <w:rPr>
                <w:rFonts w:eastAsia="Yu Gothic"/>
                <w:rFonts w:ascii="Yu Gothic" w:hAnsi="Yu Gothic"/>
                <w:b w:val="0"/>
                <w:sz w:val="18"/>
              </w:rPr>
              <w:t>中程度（MMA等）</w:t>
            </w:r>
          </w:p>
        </w:tc>
      </w:tr>
      <w:tr>
        <w:tc>
          <w:tcPr>
            <w:tcW w:type="dxa" w:w="2351"/>
          </w:tcPr>
          <w:p>
            <w:r>
              <w:rPr>
                <w:rFonts w:eastAsia="Yu Gothic"/>
                <w:rFonts w:ascii="Yu Gothic" w:hAnsi="Yu Gothic"/>
                <w:b w:val="0"/>
                <w:sz w:val="18"/>
              </w:rPr>
              <w:t>代替調達柔軟性</w:t>
            </w:r>
          </w:p>
        </w:tc>
        <w:tc>
          <w:tcPr>
            <w:tcW w:type="dxa" w:w="2351"/>
          </w:tcPr>
          <w:p>
            <w:r>
              <w:rPr>
                <w:rFonts w:eastAsia="Yu Gothic"/>
                <w:rFonts w:ascii="Yu Gothic" w:hAnsi="Yu Gothic"/>
                <w:b w:val="0"/>
                <w:sz w:val="18"/>
              </w:rPr>
              <w:t>低（専用設備・合弁構造）</w:t>
            </w:r>
          </w:p>
        </w:tc>
        <w:tc>
          <w:tcPr>
            <w:tcW w:type="dxa" w:w="2351"/>
          </w:tcPr>
          <w:p>
            <w:r>
              <w:rPr>
                <w:rFonts w:eastAsia="Yu Gothic"/>
                <w:rFonts w:ascii="Yu Gothic" w:hAnsi="Yu Gothic"/>
                <w:b w:val="0"/>
                <w:sz w:val="18"/>
              </w:rPr>
              <w:t>高</w:t>
            </w:r>
          </w:p>
        </w:tc>
        <w:tc>
          <w:tcPr>
            <w:tcW w:type="dxa" w:w="2351"/>
          </w:tcPr>
          <w:p>
            <w:r>
              <w:rPr>
                <w:rFonts w:eastAsia="Yu Gothic"/>
                <w:rFonts w:ascii="Yu Gothic" w:hAnsi="Yu Gothic"/>
                <w:b w:val="0"/>
                <w:sz w:val="18"/>
              </w:rPr>
              <w:t>中程度</w:t>
            </w:r>
          </w:p>
        </w:tc>
      </w:tr>
      <w:tr>
        <w:tc>
          <w:tcPr>
            <w:tcW w:type="dxa" w:w="2351"/>
          </w:tcPr>
          <w:p>
            <w:r>
              <w:rPr>
                <w:rFonts w:eastAsia="Yu Gothic"/>
                <w:rFonts w:ascii="Yu Gothic" w:hAnsi="Yu Gothic"/>
                <w:b w:val="0"/>
                <w:sz w:val="18"/>
              </w:rPr>
              <w:t>BT材/電子材料</w:t>
            </w:r>
          </w:p>
        </w:tc>
        <w:tc>
          <w:tcPr>
            <w:tcW w:type="dxa" w:w="2351"/>
          </w:tcPr>
          <w:p>
            <w:r>
              <w:rPr>
                <w:rFonts w:eastAsia="Yu Gothic"/>
                <w:rFonts w:ascii="Yu Gothic" w:hAnsi="Yu Gothic"/>
                <w:b w:val="0"/>
                <w:sz w:val="18"/>
              </w:rPr>
              <w:t>世界シェア高（BT材独占的）</w:t>
            </w:r>
          </w:p>
        </w:tc>
        <w:tc>
          <w:tcPr>
            <w:tcW w:type="dxa" w:w="2351"/>
          </w:tcPr>
          <w:p>
            <w:r>
              <w:rPr>
                <w:rFonts w:eastAsia="Yu Gothic"/>
                <w:rFonts w:ascii="Yu Gothic" w:hAnsi="Yu Gothic"/>
                <w:b w:val="0"/>
                <w:sz w:val="18"/>
              </w:rPr>
              <w:t>半導体シリコン独占</w:t>
            </w:r>
          </w:p>
        </w:tc>
        <w:tc>
          <w:tcPr>
            <w:tcW w:type="dxa" w:w="2351"/>
          </w:tcPr>
          <w:p>
            <w:r>
              <w:rPr>
                <w:rFonts w:eastAsia="Yu Gothic"/>
                <w:rFonts w:ascii="Yu Gothic" w:hAnsi="Yu Gothic"/>
                <w:b w:val="0"/>
                <w:sz w:val="18"/>
              </w:rPr>
              <w:t>樹脂中心</w:t>
            </w:r>
          </w:p>
        </w:tc>
      </w:tr>
      <w:tr>
        <w:tc>
          <w:tcPr>
            <w:tcW w:type="dxa" w:w="2351"/>
          </w:tcPr>
          <w:p>
            <w:r>
              <w:rPr>
                <w:rFonts w:eastAsia="Yu Gothic"/>
                <w:rFonts w:ascii="Yu Gothic" w:hAnsi="Yu Gothic"/>
                <w:b w:val="0"/>
                <w:sz w:val="18"/>
              </w:rPr>
              <w:t>全体評価</w:t>
            </w:r>
          </w:p>
        </w:tc>
        <w:tc>
          <w:tcPr>
            <w:tcW w:type="dxa" w:w="2351"/>
          </w:tcPr>
          <w:p>
            <w:r>
              <w:rPr>
                <w:rFonts w:eastAsia="Yu Gothic"/>
                <w:rFonts w:ascii="Yu Gothic" w:hAnsi="Yu Gothic"/>
                <w:b w:val="0"/>
                <w:sz w:val="18"/>
              </w:rPr>
              <w:t>**ホルムズ被害筆頭**</w:t>
            </w:r>
          </w:p>
        </w:tc>
        <w:tc>
          <w:tcPr>
            <w:tcW w:type="dxa" w:w="2351"/>
          </w:tcPr>
          <w:p>
            <w:r>
              <w:rPr>
                <w:rFonts w:eastAsia="Yu Gothic"/>
                <w:rFonts w:ascii="Yu Gothic" w:hAnsi="Yu Gothic"/>
                <w:b w:val="0"/>
                <w:sz w:val="18"/>
              </w:rPr>
              <w:t>肥料テーマ恩恵は限定だが安定</w:t>
            </w:r>
          </w:p>
        </w:tc>
        <w:tc>
          <w:tcPr>
            <w:tcW w:type="dxa" w:w="2351"/>
          </w:tcPr>
          <w:p>
            <w:r>
              <w:rPr>
                <w:rFonts w:eastAsia="Yu Gothic"/>
                <w:rFonts w:ascii="Yu Gothic" w:hAnsi="Yu Gothic"/>
                <w:b w:val="0"/>
                <w:sz w:val="18"/>
              </w:rPr>
              <w:t>ナフサ影響あり</w:t>
            </w:r>
          </w:p>
        </w:tc>
      </w:tr>
    </w:tbl>
    <w:p/>
    <w:p/>
    <w:p>
      <w:pPr>
        <w:spacing w:after="40"/>
      </w:pPr>
      <w:r>
        <w:rPr>
          <w:rFonts w:eastAsia="Yu Gothic"/>
          <w:rFonts w:ascii="Yu Gothic" w:hAnsi="Yu Gothic"/>
          <w:b w:val="0"/>
          <w:sz w:val="20"/>
        </w:rPr>
        <w:t>**結論**: MGCはホルムズ封鎖の被害を最も直接的に受ける化学メーカー。</w:t>
      </w:r>
    </w:p>
    <w:p/>
    <w:p/>
    <w:p/>
    <w:p>
      <w:pPr>
        <w:spacing w:before="120" w:after="80"/>
        <w:jc w:val="left"/>
        <w:pBdr>
          <w:bottom w:val="single" w:sz="6" w:space="1" w:color="4472C4"/>
        </w:pBdr>
      </w:pPr>
      <w:r>
        <w:rPr>
          <w:rFonts w:eastAsia="Yu Gothic"/>
          <w:rFonts w:ascii="Yu Gothic" w:hAnsi="Yu Gothic"/>
          <w:b/>
          <w:color w:val="1F497D"/>
          <w:sz w:val="26"/>
        </w:rPr>
        <w:t>5. バリュエーション</w:t>
      </w:r>
    </w:p>
    <w:p/>
    <w:p>
      <w:pPr>
        <w:spacing w:before="120" w:after="80"/>
        <w:jc w:val="left"/>
      </w:pPr>
      <w:r>
        <w:rPr>
          <w:rFonts w:eastAsia="Yu Gothic"/>
          <w:rFonts w:ascii="Yu Gothic" w:hAnsi="Yu Gothic"/>
          <w:b/>
          <w:color w:val="366092"/>
          <w:sz w:val="23"/>
        </w:rPr>
        <w:t>前提条件</w:t>
      </w:r>
    </w:p>
    <w:p>
      <w:pPr>
        <w:pStyle w:val="ListBullet"/>
      </w:pPr>
      <w:r>
        <w:rPr>
          <w:rFonts w:eastAsia="Yu Gothic"/>
          <w:rFonts w:ascii="Yu Gothic" w:hAnsi="Yu Gothic"/>
          <w:b w:val="0"/>
          <w:sz w:val="20"/>
        </w:rPr>
        <w:t>Rf = 2.380%（社内規定固定）</w:t>
      </w:r>
    </w:p>
    <w:p>
      <w:pPr>
        <w:pStyle w:val="ListBullet"/>
      </w:pPr>
      <w:r>
        <w:rPr>
          <w:rFonts w:eastAsia="Yu Gothic"/>
          <w:rFonts w:ascii="Yu Gothic" w:hAnsi="Yu Gothic"/>
          <w:b w:val="0"/>
          <w:sz w:val="20"/>
        </w:rPr>
        <w:t>リスクプレミアム (ERP) = 5.5%</w:t>
      </w:r>
    </w:p>
    <w:p>
      <w:pPr>
        <w:pStyle w:val="ListBullet"/>
      </w:pPr>
      <w:r>
        <w:rPr>
          <w:rFonts w:eastAsia="Yu Gothic"/>
          <w:rFonts w:ascii="Yu Gothic" w:hAnsi="Yu Gothic"/>
          <w:b w:val="0"/>
          <w:sz w:val="20"/>
        </w:rPr>
        <w:t>ベータ = 1.10（化学セクター平均）</w:t>
      </w:r>
    </w:p>
    <w:p>
      <w:pPr>
        <w:pStyle w:val="ListBullet"/>
      </w:pPr>
      <w:r>
        <w:rPr>
          <w:rFonts w:eastAsia="Yu Gothic"/>
          <w:rFonts w:ascii="Yu Gothic" w:hAnsi="Yu Gothic"/>
          <w:b w:val="0"/>
          <w:sz w:val="20"/>
        </w:rPr>
        <w:t>WACC = 2.380% + 1.10 × 5.5% ≈ **8.43%**</w:t>
      </w:r>
    </w:p>
    <w:p>
      <w:pPr>
        <w:pStyle w:val="ListBullet"/>
      </w:pPr>
      <w:r>
        <w:rPr>
          <w:rFonts w:eastAsia="Yu Gothic"/>
          <w:rFonts w:ascii="Yu Gothic" w:hAnsi="Yu Gothic"/>
          <w:b w:val="0"/>
          <w:sz w:val="20"/>
        </w:rPr>
        <w:t>長期成長率g = 1.5%</w:t>
      </w:r>
    </w:p>
    <w:p/>
    <w:p>
      <w:pPr>
        <w:spacing w:before="120" w:after="80"/>
        <w:jc w:val="left"/>
      </w:pPr>
      <w:r>
        <w:rPr>
          <w:rFonts w:eastAsia="Yu Gothic"/>
          <w:rFonts w:ascii="Yu Gothic" w:hAnsi="Yu Gothic"/>
          <w:b/>
          <w:color w:val="366092"/>
          <w:sz w:val="23"/>
        </w:rPr>
        <w:t>DCF分析（3シナリオ）</w:t>
      </w:r>
    </w:p>
    <w:p/>
    <w:p>
      <w:pPr>
        <w:spacing w:after="40"/>
      </w:pPr>
      <w:r>
        <w:rPr>
          <w:rFonts w:eastAsia="Yu Gothic"/>
          <w:rFonts w:ascii="Yu Gothic" w:hAnsi="Yu Gothic"/>
          <w:b w:val="0"/>
          <w:sz w:val="20"/>
        </w:rPr>
        <w:t>#### ベースシナリオ（ホルムズ2026年末まで継続、2027年度から正常化）</w:t>
      </w:r>
    </w:p>
    <w:p>
      <w:pPr>
        <w:pStyle w:val="ListBullet"/>
      </w:pPr>
      <w:r>
        <w:rPr>
          <w:rFonts w:eastAsia="Yu Gothic"/>
          <w:rFonts w:ascii="Yu Gothic" w:hAnsi="Yu Gothic"/>
          <w:b w:val="0"/>
          <w:sz w:val="20"/>
        </w:rPr>
        <w:t>2027年3月期 EBIT推計: 約400億円（ホルムズコスト継続、BT材好調）</w:t>
      </w:r>
    </w:p>
    <w:p>
      <w:pPr>
        <w:pStyle w:val="ListBullet"/>
      </w:pPr>
      <w:r>
        <w:rPr>
          <w:rFonts w:eastAsia="Yu Gothic"/>
          <w:rFonts w:ascii="Yu Gothic" w:hAnsi="Yu Gothic"/>
          <w:b w:val="0"/>
          <w:sz w:val="20"/>
        </w:rPr>
        <w:t>2028年3月期 EBIT推計: 約520億円（メタノール正常化）</w:t>
      </w:r>
    </w:p>
    <w:p>
      <w:pPr>
        <w:pStyle w:val="ListBullet"/>
      </w:pPr>
      <w:r>
        <w:rPr>
          <w:rFonts w:eastAsia="Yu Gothic"/>
          <w:rFonts w:ascii="Yu Gothic" w:hAnsi="Yu Gothic"/>
          <w:b w:val="0"/>
          <w:sz w:val="20"/>
        </w:rPr>
        <w:t>定常状態NOPAT: 約380億円</w:t>
      </w:r>
    </w:p>
    <w:p>
      <w:pPr>
        <w:pStyle w:val="ListBullet"/>
      </w:pPr>
      <w:r>
        <w:rPr>
          <w:rFonts w:eastAsia="Yu Gothic"/>
          <w:rFonts w:ascii="Yu Gothic" w:hAnsi="Yu Gothic"/>
          <w:b w:val="0"/>
          <w:sz w:val="20"/>
        </w:rPr>
        <w:t>DCF企業価値（推計）: 約5,800億円</w:t>
      </w:r>
    </w:p>
    <w:p>
      <w:pPr>
        <w:pStyle w:val="ListBullet"/>
      </w:pPr>
      <w:r>
        <w:rPr>
          <w:rFonts w:eastAsia="Yu Gothic"/>
          <w:rFonts w:ascii="Yu Gothic" w:hAnsi="Yu Gothic"/>
          <w:b w:val="0"/>
          <w:sz w:val="20"/>
        </w:rPr>
        <w:t>純有利子負債控除後の株式価値: 約¥3,800〜¥4,000 → **ベースTP: ¥3,600〜¥4,000**</w:t>
      </w:r>
    </w:p>
    <w:p/>
    <w:p>
      <w:pPr>
        <w:spacing w:after="40"/>
      </w:pPr>
      <w:r>
        <w:rPr>
          <w:rFonts w:eastAsia="Yu Gothic"/>
          <w:rFonts w:ascii="Yu Gothic" w:hAnsi="Yu Gothic"/>
          <w:b w:val="0"/>
          <w:sz w:val="20"/>
        </w:rPr>
        <w:t>**注**: EBIT・NOPAT推計は公式ガイダンスをベースに将来シナリオを加味した深井試算。実際の有利子負債・D/E等は公式バランスシートで要確認。</w:t>
      </w:r>
    </w:p>
    <w:p/>
    <w:p>
      <w:pPr>
        <w:spacing w:after="40"/>
      </w:pPr>
      <w:r>
        <w:rPr>
          <w:rFonts w:eastAsia="Yu Gothic"/>
          <w:rFonts w:ascii="Yu Gothic" w:hAnsi="Yu Gothic"/>
          <w:b w:val="0"/>
          <w:sz w:val="20"/>
        </w:rPr>
        <w:t>#### PER法</w:t>
      </w:r>
    </w:p>
    <w:p>
      <w:pPr>
        <w:pStyle w:val="ListBullet"/>
      </w:pPr>
      <w:r>
        <w:rPr>
          <w:rFonts w:eastAsia="Yu Gothic"/>
          <w:rFonts w:ascii="Yu Gothic" w:hAnsi="Yu Gothic"/>
          <w:b w:val="0"/>
          <w:sz w:val="20"/>
        </w:rPr>
        <w:t>正常化EPS（2028年3月期）推計: 約300円/株（ホルムズ解除・MXDA減損一巡後）</w:t>
      </w:r>
    </w:p>
    <w:p>
      <w:pPr>
        <w:pStyle w:val="ListBullet"/>
      </w:pPr>
      <w:r>
        <w:rPr>
          <w:rFonts w:eastAsia="Yu Gothic"/>
          <w:rFonts w:ascii="Yu Gothic" w:hAnsi="Yu Gothic"/>
          <w:b w:val="0"/>
          <w:sz w:val="20"/>
        </w:rPr>
        <w:t>業種PER目安: 12〜15倍</w:t>
      </w:r>
    </w:p>
    <w:p>
      <w:pPr>
        <w:pStyle w:val="ListBullet"/>
      </w:pPr>
      <w:r>
        <w:rPr>
          <w:rFonts w:eastAsia="Yu Gothic"/>
          <w:rFonts w:ascii="Yu Gothic" w:hAnsi="Yu Gothic"/>
          <w:b w:val="0"/>
          <w:sz w:val="20"/>
        </w:rPr>
        <w:t>PER法TP: ¥3,600〜¥4,500</w:t>
      </w:r>
    </w:p>
    <w:p/>
    <w:p>
      <w:pPr>
        <w:spacing w:before="120" w:after="80"/>
        <w:jc w:val="left"/>
      </w:pPr>
      <w:r>
        <w:rPr>
          <w:rFonts w:eastAsia="Yu Gothic"/>
          <w:rFonts w:ascii="Yu Gothic" w:hAnsi="Yu Gothic"/>
          <w:b/>
          <w:color w:val="366092"/>
          <w:sz w:val="23"/>
        </w:rPr>
        <w:t>3シナリオ TP まとめ</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想定前提</w:t>
            </w:r>
          </w:p>
        </w:tc>
        <w:tc>
          <w:tcPr>
            <w:tcW w:type="dxa" w:w="2351"/>
            <w:shd w:val="clear" w:color="auto" w:fill="1F497D"/>
          </w:tcPr>
          <w:p>
            <w:r>
              <w:rPr>
                <w:rFonts w:eastAsia="Yu Gothic"/>
                <w:rFonts w:ascii="Yu Gothic" w:hAnsi="Yu Gothic"/>
                <w:b/>
                <w:color w:val="FFFFFF"/>
                <w:sz w:val="18"/>
              </w:rPr>
              <w:t>TP</w:t>
            </w:r>
          </w:p>
        </w:tc>
        <w:tc>
          <w:tcPr>
            <w:tcW w:type="dxa" w:w="2351"/>
            <w:shd w:val="clear" w:color="auto" w:fill="1F497D"/>
          </w:tcPr>
          <w:p>
            <w:r>
              <w:rPr>
                <w:rFonts w:eastAsia="Yu Gothic"/>
                <w:rFonts w:ascii="Yu Gothic" w:hAnsi="Yu Gothic"/>
                <w:b/>
                <w:color w:val="FFFFFF"/>
                <w:sz w:val="18"/>
              </w:rPr>
              <w:t>現値比</w:t>
            </w:r>
          </w:p>
        </w:tc>
      </w:tr>
      <w:tr>
        <w:tc>
          <w:tcPr>
            <w:tcW w:type="dxa" w:w="2351"/>
          </w:tcPr>
          <w:p>
            <w:r>
              <w:rPr>
                <w:rFonts w:eastAsia="Yu Gothic"/>
                <w:rFonts w:ascii="Yu Gothic" w:hAnsi="Yu Gothic"/>
                <w:b w:val="0"/>
                <w:sz w:val="18"/>
              </w:rPr>
              <w:t>**強気**</w:t>
            </w:r>
          </w:p>
        </w:tc>
        <w:tc>
          <w:tcPr>
            <w:tcW w:type="dxa" w:w="2351"/>
          </w:tcPr>
          <w:p>
            <w:r>
              <w:rPr>
                <w:rFonts w:eastAsia="Yu Gothic"/>
                <w:rFonts w:ascii="Yu Gothic" w:hAnsi="Yu Gothic"/>
                <w:b w:val="0"/>
                <w:sz w:val="18"/>
              </w:rPr>
              <w:t>ホルムズ解除（2026年上半期）＋BT材超好調</w:t>
            </w:r>
          </w:p>
        </w:tc>
        <w:tc>
          <w:tcPr>
            <w:tcW w:type="dxa" w:w="2351"/>
          </w:tcPr>
          <w:p>
            <w:r>
              <w:rPr>
                <w:rFonts w:eastAsia="Yu Gothic"/>
                <w:rFonts w:ascii="Yu Gothic" w:hAnsi="Yu Gothic"/>
                <w:b w:val="0"/>
                <w:sz w:val="18"/>
              </w:rPr>
              <w:t>**¥5,000**</w:t>
            </w:r>
          </w:p>
        </w:tc>
        <w:tc>
          <w:tcPr>
            <w:tcW w:type="dxa" w:w="2351"/>
          </w:tcPr>
          <w:p>
            <w:r>
              <w:rPr>
                <w:rFonts w:eastAsia="Yu Gothic"/>
                <w:rFonts w:ascii="Yu Gothic" w:hAnsi="Yu Gothic"/>
                <w:b w:val="0"/>
                <w:sz w:val="18"/>
              </w:rPr>
              <w:t>+15.5%</w:t>
            </w:r>
          </w:p>
        </w:tc>
      </w:tr>
      <w:tr>
        <w:tc>
          <w:tcPr>
            <w:tcW w:type="dxa" w:w="2351"/>
          </w:tcPr>
          <w:p>
            <w:r>
              <w:rPr>
                <w:rFonts w:eastAsia="Yu Gothic"/>
                <w:rFonts w:ascii="Yu Gothic" w:hAnsi="Yu Gothic"/>
                <w:b w:val="0"/>
                <w:sz w:val="18"/>
              </w:rPr>
              <w:t>**ベース**</w:t>
            </w:r>
          </w:p>
        </w:tc>
        <w:tc>
          <w:tcPr>
            <w:tcW w:type="dxa" w:w="2351"/>
          </w:tcPr>
          <w:p>
            <w:r>
              <w:rPr>
                <w:rFonts w:eastAsia="Yu Gothic"/>
                <w:rFonts w:ascii="Yu Gothic" w:hAnsi="Yu Gothic"/>
                <w:b w:val="0"/>
                <w:sz w:val="18"/>
              </w:rPr>
              <w:t>ホルムズ2026年末継続＋一部代替調達成功</w:t>
            </w:r>
          </w:p>
        </w:tc>
        <w:tc>
          <w:tcPr>
            <w:tcW w:type="dxa" w:w="2351"/>
          </w:tcPr>
          <w:p>
            <w:r>
              <w:rPr>
                <w:rFonts w:eastAsia="Yu Gothic"/>
                <w:rFonts w:ascii="Yu Gothic" w:hAnsi="Yu Gothic"/>
                <w:b w:val="0"/>
                <w:sz w:val="18"/>
              </w:rPr>
              <w:t>**¥3,600〜¥3,800**</w:t>
            </w:r>
          </w:p>
        </w:tc>
        <w:tc>
          <w:tcPr>
            <w:tcW w:type="dxa" w:w="2351"/>
          </w:tcPr>
          <w:p>
            <w:r>
              <w:rPr>
                <w:rFonts w:eastAsia="Yu Gothic"/>
                <w:rFonts w:ascii="Yu Gothic" w:hAnsi="Yu Gothic"/>
                <w:b w:val="0"/>
                <w:sz w:val="18"/>
              </w:rPr>
              <w:t>▲12〜17%</w:t>
            </w:r>
          </w:p>
        </w:tc>
      </w:tr>
      <w:tr>
        <w:tc>
          <w:tcPr>
            <w:tcW w:type="dxa" w:w="2351"/>
          </w:tcPr>
          <w:p>
            <w:r>
              <w:rPr>
                <w:rFonts w:eastAsia="Yu Gothic"/>
                <w:rFonts w:ascii="Yu Gothic" w:hAnsi="Yu Gothic"/>
                <w:b w:val="0"/>
                <w:sz w:val="18"/>
              </w:rPr>
              <w:t>**弱気**</w:t>
            </w:r>
          </w:p>
        </w:tc>
        <w:tc>
          <w:tcPr>
            <w:tcW w:type="dxa" w:w="2351"/>
          </w:tcPr>
          <w:p>
            <w:r>
              <w:rPr>
                <w:rFonts w:eastAsia="Yu Gothic"/>
                <w:rFonts w:ascii="Yu Gothic" w:hAnsi="Yu Gothic"/>
                <w:b w:val="0"/>
                <w:sz w:val="18"/>
              </w:rPr>
              <w:t>ホルムズ2027年以降も継続＋メタノール市況悪化</w:t>
            </w:r>
          </w:p>
        </w:tc>
        <w:tc>
          <w:tcPr>
            <w:tcW w:type="dxa" w:w="2351"/>
          </w:tcPr>
          <w:p>
            <w:r>
              <w:rPr>
                <w:rFonts w:eastAsia="Yu Gothic"/>
                <w:rFonts w:ascii="Yu Gothic" w:hAnsi="Yu Gothic"/>
                <w:b w:val="0"/>
                <w:sz w:val="18"/>
              </w:rPr>
              <w:t>**¥2,500〜¥3,000**</w:t>
            </w:r>
          </w:p>
        </w:tc>
        <w:tc>
          <w:tcPr>
            <w:tcW w:type="dxa" w:w="2351"/>
          </w:tcPr>
          <w:p>
            <w:r>
              <w:rPr>
                <w:rFonts w:eastAsia="Yu Gothic"/>
                <w:rFonts w:ascii="Yu Gothic" w:hAnsi="Yu Gothic"/>
                <w:b w:val="0"/>
                <w:sz w:val="18"/>
              </w:rPr>
              <w:t>▲31〜42%</w:t>
            </w:r>
          </w:p>
        </w:tc>
      </w:tr>
    </w:tbl>
    <w:p/>
    <w:p/>
    <w:p/>
    <w:p/>
    <w:p>
      <w:pPr>
        <w:spacing w:before="120" w:after="80"/>
        <w:jc w:val="left"/>
        <w:pBdr>
          <w:bottom w:val="single" w:sz="6" w:space="1" w:color="4472C4"/>
        </w:pBdr>
      </w:pPr>
      <w:r>
        <w:rPr>
          <w:rFonts w:eastAsia="Yu Gothic"/>
          <w:rFonts w:ascii="Yu Gothic" w:hAnsi="Yu Gothic"/>
          <w:b/>
          <w:color w:val="1F497D"/>
          <w:sz w:val="26"/>
        </w:rPr>
        <w:t>6. リスクシナリオ定量（最低3つ）</w:t>
      </w:r>
    </w:p>
    <w:p/>
    <w:p>
      <w:pPr>
        <w:spacing w:before="120" w:after="80"/>
        <w:jc w:val="left"/>
      </w:pPr>
      <w:r>
        <w:rPr>
          <w:rFonts w:eastAsia="Yu Gothic"/>
          <w:rFonts w:ascii="Yu Gothic" w:hAnsi="Yu Gothic"/>
          <w:b/>
          <w:color w:val="366092"/>
          <w:sz w:val="23"/>
        </w:rPr>
        <w:t>リスク1: ホルムズ長期化によるメタノール調達コスト急騰（最重要）</w:t>
      </w:r>
    </w:p>
    <w:p>
      <w:pPr>
        <w:pStyle w:val="ListBullet"/>
      </w:pPr>
      <w:r>
        <w:rPr>
          <w:rFonts w:eastAsia="Yu Gothic"/>
          <w:rFonts w:ascii="Yu Gothic" w:hAnsi="Yu Gothic"/>
          <w:b w:val="0"/>
          <w:sz w:val="20"/>
        </w:rPr>
        <w:t>**シナリオ**: 2026年末までホルムズ封鎖継続。ベネズエラ・T&amp;T代替ルートの追加輸送コスト+30〜50%が継続</w:t>
      </w:r>
    </w:p>
    <w:p>
      <w:pPr>
        <w:pStyle w:val="ListBullet"/>
      </w:pPr>
      <w:r>
        <w:rPr>
          <w:rFonts w:eastAsia="Yu Gothic"/>
          <w:rFonts w:ascii="Yu Gothic" w:hAnsi="Yu Gothic"/>
          <w:b w:val="0"/>
          <w:sz w:val="20"/>
        </w:rPr>
        <w:t>**業績インパクト推計**: メタノールセグメント営業利益▲100〜150億円/年（深井試算。公式ガイダンス未反映）</w:t>
      </w:r>
    </w:p>
    <w:p>
      <w:pPr>
        <w:pStyle w:val="ListBullet"/>
      </w:pPr>
      <w:r>
        <w:rPr>
          <w:rFonts w:eastAsia="Yu Gothic"/>
          <w:rFonts w:ascii="Yu Gothic" w:hAnsi="Yu Gothic"/>
          <w:b w:val="0"/>
          <w:sz w:val="20"/>
        </w:rPr>
        <w:t>**株価影響**: ▲15〜25%（TP¥3,000〜¥3,700水準）</w:t>
      </w:r>
    </w:p>
    <w:p/>
    <w:p>
      <w:pPr>
        <w:spacing w:before="120" w:after="80"/>
        <w:jc w:val="left"/>
      </w:pPr>
      <w:r>
        <w:rPr>
          <w:rFonts w:eastAsia="Yu Gothic"/>
          <w:rFonts w:ascii="Yu Gothic" w:hAnsi="Yu Gothic"/>
          <w:b/>
          <w:color w:val="366092"/>
          <w:sz w:val="23"/>
        </w:rPr>
        <w:t>リスク2: MXDAプロジェクト追加損失・完全撤退</w:t>
      </w:r>
    </w:p>
    <w:p>
      <w:pPr>
        <w:pStyle w:val="ListBullet"/>
      </w:pPr>
      <w:r>
        <w:rPr>
          <w:rFonts w:eastAsia="Yu Gothic"/>
          <w:rFonts w:ascii="Yu Gothic" w:hAnsi="Yu Gothic"/>
          <w:b w:val="0"/>
          <w:sz w:val="20"/>
        </w:rPr>
        <w:t>**シナリオ**: オランダMXDAプラント建設が中断から完全撤退に転じ、残存資産の追加減損計上</w:t>
      </w:r>
    </w:p>
    <w:p>
      <w:pPr>
        <w:pStyle w:val="ListBullet"/>
      </w:pPr>
      <w:r>
        <w:rPr>
          <w:rFonts w:eastAsia="Yu Gothic"/>
          <w:rFonts w:ascii="Yu Gothic" w:hAnsi="Yu Gothic"/>
          <w:b w:val="0"/>
          <w:sz w:val="20"/>
        </w:rPr>
        <w:t>**業績インパクト推計**: 追加特別損失50〜100億円の可能性（現時点で502億円計上済だが残余設備あり）</w:t>
      </w:r>
    </w:p>
    <w:p>
      <w:pPr>
        <w:pStyle w:val="ListBullet"/>
      </w:pPr>
      <w:r>
        <w:rPr>
          <w:rFonts w:eastAsia="Yu Gothic"/>
          <w:rFonts w:ascii="Yu Gothic" w:hAnsi="Yu Gothic"/>
          <w:b w:val="0"/>
          <w:sz w:val="20"/>
        </w:rPr>
        <w:t>**株価影響**: ▲5〜10%（マーケットは一部織り込み済みと見られるが不確実）</w:t>
      </w:r>
    </w:p>
    <w:p/>
    <w:p>
      <w:pPr>
        <w:spacing w:before="120" w:after="80"/>
        <w:jc w:val="left"/>
      </w:pPr>
      <w:r>
        <w:rPr>
          <w:rFonts w:eastAsia="Yu Gothic"/>
          <w:rFonts w:ascii="Yu Gothic" w:hAnsi="Yu Gothic"/>
          <w:b/>
          <w:color w:val="366092"/>
          <w:sz w:val="23"/>
        </w:rPr>
        <w:t>リスク3: メタノール市況のさらなる下落（中国供給過剰）</w:t>
      </w:r>
    </w:p>
    <w:p>
      <w:pPr>
        <w:pStyle w:val="ListBullet"/>
      </w:pPr>
      <w:r>
        <w:rPr>
          <w:rFonts w:eastAsia="Yu Gothic"/>
          <w:rFonts w:ascii="Yu Gothic" w:hAnsi="Yu Gothic"/>
          <w:b w:val="0"/>
          <w:sz w:val="20"/>
        </w:rPr>
        <w:t>**シナリオ**: 中国のメタノール増産が国際市況を押し下げ。メタノール価格が現行比▲15%に下落</w:t>
      </w:r>
    </w:p>
    <w:p>
      <w:pPr>
        <w:pStyle w:val="ListBullet"/>
      </w:pPr>
      <w:r>
        <w:rPr>
          <w:rFonts w:eastAsia="Yu Gothic"/>
          <w:rFonts w:ascii="Yu Gothic" w:hAnsi="Yu Gothic"/>
          <w:b w:val="0"/>
          <w:sz w:val="20"/>
        </w:rPr>
        <w:t>**業績インパクト推計**: 持分法利益から試算して約▲50〜80億円の経常利益減少</w:t>
      </w:r>
    </w:p>
    <w:p>
      <w:pPr>
        <w:pStyle w:val="ListBullet"/>
      </w:pPr>
      <w:r>
        <w:rPr>
          <w:rFonts w:eastAsia="Yu Gothic"/>
          <w:rFonts w:ascii="Yu Gothic" w:hAnsi="Yu Gothic"/>
          <w:b w:val="0"/>
          <w:sz w:val="20"/>
        </w:rPr>
        <w:t>**株価影響**: ▲8〜12%</w:t>
      </w:r>
    </w:p>
    <w:p/>
    <w:p>
      <w:pPr>
        <w:spacing w:before="120" w:after="80"/>
        <w:jc w:val="left"/>
      </w:pPr>
      <w:r>
        <w:rPr>
          <w:rFonts w:eastAsia="Yu Gothic"/>
          <w:rFonts w:ascii="Yu Gothic" w:hAnsi="Yu Gothic"/>
          <w:b/>
          <w:color w:val="366092"/>
          <w:sz w:val="23"/>
        </w:rPr>
        <w:t>リスク4（アップサイドリスク）: ホルムズ解除による急反発</w:t>
      </w:r>
    </w:p>
    <w:p>
      <w:pPr>
        <w:pStyle w:val="ListBullet"/>
      </w:pPr>
      <w:r>
        <w:rPr>
          <w:rFonts w:eastAsia="Yu Gothic"/>
          <w:rFonts w:ascii="Yu Gothic" w:hAnsi="Yu Gothic"/>
          <w:b w:val="0"/>
          <w:sz w:val="20"/>
        </w:rPr>
        <w:t>**シナリオ**: 米・イラン合意でホルムズ通行が2026年6月までに完全正常化</w:t>
      </w:r>
    </w:p>
    <w:p>
      <w:pPr>
        <w:pStyle w:val="ListBullet"/>
      </w:pPr>
      <w:r>
        <w:rPr>
          <w:rFonts w:eastAsia="Yu Gothic"/>
          <w:rFonts w:ascii="Yu Gothic" w:hAnsi="Yu Gothic"/>
          <w:b w:val="0"/>
          <w:sz w:val="20"/>
        </w:rPr>
        <w:t>**業績インパクト**: コスト正常化 + BT材好調継続で2027年3月期経常利益700〜800億円水準へ回復</w:t>
      </w:r>
    </w:p>
    <w:p>
      <w:pPr>
        <w:pStyle w:val="ListBullet"/>
      </w:pPr>
      <w:r>
        <w:rPr>
          <w:rFonts w:eastAsia="Yu Gothic"/>
          <w:rFonts w:ascii="Yu Gothic" w:hAnsi="Yu Gothic"/>
          <w:b w:val="0"/>
          <w:sz w:val="20"/>
        </w:rPr>
        <w:t>**株価インパクト**: +20〜30%（¥5,200〜¥5,600）</w:t>
      </w:r>
    </w:p>
    <w:p/>
    <w:p/>
    <w:p/>
    <w:p>
      <w:pPr>
        <w:spacing w:before="120" w:after="80"/>
        <w:jc w:val="left"/>
        <w:pBdr>
          <w:bottom w:val="single" w:sz="6" w:space="1" w:color="4472C4"/>
        </w:pBdr>
      </w:pPr>
      <w:r>
        <w:rPr>
          <w:rFonts w:eastAsia="Yu Gothic"/>
          <w:rFonts w:ascii="Yu Gothic" w:hAnsi="Yu Gothic"/>
          <w:b/>
          <w:color w:val="1F497D"/>
          <w:sz w:val="26"/>
        </w:rPr>
        <w:t>7. Q-1（2025年10-12月期）定性変化</w:t>
      </w:r>
    </w:p>
    <w:p/>
    <w:p>
      <w:pPr>
        <w:spacing w:before="120" w:after="80"/>
        <w:jc w:val="left"/>
      </w:pPr>
      <w:r>
        <w:rPr>
          <w:rFonts w:eastAsia="Yu Gothic"/>
          <w:rFonts w:ascii="Yu Gothic" w:hAnsi="Yu Gothic"/>
          <w:b/>
          <w:color w:val="366092"/>
          <w:sz w:val="23"/>
        </w:rPr>
        <w:t>前四半期（2025年7-9月）から2025年10-12月への変化</w:t>
      </w:r>
    </w:p>
    <w:p>
      <w:pPr>
        <w:pStyle w:val="ListBullet"/>
      </w:pPr>
      <w:r>
        <w:rPr>
          <w:rFonts w:eastAsia="Yu Gothic"/>
          <w:rFonts w:ascii="Yu Gothic" w:hAnsi="Yu Gothic"/>
          <w:b w:val="0"/>
          <w:sz w:val="20"/>
        </w:rPr>
        <w:t>**ネガティブ変化**: 2025年11月にMXDA（オランダ）プロジェクトへの減損502億円を特別損失計上。通期純損失見通しが▲170億円→▲180億円に悪化</w:t>
      </w:r>
    </w:p>
    <w:p>
      <w:pPr>
        <w:pStyle w:val="ListBullet"/>
      </w:pPr>
      <w:r>
        <w:rPr>
          <w:rFonts w:eastAsia="Yu Gothic"/>
          <w:rFonts w:ascii="Yu Gothic" w:hAnsi="Yu Gothic"/>
          <w:b w:val="0"/>
          <w:sz w:val="20"/>
        </w:rPr>
        <w:t>**ポジティブ変化**: 通期経常利益は500億円から550億円へ上方修正（BT材販売好調・円安効果）</w:t>
      </w:r>
    </w:p>
    <w:p>
      <w:pPr>
        <w:pStyle w:val="ListBullet"/>
      </w:pPr>
      <w:r>
        <w:rPr>
          <w:rFonts w:eastAsia="Yu Gothic"/>
          <w:rFonts w:ascii="Yu Gothic" w:hAnsi="Yu Gothic"/>
          <w:b w:val="0"/>
          <w:sz w:val="20"/>
        </w:rPr>
        <w:t>**構造変化**: 半導体パッケージ向けBT材の需要が想定以上に強く、FCセグメントが赤字のGECセグメントを支える構図が明確化</w:t>
      </w:r>
    </w:p>
    <w:p>
      <w:pPr>
        <w:pStyle w:val="ListBullet"/>
      </w:pPr>
      <w:r>
        <w:rPr>
          <w:rFonts w:eastAsia="Yu Gothic"/>
          <w:rFonts w:ascii="Yu Gothic" w:hAnsi="Yu Gothic"/>
          <w:b w:val="0"/>
          <w:sz w:val="20"/>
        </w:rPr>
        <w:t>**ホルムズ前の状況**: Q3時点（2025年10-12月）はまだホルムズ封鎖前。2026年3月以降のホルムズ影響はQ4および2027年3月期に本格的に反映される見通し</w:t>
      </w:r>
    </w:p>
    <w:p/>
    <w:p>
      <w:pPr>
        <w:spacing w:after="40"/>
      </w:pPr>
      <w:r>
        <w:rPr>
          <w:rFonts w:eastAsia="Yu Gothic"/>
          <w:rFonts w:ascii="Yu Gothic" w:hAnsi="Yu Gothic"/>
          <w:b w:val="0"/>
          <w:sz w:val="20"/>
        </w:rPr>
        <w:t>出所: 三菱ガス化学 2025年度第2四半期（中間期）決算説明資料（2025年11月10日）、2025年度第3四半期決算発表（2026年2月5日）</w:t>
      </w:r>
    </w:p>
    <w:p/>
    <w:p/>
    <w:p/>
    <w:p>
      <w:pPr>
        <w:spacing w:before="120" w:after="80"/>
        <w:jc w:val="left"/>
        <w:pBdr>
          <w:bottom w:val="single" w:sz="6" w:space="1" w:color="4472C4"/>
        </w:pBdr>
      </w:pPr>
      <w:r>
        <w:rPr>
          <w:rFonts w:eastAsia="Yu Gothic"/>
          <w:rFonts w:ascii="Yu Gothic" w:hAnsi="Yu Gothic"/>
          <w:b/>
          <w:color w:val="1F497D"/>
          <w:sz w:val="26"/>
        </w:rPr>
        <w:t>8. 触媒・カタリスト</w:t>
      </w:r>
    </w:p>
    <w:p/>
    <w:p>
      <w:pPr>
        <w:spacing w:before="120" w:after="80"/>
        <w:jc w:val="left"/>
      </w:pPr>
      <w:r>
        <w:rPr>
          <w:rFonts w:eastAsia="Yu Gothic"/>
          <w:rFonts w:ascii="Yu Gothic" w:hAnsi="Yu Gothic"/>
          <w:b/>
          <w:color w:val="366092"/>
          <w:sz w:val="23"/>
        </w:rPr>
        <w:t>ポジティブカタリスト</w:t>
      </w:r>
    </w:p>
    <w:p>
      <w:pPr>
        <w:spacing w:after="40"/>
      </w:pPr>
      <w:r>
        <w:rPr>
          <w:rFonts w:eastAsia="Yu Gothic"/>
          <w:rFonts w:ascii="Yu Gothic" w:hAnsi="Yu Gothic"/>
          <w:b w:val="0"/>
          <w:sz w:val="20"/>
        </w:rPr>
        <w:t>1. **ホルムズ海峡解除の公式確認** — 最大の株価反転トリガー。タンカー通行再開確認で最大+20〜30%の急騰余地</w:t>
      </w:r>
    </w:p>
    <w:p>
      <w:pPr>
        <w:spacing w:after="40"/>
      </w:pPr>
      <w:r>
        <w:rPr>
          <w:rFonts w:eastAsia="Yu Gothic"/>
          <w:rFonts w:ascii="Yu Gothic" w:hAnsi="Yu Gothic"/>
          <w:b w:val="0"/>
          <w:sz w:val="20"/>
        </w:rPr>
        <w:t>2. **BT材の更なる受注拡大** — 半導体パッケージ（HBM・AI向けチップレット）需要が続く限り機能化学品セグメントの利益拡大継続。タイ工場（2025年10月稼働）の本格寄与が2026年下半期に見込まれる</w:t>
      </w:r>
    </w:p>
    <w:p>
      <w:pPr>
        <w:spacing w:after="40"/>
      </w:pPr>
      <w:r>
        <w:rPr>
          <w:rFonts w:eastAsia="Yu Gothic"/>
          <w:rFonts w:ascii="Yu Gothic" w:hAnsi="Yu Gothic"/>
          <w:b w:val="0"/>
          <w:sz w:val="20"/>
        </w:rPr>
        <w:t>3. **2026年3月期通期決算発表（2026年5月）** — 赤字の特殊要因（減損）剥落後の正常化EPSに市場の目が向かう可能性。BT材好調なら中期成長ストーリー再評価</w:t>
      </w:r>
    </w:p>
    <w:p>
      <w:pPr>
        <w:spacing w:after="40"/>
      </w:pPr>
      <w:r>
        <w:rPr>
          <w:rFonts w:eastAsia="Yu Gothic"/>
          <w:rFonts w:ascii="Yu Gothic" w:hAnsi="Yu Gothic"/>
          <w:b w:val="0"/>
          <w:sz w:val="20"/>
        </w:rPr>
        <w:t>4. **MXDAプロジェクト正式撤退決定** — 「不透明要因の一掃」として市場に好感される可能性</w:t>
      </w:r>
    </w:p>
    <w:p/>
    <w:p>
      <w:pPr>
        <w:spacing w:before="120" w:after="80"/>
        <w:jc w:val="left"/>
      </w:pPr>
      <w:r>
        <w:rPr>
          <w:rFonts w:eastAsia="Yu Gothic"/>
          <w:rFonts w:ascii="Yu Gothic" w:hAnsi="Yu Gothic"/>
          <w:b/>
          <w:color w:val="366092"/>
          <w:sz w:val="23"/>
        </w:rPr>
        <w:t>不動産含み益NAV推計</w:t>
      </w:r>
    </w:p>
    <w:p>
      <w:pPr>
        <w:pStyle w:val="ListBullet"/>
      </w:pPr>
      <w:r>
        <w:rPr>
          <w:rFonts w:eastAsia="Yu Gothic"/>
          <w:rFonts w:ascii="Yu Gothic" w:hAnsi="Yu Gothic"/>
          <w:b w:val="0"/>
          <w:sz w:val="20"/>
        </w:rPr>
        <w:t>**公式ソース未確認 — 要確認**</w:t>
      </w:r>
    </w:p>
    <w:p>
      <w:pPr>
        <w:pStyle w:val="ListBullet"/>
      </w:pPr>
      <w:r>
        <w:rPr>
          <w:rFonts w:eastAsia="Yu Gothic"/>
          <w:rFonts w:ascii="Yu Gothic" w:hAnsi="Yu Gothic"/>
          <w:b w:val="0"/>
          <w:sz w:val="20"/>
        </w:rPr>
        <w:t>MGCは新潟・水島・東京等に工場・本社ビル・研究施設を保有。製造業特性上、土地・建物の簿価と時価の乖離が存在すると想定されるが、具体的な含み益推計には有価証券報告書の賃貸等不動産時価注記（IFRS/J-GAAP）および固定資産明細の確認が必要</w:t>
      </w:r>
    </w:p>
    <w:p>
      <w:pPr>
        <w:pStyle w:val="ListBullet"/>
      </w:pPr>
      <w:r>
        <w:rPr>
          <w:rFonts w:eastAsia="Yu Gothic"/>
          <w:rFonts w:ascii="Yu Gothic" w:hAnsi="Yu Gothic"/>
          <w:b w:val="0"/>
          <w:sz w:val="20"/>
        </w:rPr>
        <w:t>本レポート作成時点で公式確認が取れないため推計数値を記載しない（データ整合性厳格プロトコル準拠）</w:t>
      </w:r>
    </w:p>
    <w:p/>
    <w:p/>
    <w:p/>
    <w:p>
      <w:pPr>
        <w:spacing w:before="120" w:after="80"/>
        <w:jc w:val="left"/>
        <w:pBdr>
          <w:bottom w:val="single" w:sz="6" w:space="1" w:color="4472C4"/>
        </w:pBdr>
      </w:pPr>
      <w:r>
        <w:rPr>
          <w:rFonts w:eastAsia="Yu Gothic"/>
          <w:rFonts w:ascii="Yu Gothic" w:hAnsi="Yu Gothic"/>
          <w:b/>
          <w:color w:val="1F497D"/>
          <w:sz w:val="26"/>
        </w:rPr>
        <w:t>9. IR質問状（竹村トレードカンパニー名義）</w:t>
      </w:r>
    </w:p>
    <w:p/>
    <w:p/>
    <w:p/>
    <w:p>
      <w:pPr>
        <w:spacing w:after="40"/>
      </w:pPr>
      <w:r>
        <w:rPr>
          <w:rFonts w:eastAsia="Yu Gothic"/>
          <w:rFonts w:ascii="Yu Gothic" w:hAnsi="Yu Gothic"/>
          <w:b w:val="0"/>
          <w:sz w:val="20"/>
        </w:rPr>
        <w:t>**件名**: 【三菱ガス化学 4182】投資判断に関するIR質問（竹村トレードカンパニー）</w:t>
      </w:r>
    </w:p>
    <w:p/>
    <w:p>
      <w:pPr>
        <w:spacing w:after="40"/>
      </w:pPr>
      <w:r>
        <w:rPr>
          <w:rFonts w:eastAsia="Yu Gothic"/>
          <w:rFonts w:ascii="Yu Gothic" w:hAnsi="Yu Gothic"/>
          <w:b w:val="0"/>
          <w:sz w:val="20"/>
        </w:rPr>
        <w:t>**宛先**: 三菱ガス化学株式会社 広報IR部 ご担当者様</w:t>
      </w:r>
    </w:p>
    <w:p>
      <w:pPr>
        <w:spacing w:after="40"/>
      </w:pPr>
      <w:r>
        <w:rPr>
          <w:rFonts w:eastAsia="Yu Gothic"/>
          <w:rFonts w:ascii="Yu Gothic" w:hAnsi="Yu Gothic"/>
          <w:b w:val="0"/>
          <w:sz w:val="20"/>
        </w:rPr>
        <w:t>**URL**: https://www.mgc.co.jp/inquiry/</w:t>
      </w:r>
    </w:p>
    <w:p/>
    <w:p/>
    <w:p/>
    <w:p>
      <w:pPr>
        <w:spacing w:after="40"/>
      </w:pPr>
      <w:r>
        <w:rPr>
          <w:rFonts w:eastAsia="Yu Gothic"/>
          <w:rFonts w:ascii="Yu Gothic" w:hAnsi="Yu Gothic"/>
          <w:b w:val="0"/>
          <w:sz w:val="20"/>
        </w:rPr>
        <w:t>竹村トレードカンパニー、アナリストの深井と申します。貴社への投資判断を深める目的で、以下5点についてご回答をいただけますでしょうか。</w:t>
      </w:r>
    </w:p>
    <w:p/>
    <w:p>
      <w:pPr>
        <w:spacing w:after="40"/>
      </w:pPr>
      <w:r>
        <w:rPr>
          <w:rFonts w:eastAsia="Yu Gothic"/>
          <w:rFonts w:ascii="Yu Gothic" w:hAnsi="Yu Gothic"/>
          <w:b/>
          <w:sz w:val="20"/>
        </w:rPr>
        <w:t>Q1. ホルムズ海峡封鎖によるサウジアラビアのメタノール調達不能の業績影響について</w:t>
      </w:r>
    </w:p>
    <w:p>
      <w:pPr>
        <w:spacing w:after="40"/>
      </w:pPr>
      <w:r>
        <w:rPr>
          <w:rFonts w:eastAsia="Yu Gothic"/>
          <w:rFonts w:ascii="Yu Gothic" w:hAnsi="Yu Gothic"/>
          <w:b w:val="0"/>
          <w:sz w:val="20"/>
        </w:rPr>
        <w:t>2026年3月3日に発表されたAR-RAZI社からのメタノール調達不能について、①2026年3月期Q4（1〜3月）および2027年3月期通期への営業利益・経常利益への定量的な影響額（感応度）、②代替拠点（ベネズエラ・ブルネイ・トリニダード・トバゴ）からの代替調達量がサウジの何%をカバーできているか（実績ベース）、③国内顧客へのメタノール価格転嫁の進捗率（交渉完了顧客の比率）をお教えください。</w:t>
      </w:r>
    </w:p>
    <w:p/>
    <w:p>
      <w:pPr>
        <w:spacing w:after="40"/>
      </w:pPr>
      <w:r>
        <w:rPr>
          <w:rFonts w:eastAsia="Yu Gothic"/>
          <w:rFonts w:ascii="Yu Gothic" w:hAnsi="Yu Gothic"/>
          <w:b/>
          <w:sz w:val="20"/>
        </w:rPr>
        <w:t>Q2. BT材（半導体パッケージ用ビスマレイミドトリアジン）の受注・出荷状況</w:t>
      </w:r>
    </w:p>
    <w:p>
      <w:pPr>
        <w:spacing w:after="40"/>
      </w:pPr>
      <w:r>
        <w:rPr>
          <w:rFonts w:eastAsia="Yu Gothic"/>
          <w:rFonts w:ascii="Yu Gothic" w:hAnsi="Yu Gothic"/>
          <w:b w:val="0"/>
          <w:sz w:val="20"/>
        </w:rPr>
        <w:t>現在のBT材の納期が16〜20週と通常の2倍超に達していると承知しています。①2026年度（2027年3月期）のBT材セグメント売上・営業利益の会社ガイダンス（または内部計画水準）、②タイ工場（2025年10月稼働）の稼働率と追加生産能力の規模、③競合（国内・海外）との市場シェアについて教えていただけますでしょうか。</w:t>
      </w:r>
    </w:p>
    <w:p/>
    <w:p>
      <w:pPr>
        <w:spacing w:after="40"/>
      </w:pPr>
      <w:r>
        <w:rPr>
          <w:rFonts w:eastAsia="Yu Gothic"/>
          <w:rFonts w:ascii="Yu Gothic" w:hAnsi="Yu Gothic"/>
          <w:b/>
          <w:sz w:val="20"/>
        </w:rPr>
        <w:t>Q3. オランダMXDA（メタキシレンジアミン）プロジェクトの最終処理スケジュール</w:t>
      </w:r>
    </w:p>
    <w:p>
      <w:pPr>
        <w:spacing w:after="40"/>
      </w:pPr>
      <w:r>
        <w:rPr>
          <w:rFonts w:eastAsia="Yu Gothic"/>
          <w:rFonts w:ascii="Yu Gothic" w:hAnsi="Yu Gothic"/>
          <w:b w:val="0"/>
          <w:sz w:val="20"/>
        </w:rPr>
        <w:t>502億円の減損処理後、建設工事を一時中断中のMXDAプロジェクトについて、①工事再開・完全撤退・第三者への権利売却のいずれかについて、いつまでに最終判断を行う予定か、②追加で計上される可能性のある損失（残余設備・解体費用等）の試算がある場合はその規模をお聞かせください。</w:t>
      </w:r>
    </w:p>
    <w:p/>
    <w:p>
      <w:pPr>
        <w:spacing w:after="40"/>
      </w:pPr>
      <w:r>
        <w:rPr>
          <w:rFonts w:eastAsia="Yu Gothic"/>
          <w:rFonts w:ascii="Yu Gothic" w:hAnsi="Yu Gothic"/>
          <w:b/>
          <w:sz w:val="20"/>
        </w:rPr>
        <w:t>Q4. 中期経営計画「Grow UP 2026」の修正可能性</w:t>
      </w:r>
    </w:p>
    <w:p>
      <w:pPr>
        <w:spacing w:after="40"/>
      </w:pPr>
      <w:r>
        <w:rPr>
          <w:rFonts w:eastAsia="Yu Gothic"/>
          <w:rFonts w:ascii="Yu Gothic" w:hAnsi="Yu Gothic"/>
          <w:b w:val="0"/>
          <w:sz w:val="20"/>
        </w:rPr>
        <w:t>ホルムズ封鎖・MXDAプロジェクト中断により、「Grow UP 2026」で掲げた2026年度（2027年3月期）の計数目標（売上1兆円・営業利益率10%）の達成可否について、現時点での見解をお聞かせください。また、計画修正を検討する場合のタイムラインはどのようになりますか。</w:t>
      </w:r>
    </w:p>
    <w:p/>
    <w:p>
      <w:pPr>
        <w:spacing w:after="40"/>
      </w:pPr>
      <w:r>
        <w:rPr>
          <w:rFonts w:eastAsia="Yu Gothic"/>
          <w:rFonts w:ascii="Yu Gothic" w:hAnsi="Yu Gothic"/>
          <w:b/>
          <w:sz w:val="20"/>
        </w:rPr>
        <w:t>Q5. 不動産・土地の含み益（賃貸等不動産時価情報）</w:t>
      </w:r>
    </w:p>
    <w:p>
      <w:pPr>
        <w:spacing w:after="40"/>
      </w:pPr>
      <w:r>
        <w:rPr>
          <w:rFonts w:eastAsia="Yu Gothic"/>
          <w:rFonts w:ascii="Yu Gothic" w:hAnsi="Yu Gothic"/>
          <w:b w:val="0"/>
          <w:sz w:val="20"/>
        </w:rPr>
        <w:t>有価証券報告書における賃貸等不動産の時価注記の開示状況を確認したいのですが、直近期（2025年3月期）において土地・建物の時価と帳簿価額の差額（含み益・含み損）の総額をお教えいただけますでしょうか。また、自社使用不動産の時価評価についても情報開示の予定があればご教示ください。</w:t>
      </w:r>
    </w:p>
    <w:p/>
    <w:p>
      <w:pPr>
        <w:spacing w:after="40"/>
      </w:pPr>
      <w:r>
        <w:rPr>
          <w:rFonts w:eastAsia="Yu Gothic"/>
          <w:rFonts w:ascii="Yu Gothic" w:hAnsi="Yu Gothic"/>
          <w:b w:val="0"/>
          <w:sz w:val="20"/>
        </w:rPr>
        <w:t>以上、ご多忙のところ恐れ入りますが、次回決算説明会（2026年5月予定）前にご回答いただけますと幸いです。</w:t>
      </w:r>
    </w:p>
    <w:p/>
    <w:p>
      <w:pPr>
        <w:spacing w:after="40"/>
      </w:pPr>
      <w:r>
        <w:rPr>
          <w:rFonts w:eastAsia="Yu Gothic"/>
          <w:rFonts w:ascii="Yu Gothic" w:hAnsi="Yu Gothic"/>
          <w:b/>
          <w:sz w:val="20"/>
        </w:rPr>
        <w:t>竹村トレードカンパニー</w:t>
      </w:r>
    </w:p>
    <w:p>
      <w:pPr>
        <w:spacing w:after="40"/>
      </w:pPr>
      <w:r>
        <w:rPr>
          <w:rFonts w:eastAsia="Yu Gothic"/>
          <w:rFonts w:ascii="Yu Gothic" w:hAnsi="Yu Gothic"/>
          <w:b/>
          <w:sz w:val="20"/>
        </w:rPr>
        <w:t>アナリスト 深井</w:t>
      </w:r>
    </w:p>
    <w:p>
      <w:pPr>
        <w:spacing w:after="40"/>
      </w:pPr>
      <w:r>
        <w:rPr>
          <w:rFonts w:eastAsia="Yu Gothic"/>
          <w:rFonts w:ascii="Yu Gothic" w:hAnsi="Yu Gothic"/>
          <w:b w:val="0"/>
          <w:sz w:val="20"/>
        </w:rPr>
        <w:t>（IR問い合わせフォームより送付: https://www.mgc.co.jp/inquiry/）</w:t>
      </w:r>
    </w:p>
    <w:p/>
    <w:p/>
    <w:p/>
    <w:p>
      <w:pPr>
        <w:spacing w:before="120" w:after="80"/>
        <w:jc w:val="left"/>
        <w:pBdr>
          <w:bottom w:val="single" w:sz="6" w:space="1" w:color="4472C4"/>
        </w:pBdr>
      </w:pPr>
      <w:r>
        <w:rPr>
          <w:rFonts w:eastAsia="Yu Gothic"/>
          <w:rFonts w:ascii="Yu Gothic" w:hAnsi="Yu Gothic"/>
          <w:b/>
          <w:color w:val="1F497D"/>
          <w:sz w:val="26"/>
        </w:rPr>
        <w:t>付録：データ整合性確認</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出所</w:t>
            </w:r>
          </w:p>
        </w:tc>
        <w:tc>
          <w:tcPr>
            <w:tcW w:type="dxa" w:w="3135"/>
            <w:shd w:val="clear" w:color="auto" w:fill="1F497D"/>
          </w:tcPr>
          <w:p>
            <w:r>
              <w:rPr>
                <w:rFonts w:eastAsia="Yu Gothic"/>
                <w:rFonts w:ascii="Yu Gothic" w:hAnsi="Yu Gothic"/>
                <w:b/>
                <w:color w:val="FFFFFF"/>
                <w:sz w:val="18"/>
              </w:rPr>
              <w:t>信頼度</w:t>
            </w:r>
          </w:p>
        </w:tc>
      </w:tr>
      <w:tr>
        <w:tc>
          <w:tcPr>
            <w:tcW w:type="dxa" w:w="3135"/>
          </w:tcPr>
          <w:p>
            <w:r>
              <w:rPr>
                <w:rFonts w:eastAsia="Yu Gothic"/>
                <w:rFonts w:ascii="Yu Gothic" w:hAnsi="Yu Gothic"/>
                <w:b w:val="0"/>
                <w:sz w:val="18"/>
              </w:rPr>
              <w:t>株価¥4,329</w:t>
            </w:r>
          </w:p>
        </w:tc>
        <w:tc>
          <w:tcPr>
            <w:tcW w:type="dxa" w:w="3135"/>
          </w:tcPr>
          <w:p>
            <w:r>
              <w:rPr>
                <w:rFonts w:eastAsia="Yu Gothic"/>
                <w:rFonts w:ascii="Yu Gothic" w:hAnsi="Yu Gothic"/>
                <w:b w:val="0"/>
                <w:sz w:val="18"/>
              </w:rPr>
              <w:t>Yahoo Finance 2026年4月22日報道参照</w:t>
            </w:r>
          </w:p>
        </w:tc>
        <w:tc>
          <w:tcPr>
            <w:tcW w:type="dxa" w:w="3135"/>
          </w:tcPr>
          <w:p>
            <w:r>
              <w:rPr>
                <w:rFonts w:eastAsia="Yu Gothic"/>
                <w:rFonts w:ascii="Yu Gothic" w:hAnsi="Yu Gothic"/>
                <w:b w:val="0"/>
                <w:sz w:val="18"/>
              </w:rPr>
              <w:t>参照値（リアルタイム未取得）</w:t>
            </w:r>
          </w:p>
        </w:tc>
      </w:tr>
      <w:tr>
        <w:tc>
          <w:tcPr>
            <w:tcW w:type="dxa" w:w="3135"/>
          </w:tcPr>
          <w:p>
            <w:r>
              <w:rPr>
                <w:rFonts w:eastAsia="Yu Gothic"/>
                <w:rFonts w:ascii="Yu Gothic" w:hAnsi="Yu Gothic"/>
                <w:b w:val="0"/>
                <w:sz w:val="18"/>
              </w:rPr>
              <w:t>2026年3月期 売上予想7,300億</w:t>
            </w:r>
          </w:p>
        </w:tc>
        <w:tc>
          <w:tcPr>
            <w:tcW w:type="dxa" w:w="3135"/>
          </w:tcPr>
          <w:p>
            <w:r>
              <w:rPr>
                <w:rFonts w:eastAsia="Yu Gothic"/>
                <w:rFonts w:ascii="Yu Gothic" w:hAnsi="Yu Gothic"/>
                <w:b w:val="0"/>
                <w:sz w:val="18"/>
              </w:rPr>
              <w:t>三菱ガス化学 適時開示（2026年2月10日）</w:t>
            </w:r>
          </w:p>
        </w:tc>
        <w:tc>
          <w:tcPr>
            <w:tcW w:type="dxa" w:w="3135"/>
          </w:tcPr>
          <w:p>
            <w:r>
              <w:rPr>
                <w:rFonts w:eastAsia="Yu Gothic"/>
                <w:rFonts w:ascii="Yu Gothic" w:hAnsi="Yu Gothic"/>
                <w:b w:val="0"/>
                <w:sz w:val="18"/>
              </w:rPr>
              <w:t>公式</w:t>
            </w:r>
          </w:p>
        </w:tc>
      </w:tr>
      <w:tr>
        <w:tc>
          <w:tcPr>
            <w:tcW w:type="dxa" w:w="3135"/>
          </w:tcPr>
          <w:p>
            <w:r>
              <w:rPr>
                <w:rFonts w:eastAsia="Yu Gothic"/>
                <w:rFonts w:ascii="Yu Gothic" w:hAnsi="Yu Gothic"/>
                <w:b w:val="0"/>
                <w:sz w:val="18"/>
              </w:rPr>
              <w:t>同 経常利益550億</w:t>
            </w:r>
          </w:p>
        </w:tc>
        <w:tc>
          <w:tcPr>
            <w:tcW w:type="dxa" w:w="3135"/>
          </w:tcPr>
          <w:p>
            <w:r>
              <w:rPr>
                <w:rFonts w:eastAsia="Yu Gothic"/>
                <w:rFonts w:ascii="Yu Gothic" w:hAnsi="Yu Gothic"/>
                <w:b w:val="0"/>
                <w:sz w:val="18"/>
              </w:rPr>
              <w:t>同上</w:t>
            </w:r>
          </w:p>
        </w:tc>
        <w:tc>
          <w:tcPr>
            <w:tcW w:type="dxa" w:w="3135"/>
          </w:tcPr>
          <w:p>
            <w:r>
              <w:rPr>
                <w:rFonts w:eastAsia="Yu Gothic"/>
                <w:rFonts w:ascii="Yu Gothic" w:hAnsi="Yu Gothic"/>
                <w:b w:val="0"/>
                <w:sz w:val="18"/>
              </w:rPr>
              <w:t>公式</w:t>
            </w:r>
          </w:p>
        </w:tc>
      </w:tr>
      <w:tr>
        <w:tc>
          <w:tcPr>
            <w:tcW w:type="dxa" w:w="3135"/>
          </w:tcPr>
          <w:p>
            <w:r>
              <w:rPr>
                <w:rFonts w:eastAsia="Yu Gothic"/>
                <w:rFonts w:ascii="Yu Gothic" w:hAnsi="Yu Gothic"/>
                <w:b w:val="0"/>
                <w:sz w:val="18"/>
              </w:rPr>
              <w:t>同 純損失▲180億</w:t>
            </w:r>
          </w:p>
        </w:tc>
        <w:tc>
          <w:tcPr>
            <w:tcW w:type="dxa" w:w="3135"/>
          </w:tcPr>
          <w:p>
            <w:r>
              <w:rPr>
                <w:rFonts w:eastAsia="Yu Gothic"/>
                <w:rFonts w:ascii="Yu Gothic" w:hAnsi="Yu Gothic"/>
                <w:b w:val="0"/>
                <w:sz w:val="18"/>
              </w:rPr>
              <w:t>同上</w:t>
            </w:r>
          </w:p>
        </w:tc>
        <w:tc>
          <w:tcPr>
            <w:tcW w:type="dxa" w:w="3135"/>
          </w:tcPr>
          <w:p>
            <w:r>
              <w:rPr>
                <w:rFonts w:eastAsia="Yu Gothic"/>
                <w:rFonts w:ascii="Yu Gothic" w:hAnsi="Yu Gothic"/>
                <w:b w:val="0"/>
                <w:sz w:val="18"/>
              </w:rPr>
              <w:t>公式</w:t>
            </w:r>
          </w:p>
        </w:tc>
      </w:tr>
      <w:tr>
        <w:tc>
          <w:tcPr>
            <w:tcW w:type="dxa" w:w="3135"/>
          </w:tcPr>
          <w:p>
            <w:r>
              <w:rPr>
                <w:rFonts w:eastAsia="Yu Gothic"/>
                <w:rFonts w:ascii="Yu Gothic" w:hAnsi="Yu Gothic"/>
                <w:b w:val="0"/>
                <w:sz w:val="18"/>
              </w:rPr>
              <w:t>MXDA減損502億</w:t>
            </w:r>
          </w:p>
        </w:tc>
        <w:tc>
          <w:tcPr>
            <w:tcW w:type="dxa" w:w="3135"/>
          </w:tcPr>
          <w:p>
            <w:r>
              <w:rPr>
                <w:rFonts w:eastAsia="Yu Gothic"/>
                <w:rFonts w:ascii="Yu Gothic" w:hAnsi="Yu Gothic"/>
                <w:b w:val="0"/>
                <w:sz w:val="18"/>
              </w:rPr>
              <w:t>三菱ガス化学 2025年11月10日適時開示</w:t>
            </w:r>
          </w:p>
        </w:tc>
        <w:tc>
          <w:tcPr>
            <w:tcW w:type="dxa" w:w="3135"/>
          </w:tcPr>
          <w:p>
            <w:r>
              <w:rPr>
                <w:rFonts w:eastAsia="Yu Gothic"/>
                <w:rFonts w:ascii="Yu Gothic" w:hAnsi="Yu Gothic"/>
                <w:b w:val="0"/>
                <w:sz w:val="18"/>
              </w:rPr>
              <w:t>公式</w:t>
            </w:r>
          </w:p>
        </w:tc>
      </w:tr>
      <w:tr>
        <w:tc>
          <w:tcPr>
            <w:tcW w:type="dxa" w:w="3135"/>
          </w:tcPr>
          <w:p>
            <w:r>
              <w:rPr>
                <w:rFonts w:eastAsia="Yu Gothic"/>
                <w:rFonts w:ascii="Yu Gothic" w:hAnsi="Yu Gothic"/>
                <w:b w:val="0"/>
                <w:sz w:val="18"/>
              </w:rPr>
              <w:t>サウジ拠点50%超</w:t>
            </w:r>
          </w:p>
        </w:tc>
        <w:tc>
          <w:tcPr>
            <w:tcW w:type="dxa" w:w="3135"/>
          </w:tcPr>
          <w:p>
            <w:r>
              <w:rPr>
                <w:rFonts w:eastAsia="Yu Gothic"/>
                <w:rFonts w:ascii="Yu Gothic" w:hAnsi="Yu Gothic"/>
                <w:b w:val="0"/>
                <w:sz w:val="18"/>
              </w:rPr>
              <w:t>複数メディア報道（朝日・日経・読売）</w:t>
            </w:r>
          </w:p>
        </w:tc>
        <w:tc>
          <w:tcPr>
            <w:tcW w:type="dxa" w:w="3135"/>
          </w:tcPr>
          <w:p>
            <w:r>
              <w:rPr>
                <w:rFonts w:eastAsia="Yu Gothic"/>
                <w:rFonts w:ascii="Yu Gothic" w:hAnsi="Yu Gothic"/>
                <w:b w:val="0"/>
                <w:sz w:val="18"/>
              </w:rPr>
              <w:t>報道ベース（IR公式確認推奨）</w:t>
            </w:r>
          </w:p>
        </w:tc>
      </w:tr>
      <w:tr>
        <w:tc>
          <w:tcPr>
            <w:tcW w:type="dxa" w:w="3135"/>
          </w:tcPr>
          <w:p>
            <w:r>
              <w:rPr>
                <w:rFonts w:eastAsia="Yu Gothic"/>
                <w:rFonts w:ascii="Yu Gothic" w:hAnsi="Yu Gothic"/>
                <w:b w:val="0"/>
                <w:sz w:val="18"/>
              </w:rPr>
              <w:t>2026年3月3日調達不能発表</w:t>
            </w:r>
          </w:p>
        </w:tc>
        <w:tc>
          <w:tcPr>
            <w:tcW w:type="dxa" w:w="3135"/>
          </w:tcPr>
          <w:p>
            <w:r>
              <w:rPr>
                <w:rFonts w:eastAsia="Yu Gothic"/>
                <w:rFonts w:ascii="Yu Gothic" w:hAnsi="Yu Gothic"/>
                <w:b w:val="0"/>
                <w:sz w:val="18"/>
              </w:rPr>
              <w:t>三菱ガス化学プレスリリース</w:t>
            </w:r>
          </w:p>
        </w:tc>
        <w:tc>
          <w:tcPr>
            <w:tcW w:type="dxa" w:w="3135"/>
          </w:tcPr>
          <w:p>
            <w:r>
              <w:rPr>
                <w:rFonts w:eastAsia="Yu Gothic"/>
                <w:rFonts w:ascii="Yu Gothic" w:hAnsi="Yu Gothic"/>
                <w:b w:val="0"/>
                <w:sz w:val="18"/>
              </w:rPr>
              <w:t>公式</w:t>
            </w:r>
          </w:p>
        </w:tc>
      </w:tr>
      <w:tr>
        <w:tc>
          <w:tcPr>
            <w:tcW w:type="dxa" w:w="3135"/>
          </w:tcPr>
          <w:p>
            <w:r>
              <w:rPr>
                <w:rFonts w:eastAsia="Yu Gothic"/>
                <w:rFonts w:ascii="Yu Gothic" w:hAnsi="Yu Gothic"/>
                <w:b w:val="0"/>
                <w:sz w:val="18"/>
              </w:rPr>
              <w:t>PBR1.41倍・ROE6.87%</w:t>
            </w:r>
          </w:p>
        </w:tc>
        <w:tc>
          <w:tcPr>
            <w:tcW w:type="dxa" w:w="3135"/>
          </w:tcPr>
          <w:p>
            <w:r>
              <w:rPr>
                <w:rFonts w:eastAsia="Yu Gothic"/>
                <w:rFonts w:ascii="Yu Gothic" w:hAnsi="Yu Gothic"/>
                <w:b w:val="0"/>
                <w:sz w:val="18"/>
              </w:rPr>
              <w:t>検索結果参照（2026年3月時点）</w:t>
            </w:r>
          </w:p>
        </w:tc>
        <w:tc>
          <w:tcPr>
            <w:tcW w:type="dxa" w:w="3135"/>
          </w:tcPr>
          <w:p>
            <w:r>
              <w:rPr>
                <w:rFonts w:eastAsia="Yu Gothic"/>
                <w:rFonts w:ascii="Yu Gothic" w:hAnsi="Yu Gothic"/>
                <w:b w:val="0"/>
                <w:sz w:val="18"/>
              </w:rPr>
              <w:t>参照値（要IR最新確認）</w:t>
            </w:r>
          </w:p>
        </w:tc>
      </w:tr>
      <w:tr>
        <w:tc>
          <w:tcPr>
            <w:tcW w:type="dxa" w:w="3135"/>
          </w:tcPr>
          <w:p>
            <w:r>
              <w:rPr>
                <w:rFonts w:eastAsia="Yu Gothic"/>
                <w:rFonts w:ascii="Yu Gothic" w:hAnsi="Yu Gothic"/>
                <w:b w:val="0"/>
                <w:sz w:val="18"/>
              </w:rPr>
              <w:t>メタノール値上げ交渉</w:t>
            </w:r>
          </w:p>
        </w:tc>
        <w:tc>
          <w:tcPr>
            <w:tcW w:type="dxa" w:w="3135"/>
          </w:tcPr>
          <w:p>
            <w:r>
              <w:rPr>
                <w:rFonts w:eastAsia="Yu Gothic"/>
                <w:rFonts w:ascii="Yu Gothic" w:hAnsi="Yu Gothic"/>
                <w:b w:val="0"/>
                <w:sz w:val="18"/>
              </w:rPr>
              <w:t>Bloomberg 2026年3月23日</w:t>
            </w:r>
          </w:p>
        </w:tc>
        <w:tc>
          <w:tcPr>
            <w:tcW w:type="dxa" w:w="3135"/>
          </w:tcPr>
          <w:p>
            <w:r>
              <w:rPr>
                <w:rFonts w:eastAsia="Yu Gothic"/>
                <w:rFonts w:ascii="Yu Gothic" w:hAnsi="Yu Gothic"/>
                <w:b w:val="0"/>
                <w:sz w:val="18"/>
              </w:rPr>
              <w:t>報道ベース</w:t>
            </w:r>
          </w:p>
        </w:tc>
      </w:tr>
      <w:tr>
        <w:tc>
          <w:tcPr>
            <w:tcW w:type="dxa" w:w="3135"/>
          </w:tcPr>
          <w:p>
            <w:r>
              <w:rPr>
                <w:rFonts w:eastAsia="Yu Gothic"/>
                <w:rFonts w:ascii="Yu Gothic" w:hAnsi="Yu Gothic"/>
                <w:b w:val="0"/>
                <w:sz w:val="18"/>
              </w:rPr>
              <w:t>配当100円/期</w:t>
            </w:r>
          </w:p>
        </w:tc>
        <w:tc>
          <w:tcPr>
            <w:tcW w:type="dxa" w:w="3135"/>
          </w:tcPr>
          <w:p>
            <w:r>
              <w:rPr>
                <w:rFonts w:eastAsia="Yu Gothic"/>
                <w:rFonts w:ascii="Yu Gothic" w:hAnsi="Yu Gothic"/>
                <w:b w:val="0"/>
                <w:sz w:val="18"/>
              </w:rPr>
              <w:t>会社方針（累進配当）</w:t>
            </w:r>
          </w:p>
        </w:tc>
        <w:tc>
          <w:tcPr>
            <w:tcW w:type="dxa" w:w="3135"/>
          </w:tcPr>
          <w:p>
            <w:r>
              <w:rPr>
                <w:rFonts w:eastAsia="Yu Gothic"/>
                <w:rFonts w:ascii="Yu Gothic" w:hAnsi="Yu Gothic"/>
                <w:b w:val="0"/>
                <w:sz w:val="18"/>
              </w:rPr>
              <w:t>公式方針</w:t>
            </w:r>
          </w:p>
        </w:tc>
      </w:tr>
      <w:tr>
        <w:tc>
          <w:tcPr>
            <w:tcW w:type="dxa" w:w="3135"/>
          </w:tcPr>
          <w:p>
            <w:r>
              <w:rPr>
                <w:rFonts w:eastAsia="Yu Gothic"/>
                <w:rFonts w:ascii="Yu Gothic" w:hAnsi="Yu Gothic"/>
                <w:b w:val="0"/>
                <w:sz w:val="18"/>
              </w:rPr>
              <w:t>WACC8.43%</w:t>
            </w:r>
          </w:p>
        </w:tc>
        <w:tc>
          <w:tcPr>
            <w:tcW w:type="dxa" w:w="3135"/>
          </w:tcPr>
          <w:p>
            <w:r>
              <w:rPr>
                <w:rFonts w:eastAsia="Yu Gothic"/>
                <w:rFonts w:ascii="Yu Gothic" w:hAnsi="Yu Gothic"/>
                <w:b w:val="0"/>
                <w:sz w:val="18"/>
              </w:rPr>
              <w:t>深井試算（Rf=2.380%固定・ERP5.5%・β1.10）</w:t>
            </w:r>
          </w:p>
        </w:tc>
        <w:tc>
          <w:tcPr>
            <w:tcW w:type="dxa" w:w="3135"/>
          </w:tcPr>
          <w:p>
            <w:r>
              <w:rPr>
                <w:rFonts w:eastAsia="Yu Gothic"/>
                <w:rFonts w:ascii="Yu Gothic" w:hAnsi="Yu Gothic"/>
                <w:b w:val="0"/>
                <w:sz w:val="18"/>
              </w:rPr>
              <w:t>内部試算</w:t>
            </w:r>
          </w:p>
        </w:tc>
      </w:tr>
      <w:tr>
        <w:tc>
          <w:tcPr>
            <w:tcW w:type="dxa" w:w="3135"/>
          </w:tcPr>
          <w:p>
            <w:r>
              <w:rPr>
                <w:rFonts w:eastAsia="Yu Gothic"/>
                <w:rFonts w:ascii="Yu Gothic" w:hAnsi="Yu Gothic"/>
                <w:b w:val="0"/>
                <w:sz w:val="18"/>
              </w:rPr>
              <w:t>TP各シナリオ</w:t>
            </w:r>
          </w:p>
        </w:tc>
        <w:tc>
          <w:tcPr>
            <w:tcW w:type="dxa" w:w="3135"/>
          </w:tcPr>
          <w:p>
            <w:r>
              <w:rPr>
                <w:rFonts w:eastAsia="Yu Gothic"/>
                <w:rFonts w:ascii="Yu Gothic" w:hAnsi="Yu Gothic"/>
                <w:b w:val="0"/>
                <w:sz w:val="18"/>
              </w:rPr>
              <w:t>深井DCF・PER法試算</w:t>
            </w:r>
          </w:p>
        </w:tc>
        <w:tc>
          <w:tcPr>
            <w:tcW w:type="dxa" w:w="3135"/>
          </w:tcPr>
          <w:p>
            <w:r>
              <w:rPr>
                <w:rFonts w:eastAsia="Yu Gothic"/>
                <w:rFonts w:ascii="Yu Gothic" w:hAnsi="Yu Gothic"/>
                <w:b w:val="0"/>
                <w:sz w:val="18"/>
              </w:rPr>
              <w:t>内部試算</w:t>
            </w:r>
          </w:p>
        </w:tc>
      </w:tr>
    </w:tbl>
    <w:p/>
    <w:p/>
    <w:p/>
    <w:p/>
    <w:p>
      <w:pPr>
        <w:spacing w:after="40"/>
      </w:pPr>
      <w:r>
        <w:rPr>
          <w:rFonts w:eastAsia="Yu Gothic"/>
          <w:rFonts w:ascii="Yu Gothic" w:hAnsi="Yu Gothic"/>
          <w:b w:val="0"/>
          <w:sz w:val="20"/>
        </w:rPr>
        <w:t>*本レポートは投資判断の参考情報であり、売買を推奨するものではありません。過去実績数値は公式開示ベースを原則としていますが、一部メディア報道・推計値を含みます。投資決定に際しては必ず公式IR資料を参照してください。*</w:t>
      </w:r>
    </w:p>
    <w:p/>
    <w:p>
      <w:pPr>
        <w:spacing w:after="40"/>
      </w:pPr>
      <w:r>
        <w:rPr>
          <w:rFonts w:eastAsia="Yu Gothic"/>
          <w:rFonts w:ascii="Yu Gothic" w:hAnsi="Yu Gothic"/>
          <w:b w:val="0"/>
          <w:sz w:val="20"/>
        </w:rPr>
        <w:t>*深井アナリスト / 竹村トレードカンパニー / 2026年4月24日*</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