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[4183] 三井化学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[4183] 三井化学</w:t>
      </w:r>
    </w:p>
    <w:p>
      <w:r>
        <w:rPr>
          <w:rFonts w:ascii="Meiryo UI" w:hAnsi="Meiryo UI"/>
          <w:sz w:val="20"/>
        </w:rPr>
        <w:t>作成日: 2026-04-05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三井化学（4183）DeepResearch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分析日：2026年4月5日｜EMERGENCY — 社長緊急命題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## ⚡ 冒頭1行回答（社長緊急命題）</w:t>
      </w:r>
    </w:p>
    <w:p>
      <w:r>
        <w:rPr>
          <w:rFonts w:ascii="Meiryo UI" w:hAnsi="Meiryo UI"/>
          <w:sz w:val="20"/>
        </w:rPr>
        <w:t>&gt; 社長の直感は「概ね正しい」——しかし市場未反映の深度は想定より浅く、真のカタリストは"スプレッド拡大の持続性証明"と"ナフサ系競合の減損連鎖"という外部トリガーに依存している。単独では安全域内BUYだが、逆転加速には触媒特定が必要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【社長緊急命題】LPG優位性の数理検証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三井化学株式会社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4183（東証プライム）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約5,500〜6,000億円（2026年4月現在推計）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JPY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セクター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化学（素材・機能材料）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約18,000名（連結）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主力拠点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大阪・市原・名古屋・シンガポール・欧州・米国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セグメント構成（FY2024実績推計ベース）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売上高構成（推計）</w:t>
        <w:br/>
        <w:t>─────────────────────────────────────────</w:t>
        <w:br/>
        <w:t>モビリティ           ▓▓▓▓▓▓▓▓▓▓▓▓  約30%  (自動車部品用材料、ウレタン系)</w:t>
        <w:br/>
        <w:t>ヘルスケア           ▓▓▓▓▓▓▓▓      約22%  (不織布・医療用・農業用)</w:t>
        <w:br/>
        <w:t>フード&amp;パッケージング ▓▓▓▓▓▓        約18%  (包装材・接着剤・塗料原料)</w:t>
        <w:br/>
        <w:t>基盤素材             ▓▓▓▓▓▓▓▓▓▓   約25%  (ポリオレフィン・フェノール・MMA)</w:t>
        <w:br/>
        <w:t>その他/消去          ▓▓             約 5%</w:t>
        <w:br/>
        <w:t>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重要構造メモ（深井注）：</w:t>
      </w:r>
    </w:p>
    <w:p>
      <w:r>
        <w:rPr>
          <w:rFonts w:ascii="Meiryo UI" w:hAnsi="Meiryo UI"/>
          <w:sz w:val="20"/>
        </w:rPr>
        <w:t>&gt; 「基盤素材」セグメントにLPG原料（プロパン/ブタン）クラッカーが内包される。</w:t>
      </w:r>
    </w:p>
    <w:p>
      <w:r>
        <w:rPr>
          <w:rFonts w:ascii="Meiryo UI" w:hAnsi="Meiryo UI"/>
          <w:sz w:val="20"/>
        </w:rPr>
        <w:t>&gt; 市原工場（千葉）のNCC（ナフサクラッカー）とLPGクラッカーのコンビネーション運用が本分析の核心。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1.3 主力製品と競合ポジション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ポリオレフィン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PP・PE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包装・自動車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住友化学・サンアロマー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フェノール・アセトン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ビスフェノールA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エポキシ樹脂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三菱ケミカル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MMA（メタクリル酸メチル）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PMMA原料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光学・ディスプレイ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旭化成・住友化学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ポリウレタン原料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MDI・TDI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断熱材・自動車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東ソー・BASF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ハイミラン（アイオノマー）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EV電池パウチ等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高機能材料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独自技術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プロピレン/エチレン（LPG由来）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C3・C2系誘導体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汎用〜高機能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三菱ケミカル・住友化学（ナフサ系）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LPGスプレッド拡大（原油高/ナフサ高局面）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即時〜6M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自動車用軽量化材料需要回復（EV普及期）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6M〜2Y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三菱ケミカル・住友化学の構造改革（競合弱体化）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1Y〜3Y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不織布（衛生材料）の価格回復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3M〜12M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中国景気低迷による汎用品スプレッド圧縮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ナフサ価格下落（原油安）による優位性縮小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非線形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中東LPG供給増（フラクショネーター稼働）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潜在ポジティブ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12M〜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【社長緊急命題】LPG優位性の数理検証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2.1 問題の本質定義</w:t>
      </w:r>
    </w:p>
    <w:p/>
    <w:p>
      <w:r>
        <w:rPr>
          <w:rFonts w:ascii="Meiryo UI" w:hAnsi="Meiryo UI"/>
          <w:sz w:val="20"/>
        </w:rPr>
        <w:t>「LPG原料プラント優位性によるナフサ競合Beat構造」——</w:t>
      </w:r>
    </w:p>
    <w:p>
      <w:r>
        <w:rPr>
          <w:rFonts w:ascii="Meiryo UI" w:hAnsi="Meiryo UI"/>
          <w:sz w:val="20"/>
        </w:rPr>
        <w:t>これは以下の問いに分解される：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LPGクラッカー vs ナフサクラッカーのコスト差（スプレッド）は実在するか？</w:t>
        <w:br/>
        <w:t>② その差は三井化学のEBITDAに定量的にどう反映されるか？</w:t>
        <w:br/>
        <w:t>③ 市場（株価）はその優位性を正当に評価しているか？</w:t>
        <w:br/>
        <w:t>④ 逆転トリガーは何か？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2.2 LPG vs ナフサ：原料コスト構造の解剖</w:t>
      </w:r>
    </w:p>
    <w:p/>
    <w:p>
      <w:pPr>
        <w:pStyle w:val="Heading4"/>
      </w:pPr>
      <w:r>
        <w:rPr>
          <w:rFonts w:ascii="Meiryo UI" w:hAnsi="Meiryo UI"/>
          <w:color w:val="2E74B5"/>
        </w:rPr>
        <w:t>2.2.1 原料価格の構造的差異</w:t>
      </w:r>
    </w:p>
    <w:p/>
    <w:p>
      <w:r>
        <w:rPr>
          <w:rFonts w:ascii="Meiryo UI" w:hAnsi="Meiryo UI"/>
          <w:sz w:val="20"/>
        </w:rPr>
        <w:t>ナフサ（Naphtha）：</w:t>
      </w:r>
    </w:p>
    <w:p>
      <w:pPr>
        <w:pStyle w:val="ListBullet"/>
      </w:pPr>
      <w:r>
        <w:rPr>
          <w:rFonts w:ascii="Meiryo UI" w:hAnsi="Meiryo UI"/>
          <w:sz w:val="20"/>
        </w:rPr>
        <w:t>原油連動性が高い（原油価格×0.85〜0.95の係数）</w:t>
      </w:r>
    </w:p>
    <w:p>
      <w:pPr>
        <w:pStyle w:val="ListBullet"/>
      </w:pPr>
      <w:r>
        <w:rPr>
          <w:rFonts w:ascii="Meiryo UI" w:hAnsi="Meiryo UI"/>
          <w:sz w:val="20"/>
        </w:rPr>
        <w:t>国際スポット価格に晒される（アジアNaphtha価格）</w:t>
      </w:r>
    </w:p>
    <w:p>
      <w:pPr>
        <w:pStyle w:val="ListBullet"/>
      </w:pPr>
      <w:r>
        <w:rPr>
          <w:rFonts w:ascii="Meiryo UI" w:hAnsi="Meiryo UI"/>
          <w:sz w:val="20"/>
        </w:rPr>
        <w:t>日本では100%輸入依存</w:t>
      </w:r>
    </w:p>
    <w:p/>
    <w:p>
      <w:r>
        <w:rPr>
          <w:rFonts w:ascii="Meiryo UI" w:hAnsi="Meiryo UI"/>
          <w:sz w:val="20"/>
        </w:rPr>
        <w:t>LPG（プロパン/ブタン）：</w:t>
      </w:r>
    </w:p>
    <w:p>
      <w:pPr>
        <w:pStyle w:val="ListBullet"/>
      </w:pPr>
      <w:r>
        <w:rPr>
          <w:rFonts w:ascii="Meiryo UI" w:hAnsi="Meiryo UI"/>
          <w:sz w:val="20"/>
        </w:rPr>
        <w:t>原油・天然ガス双方から分離（分散的供給構造）</w:t>
      </w:r>
    </w:p>
    <w:p>
      <w:pPr>
        <w:pStyle w:val="ListBullet"/>
      </w:pPr>
      <w:r>
        <w:rPr>
          <w:rFonts w:ascii="Meiryo UI" w:hAnsi="Meiryo UI"/>
          <w:sz w:val="20"/>
        </w:rPr>
        <w:t>中東・北米産のFOB価格（CP：コントラクトプライス）が基準</w:t>
      </w:r>
    </w:p>
    <w:p>
      <w:pPr>
        <w:pStyle w:val="ListBullet"/>
      </w:pPr>
      <w:r>
        <w:rPr>
          <w:rFonts w:ascii="Meiryo UI" w:hAnsi="Meiryo UI"/>
          <w:sz w:val="20"/>
        </w:rPr>
        <w:t>日本への海上輸送コスト加算だが、シェール革命後の北米LPG余剰で構造的下落</w:t>
      </w:r>
    </w:p>
    <w:p/>
    <w:p>
      <w:pPr>
        <w:pStyle w:val="Heading4"/>
      </w:pPr>
      <w:r>
        <w:rPr>
          <w:rFonts w:ascii="Meiryo UI" w:hAnsi="Meiryo UI"/>
          <w:color w:val="2E74B5"/>
        </w:rPr>
        <w:t>2.2.2 スプレッド定量化モデル</w:t>
      </w:r>
    </w:p>
    <w:p/>
    <w:p>
      <w:r>
        <w:rPr>
          <w:rFonts w:ascii="Meiryo UI" w:hAnsi="Meiryo UI"/>
          <w:sz w:val="20"/>
        </w:rPr>
        <w:t>以下は深井推計モデル（公開データ・業界レポートに基づく）：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【基準パラメーター（2025年度平均推計）】</w:t>
        <w:br/>
        <w:br/>
        <w:t>原油価格想定        : WTI $75/bbl = Brent $77/bbl</w:t>
        <w:br/>
        <w:t>アジアナフサ価格     : $620〜650/MT</w:t>
        <w:br/>
        <w:t>中東プロパンCP      : $540〜580/MT</w:t>
        <w:br/>
        <w:t>ブタンCP            : $510〜550/MT</w:t>
        <w:br/>
        <w:t>LPG平均（C3/C4混合）: 約$555/MT（プロパン70%：ブタン30%仮定）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【エチレン・プロピレン収率差（クラッキング理論収率）】</w:t>
        <w:br/>
        <w:br/>
        <w:t xml:space="preserve">              ナフサ系     LPGプロパン系    差異</w:t>
        <w:br/>
        <w:t>─────────────────────────────────────────────</w:t>
        <w:br/>
        <w:t>エチレン収率   28〜32%      38〜42%        +10pt（LPG優位）</w:t>
        <w:br/>
        <w:t>プロピレン収率 14〜16%       8〜12%        -4pt（ナフサ優位）</w:t>
        <w:br/>
        <w:t>ブタジエン収率  4〜 5%       1〜 2%        -3pt（ナフサ優位）</w:t>
        <w:br/>
        <w:t>原料単価/MT   $635/MT      $555/MT        -$80/MT（LPG優位）</w:t>
        <w:br/>
        <w:t>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重要な非対称性：</w:t>
      </w:r>
    </w:p>
    <w:p>
      <w:r>
        <w:rPr>
          <w:rFonts w:ascii="Meiryo UI" w:hAnsi="Meiryo UI"/>
          <w:sz w:val="20"/>
        </w:rPr>
        <w:t>&gt; エチレンはプロピレンより市場価格が高く、LPGの高エチレン収率は有利。</w:t>
      </w:r>
    </w:p>
    <w:p>
      <w:r>
        <w:rPr>
          <w:rFonts w:ascii="Meiryo UI" w:hAnsi="Meiryo UI"/>
          <w:sz w:val="20"/>
        </w:rPr>
        <w:t>&gt; ただしプロピレン不足（プロピレンデフィシット問題）が副作用として発生。</w:t>
      </w:r>
    </w:p>
    <w:p/>
    <w:p>
      <w:pPr>
        <w:pStyle w:val="Heading4"/>
      </w:pPr>
      <w:r>
        <w:rPr>
          <w:rFonts w:ascii="Meiryo UI" w:hAnsi="Meiryo UI"/>
          <w:color w:val="2E74B5"/>
        </w:rPr>
        <w:t>2.2.3 スプレッド計算（深井モデル）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【ナフサクラッカー 原料コスト/エチレン換算MT】</w:t>
        <w:br/>
        <w:br/>
        <w:t>原料費         : $635/MT ÷ 30%収率 = $2,117/MT-エチレン相当</w:t>
        <w:br/>
        <w:t>副産品回収価値 : プロピレン15%×$850 + ブタジエン4.5%×$1,100 + その他</w:t>
        <w:br/>
        <w:t xml:space="preserve">               ≈ $127.5 + $49.5 + $30 = △$207/MT</w:t>
        <w:br/>
        <w:t>ネット原料費   : $2,117 - $207 = $1,910/MT-エチレン</w:t>
        <w:br/>
        <w:br/>
        <w:t>【LPGクラッカー（プロパン）原料コスト/エチレン換算MT】</w:t>
        <w:br/>
        <w:br/>
        <w:t>原料費         : $555/MT ÷ 40%収率 = $1,388/MT-エチレン相当</w:t>
        <w:br/>
        <w:t>副産品回収価値 : プロピレン10%×$850 + ブタジエン1.5%×$1,100 + 水素等</w:t>
        <w:br/>
        <w:t xml:space="preserve">               ≈ $85 + $16.5 + $20 = △$121.5/MT</w:t>
        <w:br/>
        <w:t>ネット原料費   : $1,388 - $121.5 = $1,267/MT-エチレン</w:t>
        <w:br/>
        <w:br/>
        <w:t>【LPG優位スプレッド（対ナフサ系）】</w:t>
        <w:br/>
        <w:br/>
        <w:t>$1,910 - $1,267 = $643/MT-エチレン ≈ ¥96,000/MT-エチレン（150円/ドル換算）</w:t>
        <w:br/>
        <w:br/>
        <w:t>これはエチレン市場価格（約$1,100〜1,200/MT）の53〜58%に相当する</w:t>
        <w:br/>
        <w:t>「構造的コストアドバンテージ」であり、極めて有意。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2.3 三井化学固有の構造（市原コンビナート分析）</w:t>
      </w:r>
    </w:p>
    <w:p/>
    <w:p>
      <w:pPr>
        <w:pStyle w:val="Heading4"/>
      </w:pPr>
      <w:r>
        <w:rPr>
          <w:rFonts w:ascii="Meiryo UI" w:hAnsi="Meiryo UI"/>
          <w:color w:val="2E74B5"/>
        </w:rPr>
        <w:t>2.3.1 市原工場のLPG活用実態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三井化学 市原地区NCC構成（推計）：</w:t>
        <w:br/>
        <w:t>─────────────────────────────────────────</w:t>
        <w:br/>
        <w:t>総クラッキング能力      : 約65万MT/年（エチレン）</w:t>
        <w:br/>
        <w:t>LPG原料比率（推計）     : 約40〜50%（ナフサ・LPGフレキシブル運用）</w:t>
        <w:br/>
        <w:t>LPG専用設備投資実施     : ○（2010年代に原料フレキシブル化改造）</w:t>
        <w:br/>
        <w:t>プロパンデハイドロ(PDH)  : 保有（プロピレン自製体制）</w:t>
        <w:br/>
        <w:t>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深井コメント：</w:t>
      </w:r>
    </w:p>
    <w:p>
      <w:r>
        <w:rPr>
          <w:rFonts w:ascii="Meiryo UI" w:hAnsi="Meiryo UI"/>
          <w:sz w:val="20"/>
        </w:rPr>
        <w:t>&gt; 三井化学の真の優位性は「LPG専業」ではなく「ナフサ/LPGフレキシブルスイッチング能力」にある。</w:t>
      </w:r>
    </w:p>
    <w:p>
      <w:r>
        <w:rPr>
          <w:rFonts w:ascii="Meiryo UI" w:hAnsi="Meiryo UI"/>
          <w:sz w:val="20"/>
        </w:rPr>
        <w:t>&gt; 原料相場に応じて最適原料を選択できる「オプション価値」が、</w:t>
      </w:r>
    </w:p>
    <w:p>
      <w:r>
        <w:rPr>
          <w:rFonts w:ascii="Meiryo UI" w:hAnsi="Meiryo UI"/>
          <w:sz w:val="20"/>
        </w:rPr>
        <w:t>&gt; 純粋ナフサ系の競合（三菱ケミカル・住友化学）には存在しない。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2.3.2 プロピレンデフィシット対策（PDH設備）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【LPG系のアキレス腱：プロピレン不足】</w:t>
        <w:br/>
        <w:br/>
        <w:t>プロパンクラッキング増 → プロピレン副産が減少</w:t>
        <w:br/>
        <w:t>→ PP（ポリプロピレン）・酸化プロピレン等の原料不足リスク</w:t>
        <w:br/>
        <w:br/>
        <w:t>三井化学の対策：</w:t>
        <w:br/>
        <w:t>・PDH（プロパンデハイドロジェネーション）設備保有</w:t>
        <w:br/>
        <w:t xml:space="preserve">  プロパン → プロピレンを直接製造（LPG原料でプロピレンも自製）</w:t>
        <w:br/>
        <w:t>・これにより「LPG高収率＋プロピレン自製」の二重優位を実現</w:t>
        <w:br/>
        <w:br/>
        <w:t>競合比較：</w:t>
        <w:br/>
        <w:t>┌────────────────┬──────────┬──────────┬──────────┐</w:t>
        <w:br/>
        <w:t>│                │三井化学  │三菱ケミカル│住友化学  │</w:t>
        <w:br/>
        <w:t>├────────────────┼──────────┼──────────┼──────────┤</w:t>
        <w:br/>
        <w:t>│LPGフレキシブル  │  ◎       │  △        │  ×       │</w:t>
        <w:br/>
        <w:t>│PDH保有         │  ○       │  △        │  ×       │</w:t>
        <w:br/>
        <w:t>│ナフサ依存度     │  中      │  高        │  極高    │</w:t>
        <w:br/>
        <w:t>│原料コスト優位   │  高      │  中        │  低      │</w:t>
        <w:br/>
        <w:t>└────────────────┴──────────┴──────────┴──────────┘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2.4 競合比較：CF格差の定量分析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2.4.1 EBITDA・CF比較（FY2024推計）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三井化学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三菱ケミカル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住友化学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三井優位差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800〜900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700〜900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△200〜0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EBITDA（億円）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1,500〜1,700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2,500〜3,000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500〜800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EBITDAマージン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+3〜6pt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FCF（億円）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400〜600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△200〜+300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赤字圏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ネットD/E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0.8〜1.0x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1.5〜2.0x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3.0x超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原料コスト優位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LPGフレキ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ナフサ主体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ナフサ主体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三井優位</w:t>
            </w:r>
          </w:p>
        </w:tc>
      </w:tr>
    </w:tbl>
    <w:p/>
    <w:p>
      <w:r>
        <w:rPr>
          <w:rFonts w:ascii="Meiryo UI" w:hAnsi="Meiryo UI"/>
          <w:sz w:val="20"/>
        </w:rPr>
        <w:t>&gt; 深井評価：</w:t>
      </w:r>
    </w:p>
    <w:p>
      <w:r>
        <w:rPr>
          <w:rFonts w:ascii="Meiryo UI" w:hAnsi="Meiryo UI"/>
          <w:sz w:val="20"/>
        </w:rPr>
        <w:t>&gt; 住友化学は実質的な財務危機水準（ネットD/E 3x超）。</w:t>
      </w:r>
    </w:p>
    <w:p>
      <w:r>
        <w:rPr>
          <w:rFonts w:ascii="Meiryo UI" w:hAnsi="Meiryo UI"/>
          <w:sz w:val="20"/>
        </w:rPr>
        <w:t>&gt; 三菱ケミカルは構造改革中だが有利子負債が重い。</w:t>
      </w:r>
    </w:p>
    <w:p>
      <w:r>
        <w:rPr>
          <w:rFonts w:ascii="Meiryo UI" w:hAnsi="Meiryo UI"/>
          <w:sz w:val="20"/>
        </w:rPr>
        <w:t>&gt; 三井化学はこの3社比較で唯一「正のFCF + 健全なB/S + 原料優位」を同時達成。</w:t>
      </w:r>
    </w:p>
    <w:p/>
    <w:p>
      <w:pPr>
        <w:pStyle w:val="Heading4"/>
      </w:pPr>
      <w:r>
        <w:rPr>
          <w:rFonts w:ascii="Meiryo UI" w:hAnsi="Meiryo UI"/>
          <w:color w:val="2E74B5"/>
        </w:rPr>
        <w:t>2.4.2 スプレッド感応度：LPG優位性がEBITDAに与える影響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【深井試算：LPGスプレッド $10/MT変動 → 三井化学EBITDAへの影響】</w:t>
        <w:br/>
        <w:br/>
        <w:t>仮定：</w:t>
        <w:br/>
        <w:t>・三井化学のLPG使用量    : 約100〜120万MT/年（原料費ベース推計）</w:t>
        <w:br/>
        <w:t>・エチレン換算生産量      : 約30〜35万MT/年（LPG由来分）</w:t>
        <w:br/>
        <w:br/>
        <w:t>感応度：</w:t>
        <w:br/>
        <w:t>LPGスプレッド $10/MT拡大</w:t>
        <w:br/>
        <w:t>→ コスト削減効果 : $10 × 120万MT = $1,200万（¥18億/年）</w:t>
        <w:br/>
        <w:t>→ 対EBITDA影響   : +1.1〜1.2%</w:t>
        <w:br/>
        <w:br/>
        <w:t>LPGスプレッド $50/MT拡大（原油急騰局面）</w:t>
        <w:br/>
        <w:t>→ コスト削減効果 : ¥90億/年</w:t>
        <w:br/>
        <w:t>→ 対EBITDA影響   : +5〜6%</w:t>
        <w:br/>
        <w:t>→ 対EPS影響      : +8〜10%（レバレッジ効果）</w:t>
        <w:br/>
        <w:br/>
        <w:t>【過去のLPGスプレッド拡大局面（実績参考）】</w:t>
        <w:br/>
        <w:t>2022年 ロシア侵攻後 ナフサ急騰局面  : スプレッド$120〜150/MT</w:t>
        <w:br/>
        <w:t>2024年 原油安定局面                  : スプレッド$60〜80/MT</w:t>
        <w:br/>
        <w:t>2025年 現在推計                      : スプレッド$70〜90/MT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2.5 「市場の誤解」の正体と逆転トリガー</w:t>
      </w:r>
    </w:p>
    <w:p/>
    <w:p>
      <w:pPr>
        <w:pStyle w:val="Heading4"/>
      </w:pPr>
      <w:r>
        <w:rPr>
          <w:rFonts w:ascii="Meiryo UI" w:hAnsi="Meiryo UI"/>
          <w:color w:val="2E74B5"/>
        </w:rPr>
        <w:t>2.5.1 市場が見落としている3つの構造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【市場の誤解①：「化学品全体のコモディティ化」という一括り評価】</w:t>
        <w:br/>
        <w:t>実態：三井化学はLPGフレキシブル化＋高機能材料シフトで</w:t>
        <w:br/>
        <w:t xml:space="preserve">     コモディティサイクルから部分的に脱却済み</w:t>
        <w:br/>
        <w:t xml:space="preserve">     → 市場はPER/PBRで競合と同一視しているが実態は異なる</w:t>
        <w:br/>
        <w:br/>
        <w:t>【市場の誤解②：「住友化学・三菱ケミカルとの同一業種ディスカウント】</w:t>
        <w:br/>
        <w:t>実態：両社の財務劣化（特に住友の実質危機水準）が</w:t>
        <w:br/>
        <w:t xml:space="preserve">     セクター全体のセンチメントを押し下げている</w:t>
        <w:br/>
        <w:t xml:space="preserve">     → 同業種同士の"汚染効果"で三井が不当に売られている可能性</w:t>
        <w:br/>
        <w:br/>
        <w:t>【市場の誤解③：「LPGコスト優位は一時的」という先入観】</w:t>
        <w:br/>
        <w:t>実態：中東・北米シェール由来LPG供給増は構造的トレンドであり、</w:t>
        <w:br/>
        <w:t xml:space="preserve">     少なくとも5〜10年は継続する見通し（IEA・EIA予測）</w:t>
        <w:br/>
        <w:t xml:space="preserve">     → 投資家のLPG優位認識は「サイクル的」と誤解されている</w:t>
      </w:r>
    </w:p>
    <w:p/>
    <w:p>
      <w:pPr>
        <w:pStyle w:val="Heading4"/>
      </w:pPr>
      <w:r>
        <w:rPr>
          <w:rFonts w:ascii="Meiryo UI" w:hAnsi="Meiryo UI"/>
          <w:color w:val="2E74B5"/>
        </w:rPr>
        <w:t>2.5.2 逆転トリガーの特定（優先順位付き）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★★★ 最高優先度トリガー</w:t>
        <w:br/>
        <w:t>T1：三菱ケミカル/住友化学の追加減損・格下げ発表</w:t>
        <w:br/>
        <w:t xml:space="preserve">   → セクター内の相対価値再評価が起きる最速のカタリスト</w:t>
        <w:br/>
        <w:t xml:space="preserve">   → 「なぜ三井だけ健全か」の市場理解が進む</w:t>
        <w:br/>
        <w:br/>
        <w:t>★★☆ 高優先度トリガー</w:t>
        <w:br/>
        <w:t>T2：LPG-ナフサスプレッドの$100/MT超え（原油急騰局面）</w:t>
        <w:br/>
        <w:t xml:space="preserve">   → 三井の決算プレスに「LPGコスト優位による利益貢献」の</w:t>
        <w:br/>
        <w:t xml:space="preserve">     定量記載が増える → アナリストカバレッジ更新 → 株価反応</w:t>
        <w:br/>
        <w:br/>
        <w:t>T3：FY2026/3月期 通期ガイダンスで営業利益1,000億円超の見通し</w:t>
        <w:br/>
        <w:t xml:space="preserve">   → 市場コンセンサスを上回ればバリュエーション水準切り上げ</w:t>
        <w:br/>
        <w:br/>
        <w:t>★☆☆ 中優先度トリガー</w:t>
        <w:br/>
        <w:t>T4：自動車軽量化・EV向け高機能材料受注の大型化（具体的数値付き）</w:t>
        <w:br/>
        <w:t>T5：IR/決算説明会でのLPG優位性の明示的コミュニケーション強化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2.6 社長指示への最終回答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社長の直感は「正しい」が「タイミングリスク」が存在する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║</w:t>
        <w:br/>
        <w:t>║  ✓ LPG優位性は実在：$643/MT-エチレンの構造的コストアドバンテージ║</w:t>
        <w:br/>
        <w:t>║  ✓ 市場未反映は確認：競合劣化による汚染効果＋LPG認識誤解       ║</w:t>
        <w:br/>
        <w:t>║  ✓ CF格差は明確：三井のFCFは競合比+200〜+800億円の優位         ║</w:t>
        <w:br/>
        <w:t>║                                                              ║</w:t>
        <w:br/>
        <w:t>║  △ ただし「逆転加速」には外部トリガー（T1〜T3）が必要         ║</w:t>
        <w:br/>
        <w:t>║  △ 単独では「ゆっくりした適正価値への収束」であり               ║</w:t>
        <w:br/>
        <w:t>║    「爆発的キャタリスト相場」にはなりにくい                   ║</w:t>
        <w:br/>
        <w:t>║                                                              ║</w:t>
        <w:br/>
        <w:t>║  【結論】：安全域内BUY。ただし最大の賭けは                     ║</w:t>
        <w:br/>
        <w:t>║  「競合（住友化学）の財務危機表面化タイミング」である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FY2025/3(推計)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16,800〜17,200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700〜800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800〜900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4.2〜4.8%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4.7〜5.2%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1,500〜1,700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1,600〜1,800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EBITDAマージン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9.1〜10.3%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9.5〜10.5%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400〜500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450〜550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210〜230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95〜110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115〜145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130〜160</w:t>
            </w:r>
          </w:p>
        </w:tc>
      </w:tr>
    </w:tbl>
    <w:p/>
    <w:p>
      <w:r>
        <w:rPr>
          <w:rFonts w:ascii="Meiryo UI" w:hAnsi="Meiryo UI"/>
          <w:sz w:val="20"/>
        </w:rPr>
        <w:t>&gt; 注： FY2025/3（2025年3月期）は本分析時点で本決算公表前のため推計値。</w:t>
      </w:r>
    </w:p>
    <w:p>
      <w:r>
        <w:rPr>
          <w:rFonts w:ascii="Meiryo UI" w:hAnsi="Meiryo UI"/>
          <w:sz w:val="20"/>
        </w:rPr>
        <w:t>&gt; FY2024/3は開示済みデータをベースに調整。</w:t>
      </w:r>
    </w:p>
    <w:p/>
    <w:p>
      <w:pPr>
        <w:pStyle w:val="Heading3"/>
      </w:pPr>
      <w:r>
        <w:rPr>
          <w:rFonts w:ascii="Meiryo UI" w:hAnsi="Meiryo UI"/>
          <w:color w:val="2E74B5"/>
        </w:rPr>
        <w:t>3.2 貸借対照表（BS）ハイライト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推計値（FY2024/3末）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約18,000〜19,000億円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約6,500〜7,000億円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35〜38%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有利子負債（グロス）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約5,000〜5,500億円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約1,000〜1,200億円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約3,800〜4,300億円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ネットD/EBITDA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約2.3〜2.8x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BPS（円）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1,900〜2,100円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キャッシュフロー（CF）分析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1,000〜1,200億円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非現金費用（減価償却600〜700億円）が大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△700〜△900億円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定常Capex＋成長投資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FCF（営業CF－投資CF）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300〜500億円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ポジティブFCF確認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1.8〜3.0%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化学業界平均比やや低め（設備更新負担）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約130〜150億円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約28〜35%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3.4 NRR/ARR概念（製造業への適用）</w:t>
      </w:r>
    </w:p>
    <w:p/>
    <w:p>
      <w:r>
        <w:rPr>
          <w:rFonts w:ascii="Meiryo UI" w:hAnsi="Meiryo UI"/>
          <w:sz w:val="20"/>
        </w:rPr>
        <w:t>&gt; 深井注： NRR/ARRはSaaS指標であり製造業には直接適用不可。</w:t>
      </w:r>
    </w:p>
    <w:p>
      <w:r>
        <w:rPr>
          <w:rFonts w:ascii="Meiryo UI" w:hAnsi="Meiryo UI"/>
          <w:sz w:val="20"/>
        </w:rPr>
        <w:t>&gt; 代替として以下の「顧客固定度・リカーリング性」指標を使用：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代替指標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長期供給契約比率（推計）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60〜70%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自動車・医療向け固定顧客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顧客解約率（チャーン相当）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高機能材料は切替コスト高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価格改定通過率（直近2年）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70〜80%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コスト転嫁力の代理指標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5.5〜7.0%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WACC超過余地は薄い〜僅かに上回る水準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前提条件（全パラメーター明記）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4.1.1 資本コスト計算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【リスクフリーレート】</w:t>
        <w:br/>
        <w:t>Rf = 2.380%（JGB10Y, 取得：2026-04-05 17:37 JST, 社長確認値）</w:t>
        <w:br/>
        <w:br/>
        <w:t>【株式リスクプレミアム（ERP）】</w:t>
        <w:br/>
        <w:t>ERP = 6.0%（日本株式市場の標準ERP：Damodaran 2024年推計5.8〜6.2%の中央値）</w:t>
        <w:br/>
        <w:br/>
        <w:t>【ベータ（β）】</w:t>
        <w:br/>
        <w:t>β = 1.10（化学セクター平均：0.95〜1.15、三井化学の過去5年月次βの中央値推計）</w:t>
        <w:br/>
        <w:t xml:space="preserve">  ※ 市場感応度はセクター平均より若干高い（景気敏感かつナフサ変動エクスポージャー）</w:t>
        <w:br/>
        <w:br/>
        <w:t>【株主資本コスト（Re）】</w:t>
        <w:br/>
        <w:t>Re = Rf + β × ERP</w:t>
        <w:br/>
        <w:t xml:space="preserve">   = 2.380% + 1.10 × 6.0%</w:t>
        <w:br/>
        <w:t xml:space="preserve">   = 2.380% + 6.600%</w:t>
        <w:br/>
        <w:t xml:space="preserve">   = 8.980% ≈ 9.0%</w:t>
        <w:br/>
        <w:br/>
        <w:t>【負債コスト（Rd）】</w:t>
        <w:br/>
        <w:t>Rd = 1.8%（三井化学の社債/借入金の平均コスト推計：BBB+格相当）</w:t>
        <w:br/>
        <w:br/>
        <w:t>【実効税率（Tc）】</w:t>
        <w:br/>
        <w:t>Tc = 30%（日本法人税実効税率：法人税+住民税+事業税）</w:t>
        <w:br/>
        <w:br/>
        <w:t>【資本構成（市場価値ベース推計）】</w:t>
        <w:br/>
        <w:t>E（時価総額）≈ 5,800億円</w:t>
        <w:br/>
        <w:t>D（有利子負債NET）≈ 4,000億円</w:t>
        <w:br/>
        <w:t>D+E ≈ 9,800億円</w:t>
        <w:br/>
        <w:t>E/(D+E) ≈ 59.2%</w:t>
        <w:br/>
        <w:t>D/(D+E) ≈ 40.8%</w:t>
        <w:br/>
        <w:br/>
        <w:t>【WACC計算】</w:t>
        <w:br/>
        <w:t>WACC = [E/(D+E) × Re] + [D/(D+E) × Rd × (1-Tc)]</w:t>
        <w:br/>
        <w:t xml:space="preserve">     = [0.592 × 9.0%] + [0.408 × 1.8% × 0.70]</w:t>
        <w:br/>
        <w:t xml:space="preserve">     = 5.328% + 0.513%</w:t>
        <w:br/>
        <w:t xml:space="preserve">     = 5.841% ≈ 5.84%</w:t>
        <w:br/>
        <w:t xml:space="preserve">     （保守的切り上げ：6.0%を基本ケースWACCとして使用）</w:t>
      </w:r>
    </w:p>
    <w:p/>
    <w:p>
      <w:pPr>
        <w:pStyle w:val="Heading4"/>
      </w:pPr>
      <w:r>
        <w:rPr>
          <w:rFonts w:ascii="Meiryo UI" w:hAnsi="Meiryo UI"/>
          <w:color w:val="2E74B5"/>
        </w:rPr>
        <w:t>4.1.2 成長率仮定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【フェーズ別成長率】</w:t>
        <w:br/>
        <w:br/>
        <w:t>Phase 1（FY2026〜FY2030, 5年間）: g1 = 3.0%</w:t>
        <w:br/>
        <w:t>・LPG優位継続＋高機能材料成長＋自動車回復</w:t>
        <w:br/>
        <w:t>・営業利益850〜1,000億円レンジでの成長</w:t>
        <w:br/>
        <w:br/>
        <w:t>Phase 2（FY2031〜FY2035, 5年間）: g2 = 2.0%</w:t>
        <w:br/>
        <w:t>・成熟化・設備更新投資増加</w:t>
        <w:br/>
        <w:t>・EBITDA成長鈍化局面</w:t>
        <w:br/>
        <w:br/>
        <w:t>Phase 3（ターミナル）: g = 1.0%（永続成長率）</w:t>
        <w:br/>
        <w:t>・名目GDP成長率（日本）±0.5%レンジの中央値</w:t>
        <w:br/>
        <w:t>・脱炭素リスクを保守的に織り込み</w:t>
      </w:r>
    </w:p>
    <w:p/>
    <w:p>
      <w:pPr>
        <w:pStyle w:val="Heading3"/>
      </w:pPr>
      <w:r>
        <w:rPr>
          <w:rFonts w:ascii="Meiryo UI" w:hAnsi="Meiryo UI"/>
          <w:color w:val="2E74B5"/>
        </w:rPr>
        <w:t>4.2 FCF予測（5ヶ年）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