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[41860] 東応化</w:t>
      </w:r>
    </w:p>
    <w:p/>
    <w:p/>
    <w:p>
      <w:pPr>
        <w:jc w:val="center"/>
      </w:pPr>
      <w:r>
        <w:rPr>
          <w:rFonts w:ascii="Meiryo UI" w:hAnsi="Meiryo UI"/>
          <w:sz w:val="24"/>
        </w:rPr>
        <w:t>アナリスト：深井</w:t>
      </w:r>
    </w:p>
    <w:p>
      <w:pPr>
        <w:jc w:val="center"/>
      </w:pPr>
      <w:r>
        <w:rPr>
          <w:rFonts w:ascii="Meiryo UI" w:hAnsi="Meiryo UI"/>
          <w:sz w:val="24"/>
        </w:rPr>
        <w:t>分析日：2026-04-04</w:t>
      </w:r>
    </w:p>
    <w:p>
      <w:r>
        <w:br w:type="page"/>
      </w:r>
    </w:p>
    <w:p>
      <w:pPr>
        <w:pStyle w:val="Heading1"/>
      </w:pPr>
      <w:r>
        <w:rPr>
          <w:rFonts w:ascii="Meiryo UI" w:hAnsi="Meiryo UI"/>
          <w:color w:val="1F3864"/>
        </w:rPr>
        <w:t>深井 DeepResearchレポート — [41860] 東応化</w:t>
      </w:r>
    </w:p>
    <w:p>
      <w:r>
        <w:rPr>
          <w:rFonts w:ascii="Meiryo UI" w:hAnsi="Meiryo UI"/>
          <w:sz w:val="20"/>
        </w:rPr>
        <w:t>作成日: 2026-04-04  |  アナリスト: 深井  |  分類: BUY</w:t>
      </w:r>
    </w:p>
    <w:p>
      <w:r>
        <w:rPr>
          <w:rFonts w:ascii="Meiryo UI" w:hAnsi="Meiryo UI"/>
          <w:sz w:val="20"/>
        </w:rPr>
        <w:t>浅井スコア: +72  |  ソース: TDnet + 公開情報 + 浅井マスターDB</w:t>
      </w:r>
    </w:p>
    <w:p/>
    <w:p>
      <w:r>
        <w:t>──────────────────────────────────────────────────</w:t>
      </w:r>
    </w:p>
    <w:p/>
    <w:p>
      <w:pPr>
        <w:pStyle w:val="Heading1"/>
      </w:pPr>
      <w:r>
        <w:rPr>
          <w:rFonts w:ascii="Meiryo UI" w:hAnsi="Meiryo UI"/>
          <w:color w:val="1F3864"/>
        </w:rPr>
        <w:t>竹村トレードカンパニー｜DeepResearchレポート</w:t>
      </w:r>
    </w:p>
    <w:p/>
    <w:p>
      <w:r>
        <w:rPr>
          <w:rFonts w:ascii="Meiryo UI" w:hAnsi="Meiryo UI"/>
          <w:sz w:val="20"/>
        </w:rPr>
        <w:t>アナリスト：深井（財務諸表・DCFバリュエーション担当）</w:t>
      </w:r>
    </w:p>
    <w:p>
      <w:r>
        <w:rPr>
          <w:rFonts w:ascii="Meiryo UI" w:hAnsi="Meiryo UI"/>
          <w:sz w:val="20"/>
        </w:rPr>
        <w:t>分析日：2026年4月4日</w:t>
      </w:r>
    </w:p>
    <w:p>
      <w:r>
        <w:rPr>
          <w:rFonts w:ascii="Meiryo UI" w:hAnsi="Meiryo UI"/>
          <w:sz w:val="20"/>
        </w:rPr>
        <w:t>対象銘柄：東応化（ティッカー：4186 ※東証上場）</w:t>
      </w:r>
    </w:p>
    <w:p>
      <w:r>
        <w:rPr>
          <w:rFonts w:ascii="Meiryo UI" w:hAnsi="Meiryo UI"/>
          <w:sz w:val="20"/>
        </w:rPr>
        <w:t>レポートグレード：DEEP RESEARCH / CONFIDENTIAL</w:t>
      </w:r>
    </w:p>
    <w:p/>
    <w:p>
      <w:r>
        <w:t>──────────────────────────────────────────────────</w:t>
      </w:r>
    </w:p>
    <w:p/>
    <w:p>
      <w:r>
        <w:rPr>
          <w:rFonts w:ascii="Meiryo UI" w:hAnsi="Meiryo UI"/>
          <w:sz w:val="20"/>
        </w:rPr>
        <w:t>&gt; ⚠️ 免責事項：本レポートは竹村トレードカンパニー内部分析用資料です。公開情報・業界知識に基づく推計を含みます。投資判断は最終的にご自身の責任で行ってください。なお、ティッカー「41860」は「4186」（東京応化工業）と解釈して分析を実施します。</w:t>
      </w:r>
    </w:p>
    <w:p/>
    <w:p>
      <w:r>
        <w:t>──────────────────────────────────────────────────</w:t>
      </w:r>
    </w:p>
    <w:p/>
    <w:p>
      <w:pPr>
        <w:pStyle w:val="Heading2"/>
      </w:pPr>
      <w:r>
        <w:rPr>
          <w:rFonts w:ascii="Meiryo UI" w:hAnsi="Meiryo UI"/>
          <w:color w:val="2E74B5"/>
        </w:rPr>
        <w:t>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銘柄名</w:t>
            </w:r>
          </w:p>
        </w:tc>
        <w:tc>
          <w:tcPr>
            <w:tcW w:type="dxa" w:w="4703"/>
          </w:tcPr>
          <w:p>
            <w:r>
              <w:rPr>
                <w:rFonts w:ascii="Meiryo UI" w:hAnsi="Meiryo UI"/>
                <w:sz w:val="18"/>
              </w:rPr>
              <w:t>東京応化工業株式会社（Tokyo Ohka Kogyo / TOK）</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4186（東証プライム）</w:t>
            </w:r>
          </w:p>
        </w:tc>
      </w:tr>
      <w:tr>
        <w:tc>
          <w:tcPr>
            <w:tcW w:type="dxa" w:w="4703"/>
          </w:tcPr>
          <w:p>
            <w:r>
              <w:rPr>
                <w:rFonts w:ascii="Meiryo UI" w:hAnsi="Meiryo UI"/>
                <w:sz w:val="18"/>
              </w:rPr>
              <w:t>分析日</w:t>
            </w:r>
          </w:p>
        </w:tc>
        <w:tc>
          <w:tcPr>
            <w:tcW w:type="dxa" w:w="4703"/>
          </w:tcPr>
          <w:p>
            <w:r>
              <w:rPr>
                <w:rFonts w:ascii="Meiryo UI" w:hAnsi="Meiryo UI"/>
                <w:sz w:val="18"/>
              </w:rPr>
              <w:t>2026年4月4日</w:t>
            </w:r>
          </w:p>
        </w:tc>
      </w:tr>
      <w:tr>
        <w:tc>
          <w:tcPr>
            <w:tcW w:type="dxa" w:w="4703"/>
            <w:shd w:val="clear" w:color="auto" w:fill="DDEBF7"/>
          </w:tcPr>
          <w:p>
            <w:r>
              <w:rPr>
                <w:rFonts w:ascii="Meiryo UI" w:hAnsi="Meiryo UI"/>
                <w:sz w:val="18"/>
              </w:rPr>
              <w:t>浅井速報スコア</w:t>
            </w:r>
          </w:p>
        </w:tc>
        <w:tc>
          <w:tcPr>
            <w:tcW w:type="dxa" w:w="4703"/>
            <w:shd w:val="clear" w:color="auto" w:fill="DDEBF7"/>
          </w:tcPr>
          <w:p>
            <w:r>
              <w:rPr>
                <w:rFonts w:ascii="Meiryo UI" w:hAnsi="Meiryo UI"/>
                <w:sz w:val="18"/>
              </w:rPr>
              <w:t>+72（BUY）</w:t>
            </w:r>
          </w:p>
        </w:tc>
      </w:tr>
      <w:tr>
        <w:tc>
          <w:tcPr>
            <w:tcW w:type="dxa" w:w="4703"/>
          </w:tcPr>
          <w:p>
            <w:r>
              <w:rPr>
                <w:rFonts w:ascii="Meiryo UI" w:hAnsi="Meiryo UI"/>
                <w:sz w:val="18"/>
              </w:rPr>
              <w:t>深井理論株価（DCF中央値）</w:t>
            </w:r>
          </w:p>
        </w:tc>
        <w:tc>
          <w:tcPr>
            <w:tcW w:type="dxa" w:w="4703"/>
          </w:tcPr>
          <w:p>
            <w:r>
              <w:rPr>
                <w:rFonts w:ascii="Meiryo UI" w:hAnsi="Meiryo UI"/>
                <w:sz w:val="18"/>
              </w:rPr>
              <w:t>¥6,800〜¥8,200（レンジ提示）</w:t>
            </w:r>
          </w:p>
        </w:tc>
      </w:tr>
      <w:tr>
        <w:tc>
          <w:tcPr>
            <w:tcW w:type="dxa" w:w="4703"/>
            <w:shd w:val="clear" w:color="auto" w:fill="DDEBF7"/>
          </w:tcPr>
          <w:p>
            <w:r>
              <w:rPr>
                <w:rFonts w:ascii="Meiryo UI" w:hAnsi="Meiryo UI"/>
                <w:sz w:val="18"/>
              </w:rPr>
              <w:t>投資判断</w:t>
            </w:r>
          </w:p>
        </w:tc>
        <w:tc>
          <w:tcPr>
            <w:tcW w:type="dxa" w:w="4703"/>
            <w:shd w:val="clear" w:color="auto" w:fill="DDEBF7"/>
          </w:tcPr>
          <w:p>
            <w:r>
              <w:rPr>
                <w:rFonts w:ascii="Meiryo UI" w:hAnsi="Meiryo UI"/>
                <w:sz w:val="18"/>
              </w:rPr>
              <w:t>★★★★☆ 買い（BUY）</w:t>
            </w:r>
          </w:p>
        </w:tc>
      </w:tr>
      <w:tr>
        <w:tc>
          <w:tcPr>
            <w:tcW w:type="dxa" w:w="4703"/>
          </w:tcPr>
          <w:p>
            <w:r>
              <w:rPr>
                <w:rFonts w:ascii="Meiryo UI" w:hAnsi="Meiryo UI"/>
                <w:sz w:val="18"/>
              </w:rPr>
              <w:t>目標株価（12ヶ月）</w:t>
            </w:r>
          </w:p>
        </w:tc>
        <w:tc>
          <w:tcPr>
            <w:tcW w:type="dxa" w:w="4703"/>
          </w:tcPr>
          <w:p>
            <w:r>
              <w:rPr>
                <w:rFonts w:ascii="Meiryo UI" w:hAnsi="Meiryo UI"/>
                <w:sz w:val="18"/>
              </w:rPr>
              <w:t>¥7,800</w:t>
            </w:r>
          </w:p>
        </w:tc>
      </w:tr>
      <w:tr>
        <w:tc>
          <w:tcPr>
            <w:tcW w:type="dxa" w:w="4703"/>
            <w:shd w:val="clear" w:color="auto" w:fill="DDEBF7"/>
          </w:tcPr>
          <w:p>
            <w:r>
              <w:rPr>
                <w:rFonts w:ascii="Meiryo UI" w:hAnsi="Meiryo UI"/>
                <w:sz w:val="18"/>
              </w:rPr>
              <w:t>想定上値（強気）</w:t>
            </w:r>
          </w:p>
        </w:tc>
        <w:tc>
          <w:tcPr>
            <w:tcW w:type="dxa" w:w="4703"/>
            <w:shd w:val="clear" w:color="auto" w:fill="DDEBF7"/>
          </w:tcPr>
          <w:p>
            <w:r>
              <w:rPr>
                <w:rFonts w:ascii="Meiryo UI" w:hAnsi="Meiryo UI"/>
                <w:sz w:val="18"/>
              </w:rPr>
              <w:t>¥9,200</w:t>
            </w:r>
          </w:p>
        </w:tc>
      </w:tr>
      <w:tr>
        <w:tc>
          <w:tcPr>
            <w:tcW w:type="dxa" w:w="4703"/>
          </w:tcPr>
          <w:p>
            <w:r>
              <w:rPr>
                <w:rFonts w:ascii="Meiryo UI" w:hAnsi="Meiryo UI"/>
                <w:sz w:val="18"/>
              </w:rPr>
              <w:t>損切りライン</w:t>
            </w:r>
          </w:p>
        </w:tc>
        <w:tc>
          <w:tcPr>
            <w:tcW w:type="dxa" w:w="4703"/>
          </w:tcPr>
          <w:p>
            <w:r>
              <w:rPr>
                <w:rFonts w:ascii="Meiryo UI" w:hAnsi="Meiryo UI"/>
                <w:sz w:val="18"/>
              </w:rPr>
              <w:t>現在株価 ▲15%</w:t>
            </w:r>
          </w:p>
        </w:tc>
      </w:tr>
      <w:tr>
        <w:tc>
          <w:tcPr>
            <w:tcW w:type="dxa" w:w="4703"/>
            <w:shd w:val="clear" w:color="auto" w:fill="DDEBF7"/>
          </w:tcPr>
          <w:p>
            <w:r>
              <w:rPr>
                <w:rFonts w:ascii="Meiryo UI" w:hAnsi="Meiryo UI"/>
                <w:sz w:val="18"/>
              </w:rPr>
              <w:t>推奨時間軸</w:t>
            </w:r>
          </w:p>
        </w:tc>
        <w:tc>
          <w:tcPr>
            <w:tcW w:type="dxa" w:w="4703"/>
            <w:shd w:val="clear" w:color="auto" w:fill="DDEBF7"/>
          </w:tcPr>
          <w:p>
            <w:r>
              <w:rPr>
                <w:rFonts w:ascii="Meiryo UI" w:hAnsi="Meiryo UI"/>
                <w:sz w:val="18"/>
              </w:rPr>
              <w:t>6〜18ヶ月</w:t>
            </w:r>
          </w:p>
        </w:tc>
      </w:tr>
    </w:tbl>
    <w:p/>
    <w:p>
      <w:r>
        <w:rPr>
          <w:rFonts w:ascii="Meiryo UI" w:hAnsi="Meiryo UI"/>
          <w:sz w:val="20"/>
        </w:rPr>
        <w:t>コアテーゼ：半導体製造工程におけるフォトレジストの世界トップシェアプレイヤーとして、AI/HBM/EUV需要の構造的追い風を受ける。株式分割・増配・自己株式処分による株主還元の積極化がカタリストとして重なり、センチメント・ファンダメンタルズ双方から上昇余地あり。</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会社概要</w:t>
      </w:r>
    </w:p>
    <w:p/>
    <w:p>
      <w:r>
        <w:rPr>
          <w:rFonts w:ascii="Meiryo UI" w:hAnsi="Meiryo UI"/>
          <w:sz w:val="20"/>
        </w:rPr>
        <w:t>東京応化工業（以下「TOK」）は1936年創業、神奈川県川崎市に本社を置く半導体・電子材料の専業メーカー。連結売上高は約1,800〜1,900億円規模（FY2025実績ベース推計）。</w:t>
      </w:r>
    </w:p>
    <w:p/>
    <w:p>
      <w:r>
        <w:rPr>
          <w:rFonts w:ascii="Meiryo UI" w:hAnsi="Meiryo UI"/>
          <w:sz w:val="20"/>
        </w:rPr>
        <w:t>中核バリュープロポジション：</w:t>
      </w:r>
    </w:p>
    <w:p>
      <w:pPr>
        <w:pStyle w:val="ListBullet"/>
      </w:pPr>
      <w:r>
        <w:rPr>
          <w:rFonts w:ascii="Meiryo UI" w:hAnsi="Meiryo UI"/>
          <w:sz w:val="20"/>
        </w:rPr>
        <w:t>半導体製造の最上流工程「リソグラフィ」に不可欠なフォトレジストを中心に、極めて高い技術的参入障壁を形成</w:t>
      </w:r>
    </w:p>
    <w:p>
      <w:pPr>
        <w:pStyle w:val="ListBullet"/>
      </w:pPr>
      <w:r>
        <w:rPr>
          <w:rFonts w:ascii="Meiryo UI" w:hAnsi="Meiryo UI"/>
          <w:sz w:val="20"/>
        </w:rPr>
        <w:t>EUV（極端紫外線）対応レジストにおいてASML/TSMC/Samsung等と密接な開発パートナーシップ</w:t>
      </w:r>
    </w:p>
    <w:p/>
    <w:p>
      <w:r>
        <w:t>──────────────────────────────────────────────────</w:t>
      </w:r>
    </w:p>
    <w:p/>
    <w:p>
      <w:pPr>
        <w:pStyle w:val="Heading3"/>
      </w:pPr>
      <w:r>
        <w:rPr>
          <w:rFonts w:ascii="Meiryo UI" w:hAnsi="Meiryo UI"/>
          <w:color w:val="2E74B5"/>
        </w:rPr>
        <w:t>1.2 セグメント・プロダクト構成</w:t>
      </w:r>
    </w:p>
    <w:p/>
    <w:p>
      <w:pPr>
        <w:shd w:val="clear" w:color="auto" w:fill="F2F2F2"/>
      </w:pPr>
      <w:r>
        <w:rPr>
          <w:rFonts w:ascii="Courier New" w:hAnsi="Courier New"/>
          <w:sz w:val="16"/>
        </w:rPr>
        <w:t>TOK セグメント構成（売上高比率・推計）</w:t>
        <w:br/>
        <w:t>├── 機能材料事業（約85%）</w:t>
        <w:br/>
        <w:t>│   ├── フォトレジスト（半導体用）       ～60%  ← 最重要</w:t>
        <w:br/>
        <w:t>│   │   ├── ArF液浸レジスト</w:t>
        <w:br/>
        <w:t>│   │   ├── EUVレジスト（次世代・成長ドライバ）</w:t>
        <w:br/>
        <w:t>│   │   └── KrFレジスト</w:t>
        <w:br/>
        <w:t>│   ├── プロセス薬品（現像液・剥離液等）  ～15%</w:t>
        <w:br/>
        <w:t>│   ├── ディスプレイ用材料               ～5%</w:t>
        <w:br/>
        <w:t>│   └── その他機能材料                   ～5%</w:t>
        <w:br/>
        <w:t>└── 装置事業（約15%）</w:t>
        <w:br/>
        <w:t xml:space="preserve">    ├── 半導体製造装置（コータ・デベロッパ）</w:t>
        <w:br/>
        <w:t xml:space="preserve">    └── 関連サービス・部品</w:t>
      </w:r>
    </w:p>
    <w:p/>
    <w:p>
      <w:r>
        <w:rPr>
          <w:rFonts w:ascii="Meiryo UI" w:hAnsi="Meiryo UI"/>
          <w:sz w:val="20"/>
        </w:rPr>
        <w:t>注目点：</w:t>
      </w:r>
    </w:p>
    <w:p>
      <w:pPr>
        <w:pStyle w:val="ListBullet"/>
      </w:pPr>
      <w:r>
        <w:rPr>
          <w:rFonts w:ascii="Meiryo UI" w:hAnsi="Meiryo UI"/>
          <w:sz w:val="20"/>
        </w:rPr>
        <w:t>フォトレジスト単品で世界シェア推計25〜30%（JSR、信越化学と並ぶトップ3）</w:t>
      </w:r>
    </w:p>
    <w:p>
      <w:pPr>
        <w:pStyle w:val="ListBullet"/>
      </w:pPr>
      <w:r>
        <w:rPr>
          <w:rFonts w:ascii="Meiryo UI" w:hAnsi="Meiryo UI"/>
          <w:sz w:val="20"/>
        </w:rPr>
        <w:t>EUVレジストは現在最も競争が少ないニッチ——対応できるメーカーが世界で数社のみ</w:t>
      </w:r>
    </w:p>
    <w:p>
      <w:pPr>
        <w:pStyle w:val="ListBullet"/>
      </w:pPr>
      <w:r>
        <w:rPr>
          <w:rFonts w:ascii="Meiryo UI" w:hAnsi="Meiryo UI"/>
          <w:sz w:val="20"/>
        </w:rPr>
        <w:t>装置事業はレジスト販売と「抱き合わせ」になるため、顧客ロックインに貢献</w:t>
      </w:r>
    </w:p>
    <w:p/>
    <w:p>
      <w:r>
        <w:t>──────────────────────────────────────────────────</w:t>
      </w:r>
    </w:p>
    <w:p/>
    <w:p>
      <w:pPr>
        <w:pStyle w:val="Heading3"/>
      </w:pPr>
      <w:r>
        <w:rPr>
          <w:rFonts w:ascii="Meiryo UI" w:hAnsi="Meiryo UI"/>
          <w:color w:val="2E74B5"/>
        </w:rPr>
        <w:t>1.3 競合優位性（モート分析）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モートの種類</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技術的差別化</w:t>
            </w:r>
          </w:p>
        </w:tc>
        <w:tc>
          <w:tcPr>
            <w:tcW w:type="dxa" w:w="3135"/>
          </w:tcPr>
          <w:p>
            <w:r>
              <w:rPr>
                <w:rFonts w:ascii="Meiryo UI" w:hAnsi="Meiryo UI"/>
                <w:sz w:val="18"/>
              </w:rPr>
              <w:t>◎</w:t>
            </w:r>
          </w:p>
        </w:tc>
        <w:tc>
          <w:tcPr>
            <w:tcW w:type="dxa" w:w="3135"/>
          </w:tcPr>
          <w:p>
            <w:r>
              <w:rPr>
                <w:rFonts w:ascii="Meiryo UI" w:hAnsi="Meiryo UI"/>
                <w:sz w:val="18"/>
              </w:rPr>
              <w:t>EUVレジストの研究開発は10年超の蓄積、後発の追随困難</w:t>
            </w:r>
          </w:p>
        </w:tc>
      </w:tr>
      <w:tr>
        <w:tc>
          <w:tcPr>
            <w:tcW w:type="dxa" w:w="3135"/>
            <w:shd w:val="clear" w:color="auto" w:fill="DDEBF7"/>
          </w:tcPr>
          <w:p>
            <w:r>
              <w:rPr>
                <w:rFonts w:ascii="Meiryo UI" w:hAnsi="Meiryo UI"/>
                <w:sz w:val="18"/>
              </w:rPr>
              <w:t>顧客スイッチングコスト</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製造ラインへの適合認証に数年〜数十億円規模のコスト</w:t>
            </w:r>
          </w:p>
        </w:tc>
      </w:tr>
      <w:tr>
        <w:tc>
          <w:tcPr>
            <w:tcW w:type="dxa" w:w="3135"/>
          </w:tcPr>
          <w:p>
            <w:r>
              <w:rPr>
                <w:rFonts w:ascii="Meiryo UI" w:hAnsi="Meiryo UI"/>
                <w:sz w:val="18"/>
              </w:rPr>
              <w:t>スケールメリット</w:t>
            </w:r>
          </w:p>
        </w:tc>
        <w:tc>
          <w:tcPr>
            <w:tcW w:type="dxa" w:w="3135"/>
          </w:tcPr>
          <w:p>
            <w:r>
              <w:rPr>
                <w:rFonts w:ascii="Meiryo UI" w:hAnsi="Meiryo UI"/>
                <w:sz w:val="18"/>
              </w:rPr>
              <w:t>○</w:t>
            </w:r>
          </w:p>
        </w:tc>
        <w:tc>
          <w:tcPr>
            <w:tcW w:type="dxa" w:w="3135"/>
          </w:tcPr>
          <w:p>
            <w:r>
              <w:rPr>
                <w:rFonts w:ascii="Meiryo UI" w:hAnsi="Meiryo UI"/>
                <w:sz w:val="18"/>
              </w:rPr>
              <w:t>大量生産ノウハウ・川崎・熊本・海外工場</w:t>
            </w:r>
          </w:p>
        </w:tc>
      </w:tr>
      <w:tr>
        <w:tc>
          <w:tcPr>
            <w:tcW w:type="dxa" w:w="3135"/>
            <w:shd w:val="clear" w:color="auto" w:fill="DDEBF7"/>
          </w:tcPr>
          <w:p>
            <w:r>
              <w:rPr>
                <w:rFonts w:ascii="Meiryo UI" w:hAnsi="Meiryo UI"/>
                <w:sz w:val="18"/>
              </w:rPr>
              <w:t>規制・認証障壁</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半導体材料は供給者変更に顧客側の莫大な再認証が必要</w:t>
            </w:r>
          </w:p>
        </w:tc>
      </w:tr>
      <w:tr>
        <w:tc>
          <w:tcPr>
            <w:tcW w:type="dxa" w:w="3135"/>
          </w:tcPr>
          <w:p>
            <w:r>
              <w:rPr>
                <w:rFonts w:ascii="Meiryo UI" w:hAnsi="Meiryo UI"/>
                <w:sz w:val="18"/>
              </w:rPr>
              <w:t>地政学的ポジション</w:t>
            </w:r>
          </w:p>
        </w:tc>
        <w:tc>
          <w:tcPr>
            <w:tcW w:type="dxa" w:w="3135"/>
          </w:tcPr>
          <w:p>
            <w:r>
              <w:rPr>
                <w:rFonts w:ascii="Meiryo UI" w:hAnsi="Meiryo UI"/>
                <w:sz w:val="18"/>
              </w:rPr>
              <w:t>△</w:t>
            </w:r>
          </w:p>
        </w:tc>
        <w:tc>
          <w:tcPr>
            <w:tcW w:type="dxa" w:w="3135"/>
          </w:tcPr>
          <w:p>
            <w:r>
              <w:rPr>
                <w:rFonts w:ascii="Meiryo UI" w:hAnsi="Meiryo UI"/>
                <w:sz w:val="18"/>
              </w:rPr>
              <w:t>日本製材料への依存（強みでもありリスクでもある）</w:t>
            </w:r>
          </w:p>
        </w:tc>
      </w:tr>
    </w:tbl>
    <w:p/>
    <w:p>
      <w:r>
        <w:t>──────────────────────────────────────────────────</w:t>
      </w:r>
    </w:p>
    <w:p/>
    <w:p>
      <w:pPr>
        <w:pStyle w:val="Heading3"/>
      </w:pPr>
      <w:r>
        <w:rPr>
          <w:rFonts w:ascii="Meiryo UI" w:hAnsi="Meiryo UI"/>
          <w:color w:val="2E74B5"/>
        </w:rPr>
        <w:t>1.4 直近カタリスト（分析時点）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重要度</w:t>
            </w:r>
          </w:p>
        </w:tc>
        <w:tc>
          <w:tcPr>
            <w:tcW w:type="dxa" w:w="3135"/>
            <w:shd w:val="clear" w:color="auto" w:fill="2E74B5"/>
          </w:tcPr>
          <w:p>
            <w:r>
              <w:rPr>
                <w:rFonts w:ascii="Meiryo UI" w:hAnsi="Meiryo UI"/>
                <w:b/>
                <w:color w:val="FFFFFF"/>
                <w:sz w:val="18"/>
              </w:rPr>
              <w:t>タイムライン</w:t>
            </w:r>
          </w:p>
        </w:tc>
      </w:tr>
      <w:tr>
        <w:tc>
          <w:tcPr>
            <w:tcW w:type="dxa" w:w="3135"/>
          </w:tcPr>
          <w:p>
            <w:r>
              <w:rPr>
                <w:rFonts w:ascii="Meiryo UI" w:hAnsi="Meiryo UI"/>
                <w:sz w:val="18"/>
              </w:rPr>
              <w:t>株式分割の実施</w:t>
            </w:r>
          </w:p>
        </w:tc>
        <w:tc>
          <w:tcPr>
            <w:tcW w:type="dxa" w:w="3135"/>
          </w:tcPr>
          <w:p>
            <w:r>
              <w:rPr>
                <w:rFonts w:ascii="Meiryo UI" w:hAnsi="Meiryo UI"/>
                <w:sz w:val="18"/>
              </w:rPr>
              <w:t>★★★★★</w:t>
            </w:r>
          </w:p>
        </w:tc>
        <w:tc>
          <w:tcPr>
            <w:tcW w:type="dxa" w:w="3135"/>
          </w:tcPr>
          <w:p>
            <w:r>
              <w:rPr>
                <w:rFonts w:ascii="Meiryo UI" w:hAnsi="Meiryo UI"/>
                <w:sz w:val="18"/>
              </w:rPr>
              <w:t>2026年上半期実施</w:t>
            </w:r>
          </w:p>
        </w:tc>
      </w:tr>
      <w:tr>
        <w:tc>
          <w:tcPr>
            <w:tcW w:type="dxa" w:w="3135"/>
            <w:shd w:val="clear" w:color="auto" w:fill="DDEBF7"/>
          </w:tcPr>
          <w:p>
            <w:r>
              <w:rPr>
                <w:rFonts w:ascii="Meiryo UI" w:hAnsi="Meiryo UI"/>
                <w:sz w:val="18"/>
              </w:rPr>
              <w:t>中間配当実施・増配発表</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2026年上半期</w:t>
            </w:r>
          </w:p>
        </w:tc>
      </w:tr>
      <w:tr>
        <w:tc>
          <w:tcPr>
            <w:tcW w:type="dxa" w:w="3135"/>
          </w:tcPr>
          <w:p>
            <w:r>
              <w:rPr>
                <w:rFonts w:ascii="Meiryo UI" w:hAnsi="Meiryo UI"/>
                <w:sz w:val="18"/>
              </w:rPr>
              <w:t>譲渡制限付株式報酬（自己株式処分）</w:t>
            </w:r>
          </w:p>
        </w:tc>
        <w:tc>
          <w:tcPr>
            <w:tcW w:type="dxa" w:w="3135"/>
          </w:tcPr>
          <w:p>
            <w:r>
              <w:rPr>
                <w:rFonts w:ascii="Meiryo UI" w:hAnsi="Meiryo UI"/>
                <w:sz w:val="18"/>
              </w:rPr>
              <w:t>★★★☆☆</w:t>
            </w:r>
          </w:p>
        </w:tc>
        <w:tc>
          <w:tcPr>
            <w:tcW w:type="dxa" w:w="3135"/>
          </w:tcPr>
          <w:p>
            <w:r>
              <w:rPr>
                <w:rFonts w:ascii="Meiryo UI" w:hAnsi="Meiryo UI"/>
                <w:sz w:val="18"/>
              </w:rPr>
              <w:t>2026年上期（トリガー）</w:t>
            </w:r>
          </w:p>
        </w:tc>
      </w:tr>
      <w:tr>
        <w:tc>
          <w:tcPr>
            <w:tcW w:type="dxa" w:w="3135"/>
            <w:shd w:val="clear" w:color="auto" w:fill="DDEBF7"/>
          </w:tcPr>
          <w:p>
            <w:r>
              <w:rPr>
                <w:rFonts w:ascii="Meiryo UI" w:hAnsi="Meiryo UI"/>
                <w:sz w:val="18"/>
              </w:rPr>
              <w:t>Q1決算開示（業績確認）</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2026年5月予定</w:t>
            </w:r>
          </w:p>
        </w:tc>
      </w:tr>
      <w:tr>
        <w:tc>
          <w:tcPr>
            <w:tcW w:type="dxa" w:w="3135"/>
          </w:tcPr>
          <w:p>
            <w:r>
              <w:rPr>
                <w:rFonts w:ascii="Meiryo UI" w:hAnsi="Meiryo UI"/>
                <w:sz w:val="18"/>
              </w:rPr>
              <w:t>AI半導体需要拡大によるEUVレジスト需要増</w:t>
            </w:r>
          </w:p>
        </w:tc>
        <w:tc>
          <w:tcPr>
            <w:tcW w:type="dxa" w:w="3135"/>
          </w:tcPr>
          <w:p>
            <w:r>
              <w:rPr>
                <w:rFonts w:ascii="Meiryo UI" w:hAnsi="Meiryo UI"/>
                <w:sz w:val="18"/>
              </w:rPr>
              <w:t>★★★★★</w:t>
            </w:r>
          </w:p>
        </w:tc>
        <w:tc>
          <w:tcPr>
            <w:tcW w:type="dxa" w:w="3135"/>
          </w:tcPr>
          <w:p>
            <w:r>
              <w:rPr>
                <w:rFonts w:ascii="Meiryo UI" w:hAnsi="Meiryo UI"/>
                <w:sz w:val="18"/>
              </w:rPr>
              <w:t>継続的・中長期</w:t>
            </w:r>
          </w:p>
        </w:tc>
      </w:tr>
      <w:tr>
        <w:tc>
          <w:tcPr>
            <w:tcW w:type="dxa" w:w="3135"/>
            <w:shd w:val="clear" w:color="auto" w:fill="DDEBF7"/>
          </w:tcPr>
          <w:p>
            <w:r>
              <w:rPr>
                <w:rFonts w:ascii="Meiryo UI" w:hAnsi="Meiryo UI"/>
                <w:sz w:val="18"/>
              </w:rPr>
              <w:t>熊本（TSMC Japan）向け供給開始</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2025〜2026年本格化</w:t>
            </w:r>
          </w:p>
        </w:tc>
      </w:tr>
      <w:tr>
        <w:tc>
          <w:tcPr>
            <w:tcW w:type="dxa" w:w="3135"/>
          </w:tcPr>
          <w:p>
            <w:r>
              <w:rPr>
                <w:rFonts w:ascii="Meiryo UI" w:hAnsi="Meiryo UI"/>
                <w:sz w:val="18"/>
              </w:rPr>
              <w:t>HBM向け特殊レジスト需要</w:t>
            </w:r>
          </w:p>
        </w:tc>
        <w:tc>
          <w:tcPr>
            <w:tcW w:type="dxa" w:w="3135"/>
          </w:tcPr>
          <w:p>
            <w:r>
              <w:rPr>
                <w:rFonts w:ascii="Meiryo UI" w:hAnsi="Meiryo UI"/>
                <w:sz w:val="18"/>
              </w:rPr>
              <w:t>★★★★☆</w:t>
            </w:r>
          </w:p>
        </w:tc>
        <w:tc>
          <w:tcPr>
            <w:tcW w:type="dxa" w:w="3135"/>
          </w:tcPr>
          <w:p>
            <w:r>
              <w:rPr>
                <w:rFonts w:ascii="Meiryo UI" w:hAnsi="Meiryo UI"/>
                <w:sz w:val="18"/>
              </w:rPr>
              <w:t>2025〜2027年</w:t>
            </w:r>
          </w:p>
        </w:tc>
      </w:tr>
    </w:tbl>
    <w:p/>
    <w:p>
      <w:r>
        <w:t>──────────────────────────────────────────────────</w:t>
      </w:r>
    </w:p>
    <w:p/>
    <w:p>
      <w:pPr>
        <w:pStyle w:val="Heading2"/>
      </w:pPr>
      <w:r>
        <w:rPr>
          <w:rFonts w:ascii="Meiryo UI" w:hAnsi="Meiryo UI"/>
          <w:color w:val="2E74B5"/>
        </w:rPr>
        <w:t>2. 市場ポジションと競合分析</w:t>
      </w:r>
    </w:p>
    <w:p/>
    <w:p>
      <w:pPr>
        <w:pStyle w:val="Heading3"/>
      </w:pPr>
      <w:r>
        <w:rPr>
          <w:rFonts w:ascii="Meiryo UI" w:hAnsi="Meiryo UI"/>
          <w:color w:val="2E74B5"/>
        </w:rPr>
        <w:t>2.1 フォトレジスト世界市場</w:t>
      </w:r>
    </w:p>
    <w:p/>
    <w:p>
      <w:pPr>
        <w:shd w:val="clear" w:color="auto" w:fill="F2F2F2"/>
      </w:pPr>
      <w:r>
        <w:rPr>
          <w:rFonts w:ascii="Courier New" w:hAnsi="Courier New"/>
          <w:sz w:val="16"/>
        </w:rPr>
        <w:t>世界フォトレジスト市場規模推計</w:t>
        <w:br/>
        <w:t xml:space="preserve">  2023年：約4,500億円</w:t>
        <w:br/>
        <w:t xml:space="preserve">  2025年：約5,500億円（推計）</w:t>
        <w:br/>
        <w:t xml:space="preserve">  2028年：約7,500億円（推計・CAGR≈10-12%）</w:t>
        <w:br/>
        <w:t xml:space="preserve">  </w:t>
        <w:br/>
        <w:t>成長ドライバ：</w:t>
        <w:br/>
        <w:t xml:space="preserve">  ① EUV普及加速（TSMC/Samsung/Intel全社採用）</w:t>
        <w:br/>
        <w:t xml:space="preserve">  ② HBM積層数増加（AI向けメモリ）</w:t>
        <w:br/>
        <w:t xml:space="preserve">  ③ 先進パッケージング（CoWoS等）でのレジスト使用増</w:t>
        <w:br/>
        <w:t xml:space="preserve">  ④ 日本国内半導体復興（Rapidus/JASM等）</w:t>
      </w:r>
    </w:p>
    <w:p/>
    <w:p>
      <w:pPr>
        <w:pStyle w:val="Heading3"/>
      </w:pPr>
      <w:r>
        <w:rPr>
          <w:rFonts w:ascii="Meiryo UI" w:hAnsi="Meiryo UI"/>
          <w:color w:val="2E74B5"/>
        </w:rPr>
        <w:t>2.2 主要競合比較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企業</w:t>
            </w:r>
          </w:p>
        </w:tc>
        <w:tc>
          <w:tcPr>
            <w:tcW w:type="dxa" w:w="2351"/>
            <w:shd w:val="clear" w:color="auto" w:fill="2E74B5"/>
          </w:tcPr>
          <w:p>
            <w:r>
              <w:rPr>
                <w:rFonts w:ascii="Meiryo UI" w:hAnsi="Meiryo UI"/>
                <w:b/>
                <w:color w:val="FFFFFF"/>
                <w:sz w:val="18"/>
              </w:rPr>
              <w:t>本社</w:t>
            </w:r>
          </w:p>
        </w:tc>
        <w:tc>
          <w:tcPr>
            <w:tcW w:type="dxa" w:w="2351"/>
            <w:shd w:val="clear" w:color="auto" w:fill="2E74B5"/>
          </w:tcPr>
          <w:p>
            <w:r>
              <w:rPr>
                <w:rFonts w:ascii="Meiryo UI" w:hAnsi="Meiryo UI"/>
                <w:b/>
                <w:color w:val="FFFFFF"/>
                <w:sz w:val="18"/>
              </w:rPr>
              <w:t>強み</w:t>
            </w:r>
          </w:p>
        </w:tc>
        <w:tc>
          <w:tcPr>
            <w:tcW w:type="dxa" w:w="2351"/>
            <w:shd w:val="clear" w:color="auto" w:fill="2E74B5"/>
          </w:tcPr>
          <w:p>
            <w:r>
              <w:rPr>
                <w:rFonts w:ascii="Meiryo UI" w:hAnsi="Meiryo UI"/>
                <w:b/>
                <w:color w:val="FFFFFF"/>
                <w:sz w:val="18"/>
              </w:rPr>
              <w:t>TOKとの差別化</w:t>
            </w:r>
          </w:p>
        </w:tc>
      </w:tr>
      <w:tr>
        <w:tc>
          <w:tcPr>
            <w:tcW w:type="dxa" w:w="2351"/>
          </w:tcPr>
          <w:p>
            <w:r>
              <w:rPr>
                <w:rFonts w:ascii="Meiryo UI" w:hAnsi="Meiryo UI"/>
                <w:sz w:val="18"/>
              </w:rPr>
              <w:t>JSR（4185）</w:t>
            </w:r>
          </w:p>
        </w:tc>
        <w:tc>
          <w:tcPr>
            <w:tcW w:type="dxa" w:w="2351"/>
          </w:tcPr>
          <w:p>
            <w:r>
              <w:rPr>
                <w:rFonts w:ascii="Meiryo UI" w:hAnsi="Meiryo UI"/>
                <w:sz w:val="18"/>
              </w:rPr>
              <w:t>日本</w:t>
            </w:r>
          </w:p>
        </w:tc>
        <w:tc>
          <w:tcPr>
            <w:tcW w:type="dxa" w:w="2351"/>
          </w:tcPr>
          <w:p>
            <w:r>
              <w:rPr>
                <w:rFonts w:ascii="Meiryo UI" w:hAnsi="Meiryo UI"/>
                <w:sz w:val="18"/>
              </w:rPr>
              <w:t>フォトレジスト全般・液晶</w:t>
            </w:r>
          </w:p>
        </w:tc>
        <w:tc>
          <w:tcPr>
            <w:tcW w:type="dxa" w:w="2351"/>
          </w:tcPr>
          <w:p>
            <w:r>
              <w:rPr>
                <w:rFonts w:ascii="Meiryo UI" w:hAnsi="Meiryo UI"/>
                <w:sz w:val="18"/>
              </w:rPr>
              <w:t>JSRは政府に実質国有化（2023）→競争環境変化</w:t>
            </w:r>
          </w:p>
        </w:tc>
      </w:tr>
      <w:tr>
        <w:tc>
          <w:tcPr>
            <w:tcW w:type="dxa" w:w="2351"/>
            <w:shd w:val="clear" w:color="auto" w:fill="DDEBF7"/>
          </w:tcPr>
          <w:p>
            <w:r>
              <w:rPr>
                <w:rFonts w:ascii="Meiryo UI" w:hAnsi="Meiryo UI"/>
                <w:sz w:val="18"/>
              </w:rPr>
              <w:t>信越化学（4063）</w:t>
            </w:r>
          </w:p>
        </w:tc>
        <w:tc>
          <w:tcPr>
            <w:tcW w:type="dxa" w:w="2351"/>
            <w:shd w:val="clear" w:color="auto" w:fill="DDEBF7"/>
          </w:tcPr>
          <w:p>
            <w:r>
              <w:rPr>
                <w:rFonts w:ascii="Meiryo UI" w:hAnsi="Meiryo UI"/>
                <w:sz w:val="18"/>
              </w:rPr>
              <w:t>日本</w:t>
            </w:r>
          </w:p>
        </w:tc>
        <w:tc>
          <w:tcPr>
            <w:tcW w:type="dxa" w:w="2351"/>
            <w:shd w:val="clear" w:color="auto" w:fill="DDEBF7"/>
          </w:tcPr>
          <w:p>
            <w:r>
              <w:rPr>
                <w:rFonts w:ascii="Meiryo UI" w:hAnsi="Meiryo UI"/>
                <w:sz w:val="18"/>
              </w:rPr>
              <w:t>シリコンウェハ・KrFレジスト</w:t>
            </w:r>
          </w:p>
        </w:tc>
        <w:tc>
          <w:tcPr>
            <w:tcW w:type="dxa" w:w="2351"/>
            <w:shd w:val="clear" w:color="auto" w:fill="DDEBF7"/>
          </w:tcPr>
          <w:p>
            <w:r>
              <w:rPr>
                <w:rFonts w:ascii="Meiryo UI" w:hAnsi="Meiryo UI"/>
                <w:sz w:val="18"/>
              </w:rPr>
              <w:t>川下との垂直統合強み、EUVはTOKが先行</w:t>
            </w:r>
          </w:p>
        </w:tc>
      </w:tr>
      <w:tr>
        <w:tc>
          <w:tcPr>
            <w:tcW w:type="dxa" w:w="2351"/>
          </w:tcPr>
          <w:p>
            <w:r>
              <w:rPr>
                <w:rFonts w:ascii="Meiryo UI" w:hAnsi="Meiryo UI"/>
                <w:sz w:val="18"/>
              </w:rPr>
              <w:t>住友化学（4005）</w:t>
            </w:r>
          </w:p>
        </w:tc>
        <w:tc>
          <w:tcPr>
            <w:tcW w:type="dxa" w:w="2351"/>
          </w:tcPr>
          <w:p>
            <w:r>
              <w:rPr>
                <w:rFonts w:ascii="Meiryo UI" w:hAnsi="Meiryo UI"/>
                <w:sz w:val="18"/>
              </w:rPr>
              <w:t>日本</w:t>
            </w:r>
          </w:p>
        </w:tc>
        <w:tc>
          <w:tcPr>
            <w:tcW w:type="dxa" w:w="2351"/>
          </w:tcPr>
          <w:p>
            <w:r>
              <w:rPr>
                <w:rFonts w:ascii="Meiryo UI" w:hAnsi="Meiryo UI"/>
                <w:sz w:val="18"/>
              </w:rPr>
              <w:t>レジスト・電池材料</w:t>
            </w:r>
          </w:p>
        </w:tc>
        <w:tc>
          <w:tcPr>
            <w:tcW w:type="dxa" w:w="2351"/>
          </w:tcPr>
          <w:p>
            <w:r>
              <w:rPr>
                <w:rFonts w:ascii="Meiryo UI" w:hAnsi="Meiryo UI"/>
                <w:sz w:val="18"/>
              </w:rPr>
              <w:t>多角化企業、レジストは準主力</w:t>
            </w:r>
          </w:p>
        </w:tc>
      </w:tr>
      <w:tr>
        <w:tc>
          <w:tcPr>
            <w:tcW w:type="dxa" w:w="2351"/>
            <w:shd w:val="clear" w:color="auto" w:fill="DDEBF7"/>
          </w:tcPr>
          <w:p>
            <w:r>
              <w:rPr>
                <w:rFonts w:ascii="Meiryo UI" w:hAnsi="Meiryo UI"/>
                <w:sz w:val="18"/>
              </w:rPr>
              <w:t>Merck KGaA</w:t>
            </w:r>
          </w:p>
        </w:tc>
        <w:tc>
          <w:tcPr>
            <w:tcW w:type="dxa" w:w="2351"/>
            <w:shd w:val="clear" w:color="auto" w:fill="DDEBF7"/>
          </w:tcPr>
          <w:p>
            <w:r>
              <w:rPr>
                <w:rFonts w:ascii="Meiryo UI" w:hAnsi="Meiryo UI"/>
                <w:sz w:val="18"/>
              </w:rPr>
              <w:t>ドイツ</w:t>
            </w:r>
          </w:p>
        </w:tc>
        <w:tc>
          <w:tcPr>
            <w:tcW w:type="dxa" w:w="2351"/>
            <w:shd w:val="clear" w:color="auto" w:fill="DDEBF7"/>
          </w:tcPr>
          <w:p>
            <w:r>
              <w:rPr>
                <w:rFonts w:ascii="Meiryo UI" w:hAnsi="Meiryo UI"/>
                <w:sz w:val="18"/>
              </w:rPr>
              <w:t>EUVレジスト・プロセス</w:t>
            </w:r>
          </w:p>
        </w:tc>
        <w:tc>
          <w:tcPr>
            <w:tcW w:type="dxa" w:w="2351"/>
            <w:shd w:val="clear" w:color="auto" w:fill="DDEBF7"/>
          </w:tcPr>
          <w:p>
            <w:r>
              <w:rPr>
                <w:rFonts w:ascii="Meiryo UI" w:hAnsi="Meiryo UI"/>
                <w:sz w:val="18"/>
              </w:rPr>
              <w:t>TOKと並ぶEUVプレイヤー、但しコスト高</w:t>
            </w:r>
          </w:p>
        </w:tc>
      </w:tr>
      <w:tr>
        <w:tc>
          <w:tcPr>
            <w:tcW w:type="dxa" w:w="2351"/>
          </w:tcPr>
          <w:p>
            <w:r>
              <w:rPr>
                <w:rFonts w:ascii="Meiryo UI" w:hAnsi="Meiryo UI"/>
                <w:sz w:val="18"/>
              </w:rPr>
              <w:t>Dow（米国）</w:t>
            </w:r>
          </w:p>
        </w:tc>
        <w:tc>
          <w:tcPr>
            <w:tcW w:type="dxa" w:w="2351"/>
          </w:tcPr>
          <w:p>
            <w:r>
              <w:rPr>
                <w:rFonts w:ascii="Meiryo UI" w:hAnsi="Meiryo UI"/>
                <w:sz w:val="18"/>
              </w:rPr>
              <w:t>米国</w:t>
            </w:r>
          </w:p>
        </w:tc>
        <w:tc>
          <w:tcPr>
            <w:tcW w:type="dxa" w:w="2351"/>
          </w:tcPr>
          <w:p>
            <w:r>
              <w:rPr>
                <w:rFonts w:ascii="Meiryo UI" w:hAnsi="Meiryo UI"/>
                <w:sz w:val="18"/>
              </w:rPr>
              <w:t>半導体材料全般</w:t>
            </w:r>
          </w:p>
        </w:tc>
        <w:tc>
          <w:tcPr>
            <w:tcW w:type="dxa" w:w="2351"/>
          </w:tcPr>
          <w:p>
            <w:r>
              <w:rPr>
                <w:rFonts w:ascii="Meiryo UI" w:hAnsi="Meiryo UI"/>
                <w:sz w:val="18"/>
              </w:rPr>
              <w:t>EUVではTOKより後発</w:t>
            </w:r>
          </w:p>
        </w:tc>
      </w:tr>
    </w:tbl>
    <w:p/>
    <w:p>
      <w:r>
        <w:rPr>
          <w:rFonts w:ascii="Meiryo UI" w:hAnsi="Meiryo UI"/>
          <w:sz w:val="20"/>
        </w:rPr>
        <w:t>競合優位まとめ：TOKはEUVレジストの先行者優位と日本国内半導体復興の直接受益者としてのポジションが際立つ。JSRの国有化によって競争環境がむしろTOKに有利に働く可能性。</w:t>
      </w:r>
    </w:p>
    <w:p/>
    <w:p>
      <w:r>
        <w:t>──────────────────────────────────────────────────</w:t>
      </w:r>
    </w:p>
    <w:p/>
    <w:p>
      <w:pPr>
        <w:pStyle w:val="Heading3"/>
      </w:pPr>
      <w:r>
        <w:rPr>
          <w:rFonts w:ascii="Meiryo UI" w:hAnsi="Meiryo UI"/>
          <w:color w:val="2E74B5"/>
        </w:rPr>
        <w:t>2.3 バリューチェーン上の位置づけ</w:t>
      </w:r>
    </w:p>
    <w:p/>
    <w:p>
      <w:pPr>
        <w:shd w:val="clear" w:color="auto" w:fill="F2F2F2"/>
      </w:pPr>
      <w:r>
        <w:rPr>
          <w:rFonts w:ascii="Courier New" w:hAnsi="Courier New"/>
          <w:sz w:val="16"/>
        </w:rPr>
        <w:t>半導体バリューチェーン（TOKの位置）</w:t>
        <w:br/>
        <w:br/>
        <w:t xml:space="preserve">  設計（NVIDIA/AMD）</w:t>
        <w:br/>
        <w:t xml:space="preserve">       ↓</w:t>
        <w:br/>
        <w:t xml:space="preserve">  ファウンドリ（TSMC/Samsung/Rapidus）  ← TOKの直接顧客</w:t>
        <w:br/>
        <w:t xml:space="preserve">       ↓</w:t>
        <w:br/>
        <w:t xml:space="preserve">  ◀◀◀ フォトレジスト・薬品（TOK） ◀◀◀</w:t>
        <w:br/>
        <w:t xml:space="preserve">       ↓</w:t>
        <w:br/>
        <w:t xml:space="preserve">  露光装置（ASML）</w:t>
        <w:br/>
        <w:t xml:space="preserve">       ↓</w:t>
        <w:br/>
        <w:t xml:space="preserve">  完成品・デバイス</w:t>
      </w:r>
    </w:p>
    <w:p/>
    <w:p>
      <w:r>
        <w:rPr>
          <w:rFonts w:ascii="Meiryo UI" w:hAnsi="Meiryo UI"/>
          <w:sz w:val="20"/>
        </w:rPr>
        <w:t>上流依存リスクは低い（原材料は化学品）、下流集中リスクは中程度（TSMC・Samsung等への集中）。</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損益計算書（P/L）サマリー</w:t>
      </w:r>
    </w:p>
    <w:p/>
    <w:p>
      <w:r>
        <w:rPr>
          <w:rFonts w:ascii="Meiryo UI" w:hAnsi="Meiryo UI"/>
          <w:sz w:val="20"/>
        </w:rPr>
        <w:t>公開情報・業界知識に基づく推計値を含む。FY＝3月期。</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FY2023実績</w:t>
            </w:r>
          </w:p>
        </w:tc>
        <w:tc>
          <w:tcPr>
            <w:tcW w:type="dxa" w:w="1881"/>
            <w:shd w:val="clear" w:color="auto" w:fill="2E74B5"/>
          </w:tcPr>
          <w:p>
            <w:r>
              <w:rPr>
                <w:rFonts w:ascii="Meiryo UI" w:hAnsi="Meiryo UI"/>
                <w:b/>
                <w:color w:val="FFFFFF"/>
                <w:sz w:val="18"/>
              </w:rPr>
              <w:t>FY2024実績</w:t>
            </w:r>
          </w:p>
        </w:tc>
        <w:tc>
          <w:tcPr>
            <w:tcW w:type="dxa" w:w="1881"/>
            <w:shd w:val="clear" w:color="auto" w:fill="2E74B5"/>
          </w:tcPr>
          <w:p>
            <w:r>
              <w:rPr>
                <w:rFonts w:ascii="Meiryo UI" w:hAnsi="Meiryo UI"/>
                <w:b/>
                <w:color w:val="FFFFFF"/>
                <w:sz w:val="18"/>
              </w:rPr>
              <w:t>FY2025実績（推計）</w:t>
            </w:r>
          </w:p>
        </w:tc>
        <w:tc>
          <w:tcPr>
            <w:tcW w:type="dxa" w:w="1881"/>
            <w:shd w:val="clear" w:color="auto" w:fill="2E74B5"/>
          </w:tcPr>
          <w:p>
            <w:r>
              <w:rPr>
                <w:rFonts w:ascii="Meiryo UI" w:hAnsi="Meiryo UI"/>
                <w:b/>
                <w:color w:val="FFFFFF"/>
                <w:sz w:val="18"/>
              </w:rPr>
              <w:t>FY2026予想</w:t>
            </w:r>
          </w:p>
        </w:tc>
      </w:tr>
      <w:tr>
        <w:tc>
          <w:tcPr>
            <w:tcW w:type="dxa" w:w="1881"/>
          </w:tcPr>
          <w:p>
            <w:r>
              <w:rPr>
                <w:rFonts w:ascii="Meiryo UI" w:hAnsi="Meiryo UI"/>
                <w:sz w:val="18"/>
              </w:rPr>
              <w:t>売上高</w:t>
            </w:r>
          </w:p>
        </w:tc>
        <w:tc>
          <w:tcPr>
            <w:tcW w:type="dxa" w:w="1881"/>
          </w:tcPr>
          <w:p>
            <w:r>
              <w:rPr>
                <w:rFonts w:ascii="Meiryo UI" w:hAnsi="Meiryo UI"/>
                <w:sz w:val="18"/>
              </w:rPr>
              <w:t>¥163,000M</w:t>
            </w:r>
          </w:p>
        </w:tc>
        <w:tc>
          <w:tcPr>
            <w:tcW w:type="dxa" w:w="1881"/>
          </w:tcPr>
          <w:p>
            <w:r>
              <w:rPr>
                <w:rFonts w:ascii="Meiryo UI" w:hAnsi="Meiryo UI"/>
                <w:sz w:val="18"/>
              </w:rPr>
              <w:t>¥175,000M</w:t>
            </w:r>
          </w:p>
        </w:tc>
        <w:tc>
          <w:tcPr>
            <w:tcW w:type="dxa" w:w="1881"/>
          </w:tcPr>
          <w:p>
            <w:r>
              <w:rPr>
                <w:rFonts w:ascii="Meiryo UI" w:hAnsi="Meiryo UI"/>
                <w:sz w:val="18"/>
              </w:rPr>
              <w:t>¥185,000M</w:t>
            </w:r>
          </w:p>
        </w:tc>
        <w:tc>
          <w:tcPr>
            <w:tcW w:type="dxa" w:w="1881"/>
          </w:tcPr>
          <w:p>
            <w:r>
              <w:rPr>
                <w:rFonts w:ascii="Meiryo UI" w:hAnsi="Meiryo UI"/>
                <w:sz w:val="18"/>
              </w:rPr>
              <w:t>¥200,000M</w:t>
            </w:r>
          </w:p>
        </w:tc>
      </w:tr>
      <w:tr>
        <w:tc>
          <w:tcPr>
            <w:tcW w:type="dxa" w:w="1881"/>
            <w:shd w:val="clear" w:color="auto" w:fill="DDEBF7"/>
          </w:tcPr>
          <w:p>
            <w:r>
              <w:rPr>
                <w:rFonts w:ascii="Meiryo UI" w:hAnsi="Meiryo UI"/>
                <w:sz w:val="18"/>
              </w:rPr>
              <w:t>売上総利益</w:t>
            </w:r>
          </w:p>
        </w:tc>
        <w:tc>
          <w:tcPr>
            <w:tcW w:type="dxa" w:w="1881"/>
            <w:shd w:val="clear" w:color="auto" w:fill="DDEBF7"/>
          </w:tcPr>
          <w:p>
            <w:r>
              <w:rPr>
                <w:rFonts w:ascii="Meiryo UI" w:hAnsi="Meiryo UI"/>
                <w:sz w:val="18"/>
              </w:rPr>
              <w:t>¥62,000M</w:t>
            </w:r>
          </w:p>
        </w:tc>
        <w:tc>
          <w:tcPr>
            <w:tcW w:type="dxa" w:w="1881"/>
            <w:shd w:val="clear" w:color="auto" w:fill="DDEBF7"/>
          </w:tcPr>
          <w:p>
            <w:r>
              <w:rPr>
                <w:rFonts w:ascii="Meiryo UI" w:hAnsi="Meiryo UI"/>
                <w:sz w:val="18"/>
              </w:rPr>
              <w:t>¥68,000M</w:t>
            </w:r>
          </w:p>
        </w:tc>
        <w:tc>
          <w:tcPr>
            <w:tcW w:type="dxa" w:w="1881"/>
            <w:shd w:val="clear" w:color="auto" w:fill="DDEBF7"/>
          </w:tcPr>
          <w:p>
            <w:r>
              <w:rPr>
                <w:rFonts w:ascii="Meiryo UI" w:hAnsi="Meiryo UI"/>
                <w:sz w:val="18"/>
              </w:rPr>
              <w:t>¥72,000M</w:t>
            </w:r>
          </w:p>
        </w:tc>
        <w:tc>
          <w:tcPr>
            <w:tcW w:type="dxa" w:w="1881"/>
            <w:shd w:val="clear" w:color="auto" w:fill="DDEBF7"/>
          </w:tcPr>
          <w:p>
            <w:r>
              <w:rPr>
                <w:rFonts w:ascii="Meiryo UI" w:hAnsi="Meiryo UI"/>
                <w:sz w:val="18"/>
              </w:rPr>
              <w:t>¥79,000M</w:t>
            </w:r>
          </w:p>
        </w:tc>
      </w:tr>
      <w:tr>
        <w:tc>
          <w:tcPr>
            <w:tcW w:type="dxa" w:w="1881"/>
          </w:tcPr>
          <w:p>
            <w:r>
              <w:rPr>
                <w:rFonts w:ascii="Meiryo UI" w:hAnsi="Meiryo UI"/>
                <w:sz w:val="18"/>
              </w:rPr>
              <w:t>売上総利益率</w:t>
            </w:r>
          </w:p>
        </w:tc>
        <w:tc>
          <w:tcPr>
            <w:tcW w:type="dxa" w:w="1881"/>
          </w:tcPr>
          <w:p>
            <w:r>
              <w:rPr>
                <w:rFonts w:ascii="Meiryo UI" w:hAnsi="Meiryo UI"/>
                <w:sz w:val="18"/>
              </w:rPr>
              <w:t>38.0%</w:t>
            </w:r>
          </w:p>
        </w:tc>
        <w:tc>
          <w:tcPr>
            <w:tcW w:type="dxa" w:w="1881"/>
          </w:tcPr>
          <w:p>
            <w:r>
              <w:rPr>
                <w:rFonts w:ascii="Meiryo UI" w:hAnsi="Meiryo UI"/>
                <w:sz w:val="18"/>
              </w:rPr>
              <w:t>38.9%</w:t>
            </w:r>
          </w:p>
        </w:tc>
        <w:tc>
          <w:tcPr>
            <w:tcW w:type="dxa" w:w="1881"/>
          </w:tcPr>
          <w:p>
            <w:r>
              <w:rPr>
                <w:rFonts w:ascii="Meiryo UI" w:hAnsi="Meiryo UI"/>
                <w:sz w:val="18"/>
              </w:rPr>
              <w:t>38.9%</w:t>
            </w:r>
          </w:p>
        </w:tc>
        <w:tc>
          <w:tcPr>
            <w:tcW w:type="dxa" w:w="1881"/>
          </w:tcPr>
          <w:p>
            <w:r>
              <w:rPr>
                <w:rFonts w:ascii="Meiryo UI" w:hAnsi="Meiryo UI"/>
                <w:sz w:val="18"/>
              </w:rPr>
              <w:t>39.5%</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¥19,000M</w:t>
            </w:r>
          </w:p>
        </w:tc>
        <w:tc>
          <w:tcPr>
            <w:tcW w:type="dxa" w:w="1881"/>
            <w:shd w:val="clear" w:color="auto" w:fill="DDEBF7"/>
          </w:tcPr>
          <w:p>
            <w:r>
              <w:rPr>
                <w:rFonts w:ascii="Meiryo UI" w:hAnsi="Meiryo UI"/>
                <w:sz w:val="18"/>
              </w:rPr>
              <w:t>¥23,000M</w:t>
            </w:r>
          </w:p>
        </w:tc>
        <w:tc>
          <w:tcPr>
            <w:tcW w:type="dxa" w:w="1881"/>
            <w:shd w:val="clear" w:color="auto" w:fill="DDEBF7"/>
          </w:tcPr>
          <w:p>
            <w:r>
              <w:rPr>
                <w:rFonts w:ascii="Meiryo UI" w:hAnsi="Meiryo UI"/>
                <w:sz w:val="18"/>
              </w:rPr>
              <w:t>¥26,000M</w:t>
            </w:r>
          </w:p>
        </w:tc>
        <w:tc>
          <w:tcPr>
            <w:tcW w:type="dxa" w:w="1881"/>
            <w:shd w:val="clear" w:color="auto" w:fill="DDEBF7"/>
          </w:tcPr>
          <w:p>
            <w:r>
              <w:rPr>
                <w:rFonts w:ascii="Meiryo UI" w:hAnsi="Meiryo UI"/>
                <w:sz w:val="18"/>
              </w:rPr>
              <w:t>¥30,000M</w:t>
            </w:r>
          </w:p>
        </w:tc>
      </w:tr>
      <w:tr>
        <w:tc>
          <w:tcPr>
            <w:tcW w:type="dxa" w:w="1881"/>
          </w:tcPr>
          <w:p>
            <w:r>
              <w:rPr>
                <w:rFonts w:ascii="Meiryo UI" w:hAnsi="Meiryo UI"/>
                <w:sz w:val="18"/>
              </w:rPr>
              <w:t>営業利益率</w:t>
            </w:r>
          </w:p>
        </w:tc>
        <w:tc>
          <w:tcPr>
            <w:tcW w:type="dxa" w:w="1881"/>
          </w:tcPr>
          <w:p>
            <w:r>
              <w:rPr>
                <w:rFonts w:ascii="Meiryo UI" w:hAnsi="Meiryo UI"/>
                <w:sz w:val="18"/>
              </w:rPr>
              <w:t>11.7%</w:t>
            </w:r>
          </w:p>
        </w:tc>
        <w:tc>
          <w:tcPr>
            <w:tcW w:type="dxa" w:w="1881"/>
          </w:tcPr>
          <w:p>
            <w:r>
              <w:rPr>
                <w:rFonts w:ascii="Meiryo UI" w:hAnsi="Meiryo UI"/>
                <w:sz w:val="18"/>
              </w:rPr>
              <w:t>13.1%</w:t>
            </w:r>
          </w:p>
        </w:tc>
        <w:tc>
          <w:tcPr>
            <w:tcW w:type="dxa" w:w="1881"/>
          </w:tcPr>
          <w:p>
            <w:r>
              <w:rPr>
                <w:rFonts w:ascii="Meiryo UI" w:hAnsi="Meiryo UI"/>
                <w:sz w:val="18"/>
              </w:rPr>
              <w:t>14.1%</w:t>
            </w:r>
          </w:p>
        </w:tc>
        <w:tc>
          <w:tcPr>
            <w:tcW w:type="dxa" w:w="1881"/>
          </w:tcPr>
          <w:p>
            <w:r>
              <w:rPr>
                <w:rFonts w:ascii="Meiryo UI" w:hAnsi="Meiryo UI"/>
                <w:sz w:val="18"/>
              </w:rPr>
              <w:t>15.0%</w:t>
            </w:r>
          </w:p>
        </w:tc>
      </w:tr>
      <w:tr>
        <w:tc>
          <w:tcPr>
            <w:tcW w:type="dxa" w:w="1881"/>
            <w:shd w:val="clear" w:color="auto" w:fill="DDEBF7"/>
          </w:tcPr>
          <w:p>
            <w:r>
              <w:rPr>
                <w:rFonts w:ascii="Meiryo UI" w:hAnsi="Meiryo UI"/>
                <w:sz w:val="18"/>
              </w:rPr>
              <w:t>当期純利益</w:t>
            </w:r>
          </w:p>
        </w:tc>
        <w:tc>
          <w:tcPr>
            <w:tcW w:type="dxa" w:w="1881"/>
            <w:shd w:val="clear" w:color="auto" w:fill="DDEBF7"/>
          </w:tcPr>
          <w:p>
            <w:r>
              <w:rPr>
                <w:rFonts w:ascii="Meiryo UI" w:hAnsi="Meiryo UI"/>
                <w:sz w:val="18"/>
              </w:rPr>
              <w:t>¥16,000M</w:t>
            </w:r>
          </w:p>
        </w:tc>
        <w:tc>
          <w:tcPr>
            <w:tcW w:type="dxa" w:w="1881"/>
            <w:shd w:val="clear" w:color="auto" w:fill="DDEBF7"/>
          </w:tcPr>
          <w:p>
            <w:r>
              <w:rPr>
                <w:rFonts w:ascii="Meiryo UI" w:hAnsi="Meiryo UI"/>
                <w:sz w:val="18"/>
              </w:rPr>
              <w:t>¥18,500M</w:t>
            </w:r>
          </w:p>
        </w:tc>
        <w:tc>
          <w:tcPr>
            <w:tcW w:type="dxa" w:w="1881"/>
            <w:shd w:val="clear" w:color="auto" w:fill="DDEBF7"/>
          </w:tcPr>
          <w:p>
            <w:r>
              <w:rPr>
                <w:rFonts w:ascii="Meiryo UI" w:hAnsi="Meiryo UI"/>
                <w:sz w:val="18"/>
              </w:rPr>
              <w:t>¥21,000M</w:t>
            </w:r>
          </w:p>
        </w:tc>
        <w:tc>
          <w:tcPr>
            <w:tcW w:type="dxa" w:w="1881"/>
            <w:shd w:val="clear" w:color="auto" w:fill="DDEBF7"/>
          </w:tcPr>
          <w:p>
            <w:r>
              <w:rPr>
                <w:rFonts w:ascii="Meiryo UI" w:hAnsi="Meiryo UI"/>
                <w:sz w:val="18"/>
              </w:rPr>
              <w:t>¥24,000M</w:t>
            </w:r>
          </w:p>
        </w:tc>
      </w:tr>
      <w:tr>
        <w:tc>
          <w:tcPr>
            <w:tcW w:type="dxa" w:w="1881"/>
          </w:tcPr>
          <w:p>
            <w:r>
              <w:rPr>
                <w:rFonts w:ascii="Meiryo UI" w:hAnsi="Meiryo UI"/>
                <w:sz w:val="18"/>
              </w:rPr>
              <w:t>EPS（円）</w:t>
            </w:r>
          </w:p>
        </w:tc>
        <w:tc>
          <w:tcPr>
            <w:tcW w:type="dxa" w:w="1881"/>
          </w:tcPr>
          <w:p>
            <w:r>
              <w:rPr>
                <w:rFonts w:ascii="Meiryo UI" w:hAnsi="Meiryo UI"/>
                <w:sz w:val="18"/>
              </w:rPr>
              <w:t>¥350</w:t>
            </w:r>
          </w:p>
        </w:tc>
        <w:tc>
          <w:tcPr>
            <w:tcW w:type="dxa" w:w="1881"/>
          </w:tcPr>
          <w:p>
            <w:r>
              <w:rPr>
                <w:rFonts w:ascii="Meiryo UI" w:hAnsi="Meiryo UI"/>
                <w:sz w:val="18"/>
              </w:rPr>
              <w:t>¥410</w:t>
            </w:r>
          </w:p>
        </w:tc>
        <w:tc>
          <w:tcPr>
            <w:tcW w:type="dxa" w:w="1881"/>
          </w:tcPr>
          <w:p>
            <w:r>
              <w:rPr>
                <w:rFonts w:ascii="Meiryo UI" w:hAnsi="Meiryo UI"/>
                <w:sz w:val="18"/>
              </w:rPr>
              <w:t>¥470</w:t>
            </w:r>
          </w:p>
        </w:tc>
        <w:tc>
          <w:tcPr>
            <w:tcW w:type="dxa" w:w="1881"/>
          </w:tcPr>
          <w:p>
            <w:r>
              <w:rPr>
                <w:rFonts w:ascii="Meiryo UI" w:hAnsi="Meiryo UI"/>
                <w:sz w:val="18"/>
              </w:rPr>
              <w:t>¥540</w:t>
            </w:r>
          </w:p>
        </w:tc>
      </w:tr>
    </w:tbl>
    <w:p/>
    <w:p>
      <w:r>
        <w:rPr>
          <w:rFonts w:ascii="Meiryo UI" w:hAnsi="Meiryo UI"/>
          <w:sz w:val="20"/>
        </w:rPr>
        <w:t>トレンド分析：</w:t>
      </w:r>
    </w:p>
    <w:p>
      <w:pPr>
        <w:pStyle w:val="ListBullet"/>
      </w:pPr>
      <w:r>
        <w:rPr>
          <w:rFonts w:ascii="Meiryo UI" w:hAnsi="Meiryo UI"/>
          <w:sz w:val="20"/>
        </w:rPr>
        <w:t>売上高はCAGR約7%で安定成長</w:t>
      </w:r>
    </w:p>
    <w:p>
      <w:pPr>
        <w:pStyle w:val="ListBullet"/>
      </w:pPr>
      <w:r>
        <w:rPr>
          <w:rFonts w:ascii="Meiryo UI" w:hAnsi="Meiryo UI"/>
          <w:sz w:val="20"/>
        </w:rPr>
        <w:t>営業利益率は13〜15%へ構造的改善中（EUVレジスト高付加価値化＋固定費レバレッジ）</w:t>
      </w:r>
    </w:p>
    <w:p>
      <w:pPr>
        <w:pStyle w:val="ListBullet"/>
      </w:pPr>
      <w:r>
        <w:rPr>
          <w:rFonts w:ascii="Meiryo UI" w:hAnsi="Meiryo UI"/>
          <w:sz w:val="20"/>
        </w:rPr>
        <w:t>EPS成長率は年率15〜18%（高水準）</w:t>
      </w:r>
    </w:p>
    <w:p/>
    <w:p>
      <w:r>
        <w:t>──────────────────────────────────────────────────</w:t>
      </w:r>
    </w:p>
    <w:p/>
    <w:p>
      <w:pPr>
        <w:pStyle w:val="Heading3"/>
      </w:pPr>
      <w:r>
        <w:rPr>
          <w:rFonts w:ascii="Meiryo UI" w:hAnsi="Meiryo UI"/>
          <w:color w:val="2E74B5"/>
        </w:rPr>
        <w:t>3.2 貸借対照表（B/S）サマリー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FY2025推計</w:t>
            </w:r>
          </w:p>
        </w:tc>
      </w:tr>
      <w:tr>
        <w:tc>
          <w:tcPr>
            <w:tcW w:type="dxa" w:w="4703"/>
          </w:tcPr>
          <w:p>
            <w:r>
              <w:rPr>
                <w:rFonts w:ascii="Meiryo UI" w:hAnsi="Meiryo UI"/>
                <w:sz w:val="18"/>
              </w:rPr>
              <w:t>総資産</w:t>
            </w:r>
          </w:p>
        </w:tc>
        <w:tc>
          <w:tcPr>
            <w:tcW w:type="dxa" w:w="4703"/>
          </w:tcPr>
          <w:p>
            <w:r>
              <w:rPr>
                <w:rFonts w:ascii="Meiryo UI" w:hAnsi="Meiryo UI"/>
                <w:sz w:val="18"/>
              </w:rPr>
              <w:t>¥350,000M</w:t>
            </w:r>
          </w:p>
        </w:tc>
      </w:tr>
      <w:tr>
        <w:tc>
          <w:tcPr>
            <w:tcW w:type="dxa" w:w="4703"/>
            <w:shd w:val="clear" w:color="auto" w:fill="DDEBF7"/>
          </w:tcPr>
          <w:p>
            <w:r>
              <w:rPr>
                <w:rFonts w:ascii="Meiryo UI" w:hAnsi="Meiryo UI"/>
                <w:sz w:val="18"/>
              </w:rPr>
              <w:t>自己資本</w:t>
            </w:r>
          </w:p>
        </w:tc>
        <w:tc>
          <w:tcPr>
            <w:tcW w:type="dxa" w:w="4703"/>
            <w:shd w:val="clear" w:color="auto" w:fill="DDEBF7"/>
          </w:tcPr>
          <w:p>
            <w:r>
              <w:rPr>
                <w:rFonts w:ascii="Meiryo UI" w:hAnsi="Meiryo UI"/>
                <w:sz w:val="18"/>
              </w:rPr>
              <w:t>¥240,000M</w:t>
            </w:r>
          </w:p>
        </w:tc>
      </w:tr>
      <w:tr>
        <w:tc>
          <w:tcPr>
            <w:tcW w:type="dxa" w:w="4703"/>
          </w:tcPr>
          <w:p>
            <w:r>
              <w:rPr>
                <w:rFonts w:ascii="Meiryo UI" w:hAnsi="Meiryo UI"/>
                <w:sz w:val="18"/>
              </w:rPr>
              <w:t>自己資本比率</w:t>
            </w:r>
          </w:p>
        </w:tc>
        <w:tc>
          <w:tcPr>
            <w:tcW w:type="dxa" w:w="4703"/>
          </w:tcPr>
          <w:p>
            <w:r>
              <w:rPr>
                <w:rFonts w:ascii="Meiryo UI" w:hAnsi="Meiryo UI"/>
                <w:sz w:val="18"/>
              </w:rPr>
              <w:t>68.6%</w:t>
            </w:r>
          </w:p>
        </w:tc>
      </w:tr>
      <w:tr>
        <w:tc>
          <w:tcPr>
            <w:tcW w:type="dxa" w:w="4703"/>
            <w:shd w:val="clear" w:color="auto" w:fill="DDEBF7"/>
          </w:tcPr>
          <w:p>
            <w:r>
              <w:rPr>
                <w:rFonts w:ascii="Meiryo UI" w:hAnsi="Meiryo UI"/>
                <w:sz w:val="18"/>
              </w:rPr>
              <w:t>有利子負債</w:t>
            </w:r>
          </w:p>
        </w:tc>
        <w:tc>
          <w:tcPr>
            <w:tcW w:type="dxa" w:w="4703"/>
            <w:shd w:val="clear" w:color="auto" w:fill="DDEBF7"/>
          </w:tcPr>
          <w:p>
            <w:r>
              <w:rPr>
                <w:rFonts w:ascii="Meiryo UI" w:hAnsi="Meiryo UI"/>
                <w:sz w:val="18"/>
              </w:rPr>
              <w:t>¥20,000M</w:t>
            </w:r>
          </w:p>
        </w:tc>
      </w:tr>
      <w:tr>
        <w:tc>
          <w:tcPr>
            <w:tcW w:type="dxa" w:w="4703"/>
          </w:tcPr>
          <w:p>
            <w:r>
              <w:rPr>
                <w:rFonts w:ascii="Meiryo UI" w:hAnsi="Meiryo UI"/>
                <w:sz w:val="18"/>
              </w:rPr>
              <w:t>現預金</w:t>
            </w:r>
          </w:p>
        </w:tc>
        <w:tc>
          <w:tcPr>
            <w:tcW w:type="dxa" w:w="4703"/>
          </w:tcPr>
          <w:p>
            <w:r>
              <w:rPr>
                <w:rFonts w:ascii="Meiryo UI" w:hAnsi="Meiryo UI"/>
                <w:sz w:val="18"/>
              </w:rPr>
              <w:t>¥50,000M</w:t>
            </w:r>
          </w:p>
        </w:tc>
      </w:tr>
      <w:tr>
        <w:tc>
          <w:tcPr>
            <w:tcW w:type="dxa" w:w="4703"/>
            <w:shd w:val="clear" w:color="auto" w:fill="DDEBF7"/>
          </w:tcPr>
          <w:p>
            <w:r>
              <w:rPr>
                <w:rFonts w:ascii="Meiryo UI" w:hAnsi="Meiryo UI"/>
                <w:sz w:val="18"/>
              </w:rPr>
              <w:t>純有利子負債（ネットキャッシュ）</w:t>
            </w:r>
          </w:p>
        </w:tc>
        <w:tc>
          <w:tcPr>
            <w:tcW w:type="dxa" w:w="4703"/>
            <w:shd w:val="clear" w:color="auto" w:fill="DDEBF7"/>
          </w:tcPr>
          <w:p>
            <w:r>
              <w:rPr>
                <w:rFonts w:ascii="Meiryo UI" w:hAnsi="Meiryo UI"/>
                <w:sz w:val="18"/>
              </w:rPr>
              <w:t>▲¥30,000M（実質無借金）</w:t>
            </w:r>
          </w:p>
        </w:tc>
      </w:tr>
      <w:tr>
        <w:tc>
          <w:tcPr>
            <w:tcW w:type="dxa" w:w="4703"/>
          </w:tcPr>
          <w:p>
            <w:r>
              <w:rPr>
                <w:rFonts w:ascii="Meiryo UI" w:hAnsi="Meiryo UI"/>
                <w:sz w:val="18"/>
              </w:rPr>
              <w:t>ROE</w:t>
            </w:r>
          </w:p>
        </w:tc>
        <w:tc>
          <w:tcPr>
            <w:tcW w:type="dxa" w:w="4703"/>
          </w:tcPr>
          <w:p>
            <w:r>
              <w:rPr>
                <w:rFonts w:ascii="Meiryo UI" w:hAnsi="Meiryo UI"/>
                <w:sz w:val="18"/>
              </w:rPr>
              <w:t>8.8%</w:t>
            </w:r>
          </w:p>
        </w:tc>
      </w:tr>
      <w:tr>
        <w:tc>
          <w:tcPr>
            <w:tcW w:type="dxa" w:w="4703"/>
            <w:shd w:val="clear" w:color="auto" w:fill="DDEBF7"/>
          </w:tcPr>
          <w:p>
            <w:r>
              <w:rPr>
                <w:rFonts w:ascii="Meiryo UI" w:hAnsi="Meiryo UI"/>
                <w:sz w:val="18"/>
              </w:rPr>
              <w:t>ROIC</w:t>
            </w:r>
          </w:p>
        </w:tc>
        <w:tc>
          <w:tcPr>
            <w:tcW w:type="dxa" w:w="4703"/>
            <w:shd w:val="clear" w:color="auto" w:fill="DDEBF7"/>
          </w:tcPr>
          <w:p>
            <w:r>
              <w:rPr>
                <w:rFonts w:ascii="Meiryo UI" w:hAnsi="Meiryo UI"/>
                <w:sz w:val="18"/>
              </w:rPr>
              <w:t>約9.5%</w:t>
            </w:r>
          </w:p>
        </w:tc>
      </w:tr>
    </w:tbl>
    <w:p/>
    <w:p>
      <w:r>
        <w:rPr>
          <w:rFonts w:ascii="Meiryo UI" w:hAnsi="Meiryo UI"/>
          <w:sz w:val="20"/>
        </w:rPr>
        <w:t>BSの質：</w:t>
      </w:r>
    </w:p>
    <w:p>
      <w:pPr>
        <w:pStyle w:val="ListBullet"/>
      </w:pPr>
      <w:r>
        <w:rPr>
          <w:rFonts w:ascii="Meiryo UI" w:hAnsi="Meiryo UI"/>
          <w:sz w:val="20"/>
        </w:rPr>
        <w:t>実質ネットキャッシュポジション（財務安全性◎）</w:t>
      </w:r>
    </w:p>
    <w:p>
      <w:pPr>
        <w:pStyle w:val="ListBullet"/>
      </w:pPr>
      <w:r>
        <w:rPr>
          <w:rFonts w:ascii="Meiryo UI" w:hAnsi="Meiryo UI"/>
          <w:sz w:val="20"/>
        </w:rPr>
        <w:t>ROEはやや低め——増配・自己株買い等の株主還元強化余地大</w:t>
      </w:r>
    </w:p>
    <w:p>
      <w:pPr>
        <w:pStyle w:val="ListBullet"/>
      </w:pPr>
      <w:r>
        <w:rPr>
          <w:rFonts w:ascii="Meiryo UI" w:hAnsi="Meiryo UI"/>
          <w:sz w:val="20"/>
        </w:rPr>
        <w:t>自己資本比率68%は業界トップクラス</w:t>
      </w:r>
    </w:p>
    <w:p/>
    <w:p>
      <w:r>
        <w:t>──────────────────────────────────────────────────</w:t>
      </w:r>
    </w:p>
    <w:p/>
    <w:p>
      <w:pPr>
        <w:pStyle w:val="Heading3"/>
      </w:pPr>
      <w:r>
        <w:rPr>
          <w:rFonts w:ascii="Meiryo UI" w:hAnsi="Meiryo UI"/>
          <w:color w:val="2E74B5"/>
        </w:rPr>
        <w:t>3.3 キャッシュフロー（CF）分析</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FY2025推計</w:t>
            </w:r>
          </w:p>
        </w:tc>
      </w:tr>
      <w:tr>
        <w:tc>
          <w:tcPr>
            <w:tcW w:type="dxa" w:w="4703"/>
          </w:tcPr>
          <w:p>
            <w:r>
              <w:rPr>
                <w:rFonts w:ascii="Meiryo UI" w:hAnsi="Meiryo UI"/>
                <w:sz w:val="18"/>
              </w:rPr>
              <w:t>営業CF</w:t>
            </w:r>
          </w:p>
        </w:tc>
        <w:tc>
          <w:tcPr>
            <w:tcW w:type="dxa" w:w="4703"/>
          </w:tcPr>
          <w:p>
            <w:r>
              <w:rPr>
                <w:rFonts w:ascii="Meiryo UI" w:hAnsi="Meiryo UI"/>
                <w:sz w:val="18"/>
              </w:rPr>
              <w:t>¥32,000M</w:t>
            </w:r>
          </w:p>
        </w:tc>
      </w:tr>
      <w:tr>
        <w:tc>
          <w:tcPr>
            <w:tcW w:type="dxa" w:w="4703"/>
            <w:shd w:val="clear" w:color="auto" w:fill="DDEBF7"/>
          </w:tcPr>
          <w:p>
            <w:r>
              <w:rPr>
                <w:rFonts w:ascii="Meiryo UI" w:hAnsi="Meiryo UI"/>
                <w:sz w:val="18"/>
              </w:rPr>
              <w:t>投資CF</w:t>
            </w:r>
          </w:p>
        </w:tc>
        <w:tc>
          <w:tcPr>
            <w:tcW w:type="dxa" w:w="4703"/>
            <w:shd w:val="clear" w:color="auto" w:fill="DDEBF7"/>
          </w:tcPr>
          <w:p>
            <w:r>
              <w:rPr>
                <w:rFonts w:ascii="Meiryo UI" w:hAnsi="Meiryo UI"/>
                <w:sz w:val="18"/>
              </w:rPr>
              <w:t>▲¥20,000M（設備投資）</w:t>
            </w:r>
          </w:p>
        </w:tc>
      </w:tr>
      <w:tr>
        <w:tc>
          <w:tcPr>
            <w:tcW w:type="dxa" w:w="4703"/>
          </w:tcPr>
          <w:p>
            <w:r>
              <w:rPr>
                <w:rFonts w:ascii="Meiryo UI" w:hAnsi="Meiryo UI"/>
                <w:sz w:val="18"/>
              </w:rPr>
              <w:t>FCF（フリーキャッシュフロー）</w:t>
            </w:r>
          </w:p>
        </w:tc>
        <w:tc>
          <w:tcPr>
            <w:tcW w:type="dxa" w:w="4703"/>
          </w:tcPr>
          <w:p>
            <w:r>
              <w:rPr>
                <w:rFonts w:ascii="Meiryo UI" w:hAnsi="Meiryo UI"/>
                <w:sz w:val="18"/>
              </w:rPr>
              <w:t>¥12,000M</w:t>
            </w:r>
          </w:p>
        </w:tc>
      </w:tr>
      <w:tr>
        <w:tc>
          <w:tcPr>
            <w:tcW w:type="dxa" w:w="4703"/>
            <w:shd w:val="clear" w:color="auto" w:fill="DDEBF7"/>
          </w:tcPr>
          <w:p>
            <w:r>
              <w:rPr>
                <w:rFonts w:ascii="Meiryo UI" w:hAnsi="Meiryo UI"/>
                <w:sz w:val="18"/>
              </w:rPr>
              <w:t>FCFマージン</w:t>
            </w:r>
          </w:p>
        </w:tc>
        <w:tc>
          <w:tcPr>
            <w:tcW w:type="dxa" w:w="4703"/>
            <w:shd w:val="clear" w:color="auto" w:fill="DDEBF7"/>
          </w:tcPr>
          <w:p>
            <w:r>
              <w:rPr>
                <w:rFonts w:ascii="Meiryo UI" w:hAnsi="Meiryo UI"/>
                <w:sz w:val="18"/>
              </w:rPr>
              <w:t>6.5%</w:t>
            </w:r>
          </w:p>
        </w:tc>
      </w:tr>
      <w:tr>
        <w:tc>
          <w:tcPr>
            <w:tcW w:type="dxa" w:w="4703"/>
          </w:tcPr>
          <w:p>
            <w:r>
              <w:rPr>
                <w:rFonts w:ascii="Meiryo UI" w:hAnsi="Meiryo UI"/>
                <w:sz w:val="18"/>
              </w:rPr>
              <w:t>CAPEX/売上高</w:t>
            </w:r>
          </w:p>
        </w:tc>
        <w:tc>
          <w:tcPr>
            <w:tcW w:type="dxa" w:w="4703"/>
          </w:tcPr>
          <w:p>
            <w:r>
              <w:rPr>
                <w:rFonts w:ascii="Meiryo UI" w:hAnsi="Meiryo UI"/>
                <w:sz w:val="18"/>
              </w:rPr>
              <w:t>10.8%</w:t>
            </w:r>
          </w:p>
        </w:tc>
      </w:tr>
      <w:tr>
        <w:tc>
          <w:tcPr>
            <w:tcW w:type="dxa" w:w="4703"/>
            <w:shd w:val="clear" w:color="auto" w:fill="DDEBF7"/>
          </w:tcPr>
          <w:p>
            <w:r>
              <w:rPr>
                <w:rFonts w:ascii="Meiryo UI" w:hAnsi="Meiryo UI"/>
                <w:sz w:val="18"/>
              </w:rPr>
              <w:t>配当総額</w:t>
            </w:r>
          </w:p>
        </w:tc>
        <w:tc>
          <w:tcPr>
            <w:tcW w:type="dxa" w:w="4703"/>
            <w:shd w:val="clear" w:color="auto" w:fill="DDEBF7"/>
          </w:tcPr>
          <w:p>
            <w:r>
              <w:rPr>
                <w:rFonts w:ascii="Meiryo UI" w:hAnsi="Meiryo UI"/>
                <w:sz w:val="18"/>
              </w:rPr>
              <w:t>¥7,000M</w:t>
            </w:r>
          </w:p>
        </w:tc>
      </w:tr>
      <w:tr>
        <w:tc>
          <w:tcPr>
            <w:tcW w:type="dxa" w:w="4703"/>
          </w:tcPr>
          <w:p>
            <w:r>
              <w:rPr>
                <w:rFonts w:ascii="Meiryo UI" w:hAnsi="Meiryo UI"/>
                <w:sz w:val="18"/>
              </w:rPr>
              <w:t>配当性向</w:t>
            </w:r>
          </w:p>
        </w:tc>
        <w:tc>
          <w:tcPr>
            <w:tcW w:type="dxa" w:w="4703"/>
          </w:tcPr>
          <w:p>
            <w:r>
              <w:rPr>
                <w:rFonts w:ascii="Meiryo UI" w:hAnsi="Meiryo UI"/>
                <w:sz w:val="18"/>
              </w:rPr>
              <w:t>約33%</w:t>
            </w:r>
          </w:p>
        </w:tc>
      </w:tr>
    </w:tbl>
    <w:p/>
    <w:p>
      <w:r>
        <w:rPr>
          <w:rFonts w:ascii="Meiryo UI" w:hAnsi="Meiryo UI"/>
          <w:sz w:val="20"/>
        </w:rPr>
        <w:t>CF評価：</w:t>
      </w:r>
    </w:p>
    <w:p>
      <w:pPr>
        <w:pStyle w:val="ListBullet"/>
      </w:pPr>
      <w:r>
        <w:rPr>
          <w:rFonts w:ascii="Meiryo UI" w:hAnsi="Meiryo UI"/>
          <w:sz w:val="20"/>
        </w:rPr>
        <w:t>FCFは安定的に創出されているが、CAPEX比率が高いのは成長投資（EUV・海外拠点）の証左</w:t>
      </w:r>
    </w:p>
    <w:p>
      <w:pPr>
        <w:pStyle w:val="ListBullet"/>
      </w:pPr>
      <w:r>
        <w:rPr>
          <w:rFonts w:ascii="Meiryo UI" w:hAnsi="Meiryo UI"/>
          <w:sz w:val="20"/>
        </w:rPr>
        <w:t>FCFマージン6.5%は製造業として標準的水準——今後CAPEX一巡後にFCF急拡大が期待される</w:t>
      </w:r>
    </w:p>
    <w:p>
      <w:pPr>
        <w:pStyle w:val="ListBullet"/>
      </w:pPr>
      <w:r>
        <w:rPr>
          <w:rFonts w:ascii="Meiryo UI" w:hAnsi="Meiryo UI"/>
          <w:sz w:val="20"/>
        </w:rPr>
        <w:t>増配余地：配当性向33%は低く、増配・自己株買い継続の財務的余力は十分</w:t>
      </w:r>
    </w:p>
    <w:p/>
    <w:p>
      <w:r>
        <w:t>──────────────────────────────────────────────────</w:t>
      </w:r>
    </w:p>
    <w:p/>
    <w:p>
      <w:pPr>
        <w:pStyle w:val="Heading3"/>
      </w:pPr>
      <w:r>
        <w:rPr>
          <w:rFonts w:ascii="Meiryo UI" w:hAnsi="Meiryo UI"/>
          <w:color w:val="2E74B5"/>
        </w:rPr>
        <w:t>3.4 財務健全性スコアカード</w:t>
      </w:r>
    </w:p>
    <w:p/>
    <w:p>
      <w:pPr>
        <w:shd w:val="clear" w:color="auto" w:fill="F2F2F2"/>
      </w:pPr>
      <w:r>
        <w:rPr>
          <w:rFonts w:ascii="Courier New" w:hAnsi="Courier New"/>
          <w:sz w:val="16"/>
        </w:rPr>
        <w:t>深井スコアカード（TOK FY2025）</w:t>
        <w:br/>
        <w:br/>
        <w:t xml:space="preserve">  収益性    ████████░░  8/10  （営業利益率14%、EPS成長率高）</w:t>
        <w:br/>
        <w:t xml:space="preserve">  成長性    ████████░░  8/10  （売上CAGR7%、EUV需要加速中）</w:t>
        <w:br/>
        <w:t xml:space="preserve">  安全性    █████████░  9/10  （ネットキャッシュ、自己資本比率69%）</w:t>
        <w:br/>
        <w:t xml:space="preserve">  株主還元  ██████░░░░  6/10  （増配発表済みだが配当性向は低め）</w:t>
        <w:br/>
        <w:t xml:space="preserve">  資本効率  ██████░░░░  6/10  （ROE8.8%は改善余地あり）</w:t>
        <w:br/>
        <w:t xml:space="preserve">  </w:t>
        <w:br/>
        <w:t xml:space="preserve">  総合スコア：37/50（B+評価）</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WACC計算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リスクフリーレート（Rf）</w:t>
            </w:r>
          </w:p>
        </w:tc>
        <w:tc>
          <w:tcPr>
            <w:tcW w:type="dxa" w:w="3135"/>
          </w:tcPr>
          <w:p>
            <w:r>
              <w:rPr>
                <w:rFonts w:ascii="Meiryo UI" w:hAnsi="Meiryo UI"/>
                <w:sz w:val="18"/>
              </w:rPr>
              <w:t>1.5%</w:t>
            </w:r>
          </w:p>
        </w:tc>
        <w:tc>
          <w:tcPr>
            <w:tcW w:type="dxa" w:w="3135"/>
          </w:tcPr>
          <w:p>
            <w:r>
              <w:rPr>
                <w:rFonts w:ascii="Meiryo UI" w:hAnsi="Meiryo UI"/>
                <w:sz w:val="18"/>
              </w:rPr>
              <w:t>JGB10年債現在値（指定）</w:t>
            </w:r>
          </w:p>
        </w:tc>
      </w:tr>
      <w:tr>
        <w:tc>
          <w:tcPr>
            <w:tcW w:type="dxa" w:w="3135"/>
            <w:shd w:val="clear" w:color="auto" w:fill="DDEBF7"/>
          </w:tcPr>
          <w:p>
            <w:r>
              <w:rPr>
                <w:rFonts w:ascii="Meiryo UI" w:hAnsi="Meiryo UI"/>
                <w:sz w:val="18"/>
              </w:rPr>
              <w:t>エクイティリスクプレミアム（ERP）</w:t>
            </w:r>
          </w:p>
        </w:tc>
        <w:tc>
          <w:tcPr>
            <w:tcW w:type="dxa" w:w="3135"/>
            <w:shd w:val="clear" w:color="auto" w:fill="DDEBF7"/>
          </w:tcPr>
          <w:p>
            <w:r>
              <w:rPr>
                <w:rFonts w:ascii="Meiryo UI" w:hAnsi="Meiryo UI"/>
                <w:sz w:val="18"/>
              </w:rPr>
              <w:t>6.0%</w:t>
            </w:r>
          </w:p>
        </w:tc>
        <w:tc>
          <w:tcPr>
            <w:tcW w:type="dxa" w:w="3135"/>
            <w:shd w:val="clear" w:color="auto" w:fill="DDEBF7"/>
          </w:tcPr>
          <w:p>
            <w:r>
              <w:rPr>
                <w:rFonts w:ascii="Meiryo UI" w:hAnsi="Meiryo UI"/>
                <w:sz w:val="18"/>
              </w:rPr>
              <w:t>日本株ERP（Damodaran参照・2025-26年水準）</w:t>
            </w:r>
          </w:p>
        </w:tc>
      </w:tr>
      <w:tr>
        <w:tc>
          <w:tcPr>
            <w:tcW w:type="dxa" w:w="3135"/>
          </w:tcPr>
          <w:p>
            <w:r>
              <w:rPr>
                <w:rFonts w:ascii="Meiryo UI" w:hAnsi="Meiryo UI"/>
                <w:sz w:val="18"/>
              </w:rPr>
              <w:t>ベータ（β）</w:t>
            </w:r>
          </w:p>
        </w:tc>
        <w:tc>
          <w:tcPr>
            <w:tcW w:type="dxa" w:w="3135"/>
          </w:tcPr>
          <w:p>
            <w:r>
              <w:rPr>
                <w:rFonts w:ascii="Meiryo UI" w:hAnsi="Meiryo UI"/>
                <w:sz w:val="18"/>
              </w:rPr>
              <w:t>1.15</w:t>
            </w:r>
          </w:p>
        </w:tc>
        <w:tc>
          <w:tcPr>
            <w:tcW w:type="dxa" w:w="3135"/>
          </w:tcPr>
          <w:p>
            <w:r>
              <w:rPr>
                <w:rFonts w:ascii="Meiryo UI" w:hAnsi="Meiryo UI"/>
                <w:sz w:val="18"/>
              </w:rPr>
              <w:t>半導体材料セクター・TOK過去5年回帰推計</w:t>
            </w:r>
          </w:p>
        </w:tc>
      </w:tr>
      <w:tr>
        <w:tc>
          <w:tcPr>
            <w:tcW w:type="dxa" w:w="3135"/>
            <w:shd w:val="clear" w:color="auto" w:fill="DDEBF7"/>
          </w:tcPr>
          <w:p>
            <w:r>
              <w:rPr>
                <w:rFonts w:ascii="Meiryo UI" w:hAnsi="Meiryo UI"/>
                <w:sz w:val="18"/>
              </w:rPr>
              <w:t>株主資本コスト（Ke）</w:t>
            </w:r>
          </w:p>
        </w:tc>
        <w:tc>
          <w:tcPr>
            <w:tcW w:type="dxa" w:w="3135"/>
            <w:shd w:val="clear" w:color="auto" w:fill="DDEBF7"/>
          </w:tcPr>
          <w:p>
            <w:r>
              <w:rPr>
                <w:rFonts w:ascii="Meiryo UI" w:hAnsi="Meiryo UI"/>
                <w:sz w:val="18"/>
              </w:rPr>
              <w:t>1.5% + 1.15×6.0% = 8.4%</w:t>
            </w:r>
          </w:p>
        </w:tc>
        <w:tc>
          <w:tcPr>
            <w:tcW w:type="dxa" w:w="3135"/>
            <w:shd w:val="clear" w:color="auto" w:fill="DDEBF7"/>
          </w:tcPr>
          <w:p>
            <w:r>
              <w:rPr>
                <w:rFonts w:ascii="Meiryo UI" w:hAnsi="Meiryo UI"/>
                <w:sz w:val="18"/>
              </w:rPr>
              <w:t>CAPM</w:t>
            </w:r>
          </w:p>
        </w:tc>
      </w:tr>
      <w:tr>
        <w:tc>
          <w:tcPr>
            <w:tcW w:type="dxa" w:w="3135"/>
          </w:tcPr>
          <w:p>
            <w:r>
              <w:rPr>
                <w:rFonts w:ascii="Meiryo UI" w:hAnsi="Meiryo UI"/>
                <w:sz w:val="18"/>
              </w:rPr>
              <w:t>負債コスト（Kd）</w:t>
            </w:r>
          </w:p>
        </w:tc>
        <w:tc>
          <w:tcPr>
            <w:tcW w:type="dxa" w:w="3135"/>
          </w:tcPr>
          <w:p>
            <w:r>
              <w:rPr>
                <w:rFonts w:ascii="Meiryo UI" w:hAnsi="Meiryo UI"/>
                <w:sz w:val="18"/>
              </w:rPr>
              <w:t>1.0%</w:t>
            </w:r>
          </w:p>
        </w:tc>
        <w:tc>
          <w:tcPr>
            <w:tcW w:type="dxa" w:w="3135"/>
          </w:tcPr>
          <w:p>
            <w:r>
              <w:rPr>
                <w:rFonts w:ascii="Meiryo UI" w:hAnsi="Meiryo UI"/>
                <w:sz w:val="18"/>
              </w:rPr>
              <w:t>低金利・高格付け借入推計</w:t>
            </w:r>
          </w:p>
        </w:tc>
      </w:tr>
      <w:tr>
        <w:tc>
          <w:tcPr>
            <w:tcW w:type="dxa" w:w="3135"/>
            <w:shd w:val="clear" w:color="auto" w:fill="DDEBF7"/>
          </w:tcPr>
          <w:p>
            <w:r>
              <w:rPr>
                <w:rFonts w:ascii="Meiryo UI" w:hAnsi="Meiryo UI"/>
                <w:sz w:val="18"/>
              </w:rPr>
              <w:t>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日本法人税率ベース</w:t>
            </w:r>
          </w:p>
        </w:tc>
      </w:tr>
      <w:tr>
        <w:tc>
          <w:tcPr>
            <w:tcW w:type="dxa" w:w="3135"/>
          </w:tcPr>
          <w:p>
            <w:r>
              <w:rPr>
                <w:rFonts w:ascii="Meiryo UI" w:hAnsi="Meiryo UI"/>
                <w:sz w:val="18"/>
              </w:rPr>
              <w:t>税引後負債コスト</w:t>
            </w:r>
          </w:p>
        </w:tc>
        <w:tc>
          <w:tcPr>
            <w:tcW w:type="dxa" w:w="3135"/>
          </w:tcPr>
          <w:p>
            <w:r>
              <w:rPr>
                <w:rFonts w:ascii="Meiryo UI" w:hAnsi="Meiryo UI"/>
                <w:sz w:val="18"/>
              </w:rPr>
              <w:t>0.7%</w:t>
            </w:r>
          </w:p>
        </w:tc>
        <w:tc>
          <w:tcPr>
            <w:tcW w:type="dxa" w:w="3135"/>
          </w:tcPr>
          <w:p>
            <w:r>
              <w:rPr>
                <w:rFonts w:ascii="Meiryo UI" w:hAnsi="Meiryo UI"/>
                <w:sz w:val="18"/>
              </w:rPr>
            </w:r>
          </w:p>
        </w:tc>
      </w:tr>
      <w:tr>
        <w:tc>
          <w:tcPr>
            <w:tcW w:type="dxa" w:w="3135"/>
            <w:shd w:val="clear" w:color="auto" w:fill="DDEBF7"/>
          </w:tcPr>
          <w:p>
            <w:r>
              <w:rPr>
                <w:rFonts w:ascii="Meiryo UI" w:hAnsi="Meiryo UI"/>
                <w:sz w:val="18"/>
              </w:rPr>
              <w:t>D/（D+E）</w:t>
            </w:r>
          </w:p>
        </w:tc>
        <w:tc>
          <w:tcPr>
            <w:tcW w:type="dxa" w:w="3135"/>
            <w:shd w:val="clear" w:color="auto" w:fill="DDEBF7"/>
          </w:tcPr>
          <w:p>
            <w:r>
              <w:rPr>
                <w:rFonts w:ascii="Meiryo UI" w:hAnsi="Meiryo UI"/>
                <w:sz w:val="18"/>
              </w:rPr>
              <w:t>8%</w:t>
            </w:r>
          </w:p>
        </w:tc>
        <w:tc>
          <w:tcPr>
            <w:tcW w:type="dxa" w:w="3135"/>
            <w:shd w:val="clear" w:color="auto" w:fill="DDEBF7"/>
          </w:tcPr>
          <w:p>
            <w:r>
              <w:rPr>
                <w:rFonts w:ascii="Meiryo UI" w:hAnsi="Meiryo UI"/>
                <w:sz w:val="18"/>
              </w:rPr>
              <w:t>FY2025推計資本構成</w:t>
            </w:r>
          </w:p>
        </w:tc>
      </w:tr>
      <w:tr>
        <w:tc>
          <w:tcPr>
            <w:tcW w:type="dxa" w:w="3135"/>
          </w:tcPr>
          <w:p>
            <w:r>
              <w:rPr>
                <w:rFonts w:ascii="Meiryo UI" w:hAnsi="Meiryo UI"/>
                <w:sz w:val="18"/>
              </w:rPr>
              <w:t>E/（D+E）</w:t>
            </w:r>
          </w:p>
        </w:tc>
        <w:tc>
          <w:tcPr>
            <w:tcW w:type="dxa" w:w="3135"/>
          </w:tcPr>
          <w:p>
            <w:r>
              <w:rPr>
                <w:rFonts w:ascii="Meiryo UI" w:hAnsi="Meiryo UI"/>
                <w:sz w:val="18"/>
              </w:rPr>
              <w:t>92%</w:t>
            </w:r>
          </w:p>
        </w:tc>
        <w:tc>
          <w:tcPr>
            <w:tcW w:type="dxa" w:w="3135"/>
          </w:tcPr>
          <w:p>
            <w:r>
              <w:rPr>
                <w:rFonts w:ascii="Meiryo UI" w:hAnsi="Meiryo UI"/>
                <w:sz w:val="18"/>
              </w:rPr>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8.4%×0.92 + 0.7%×0.08 ≈ 7.8%</w:t>
            </w:r>
          </w:p>
        </w:tc>
        <w:tc>
          <w:tcPr>
            <w:tcW w:type="dxa" w:w="3135"/>
            <w:shd w:val="clear" w:color="auto" w:fill="DDEBF7"/>
          </w:tcPr>
          <w:p>
            <w:r>
              <w:rPr>
                <w:rFonts w:ascii="Meiryo UI" w:hAnsi="Meiryo UI"/>
                <w:sz w:val="18"/>
              </w:rPr>
            </w:r>
          </w:p>
        </w:tc>
      </w:tr>
    </w:tbl>
    <w:p/>
    <w:p>
      <w:r>
        <w:rPr>
          <w:rFonts w:ascii="Meiryo UI" w:hAnsi="Meiryo UI"/>
          <w:sz w:val="20"/>
        </w:rPr>
        <w:t>&gt; 深井コメント：TOKはネットキャッシュ企業のため負債ウェイトは低く、WACCは実質的に株主資本コスト≒7.8〜8.5%のレンジで安定。</w:t>
      </w:r>
    </w:p>
    <w:p/>
    <w:p>
      <w:r>
        <w:t>──────────────────────────────────────────────────</w:t>
      </w:r>
    </w:p>
    <w:p/>
    <w:p>
      <w:pPr>
        <w:pStyle w:val="Heading3"/>
      </w:pPr>
      <w:r>
        <w:rPr>
          <w:rFonts w:ascii="Meiryo UI" w:hAnsi="Meiryo UI"/>
          <w:color w:val="2E74B5"/>
        </w:rPr>
        <w:t>4.2 DCFモデル前提条件</w:t>
      </w:r>
    </w:p>
    <w:p/>
    <w:p>
      <w:pPr>
        <w:pStyle w:val="Heading4"/>
      </w:pPr>
      <w:r>
        <w:rPr>
          <w:rFonts w:ascii="Meiryo UI" w:hAnsi="Meiryo UI"/>
          <w:color w:val="2E74B5"/>
        </w:rPr>
        <w:t>売上高成長率仮定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期間</w:t>
            </w:r>
          </w:p>
        </w:tc>
        <w:tc>
          <w:tcPr>
            <w:tcW w:type="dxa" w:w="2351"/>
            <w:shd w:val="clear" w:color="auto" w:fill="2E74B5"/>
          </w:tcPr>
          <w:p>
            <w:r>
              <w:rPr>
                <w:rFonts w:ascii="Meiryo UI" w:hAnsi="Meiryo UI"/>
                <w:b/>
                <w:color w:val="FFFFFF"/>
                <w:sz w:val="18"/>
              </w:rPr>
              <w:t>成長率（基本）</w:t>
            </w:r>
          </w:p>
        </w:tc>
        <w:tc>
          <w:tcPr>
            <w:tcW w:type="dxa" w:w="2351"/>
            <w:shd w:val="clear" w:color="auto" w:fill="2E74B5"/>
          </w:tcPr>
          <w:p>
            <w:r>
              <w:rPr>
                <w:rFonts w:ascii="Meiryo UI" w:hAnsi="Meiryo UI"/>
                <w:b/>
                <w:color w:val="FFFFFF"/>
                <w:sz w:val="18"/>
              </w:rPr>
              <w:t>成長率（強気）</w:t>
            </w:r>
          </w:p>
        </w:tc>
        <w:tc>
          <w:tcPr>
            <w:tcW w:type="dxa" w:w="2351"/>
            <w:shd w:val="clear" w:color="auto" w:fill="2E74B5"/>
          </w:tcPr>
          <w:p>
            <w:r>
              <w:rPr>
                <w:rFonts w:ascii="Meiryo UI" w:hAnsi="Meiryo UI"/>
                <w:b/>
                <w:color w:val="FFFFFF"/>
                <w:sz w:val="18"/>
              </w:rPr>
              <w:t>成長率（弱気）</w:t>
            </w:r>
          </w:p>
        </w:tc>
      </w:tr>
      <w:tr>
        <w:tc>
          <w:tcPr>
            <w:tcW w:type="dxa" w:w="2351"/>
          </w:tcPr>
          <w:p>
            <w:r>
              <w:rPr>
                <w:rFonts w:ascii="Meiryo UI" w:hAnsi="Meiryo UI"/>
                <w:sz w:val="18"/>
              </w:rPr>
              <w:t>FY2026</w:t>
            </w:r>
          </w:p>
        </w:tc>
        <w:tc>
          <w:tcPr>
            <w:tcW w:type="dxa" w:w="2351"/>
          </w:tcPr>
          <w:p>
            <w:r>
              <w:rPr>
                <w:rFonts w:ascii="Meiryo UI" w:hAnsi="Meiryo UI"/>
                <w:sz w:val="18"/>
              </w:rPr>
              <w:t>+8.0%</w:t>
            </w:r>
          </w:p>
        </w:tc>
        <w:tc>
          <w:tcPr>
            <w:tcW w:type="dxa" w:w="2351"/>
          </w:tcPr>
          <w:p>
            <w:r>
              <w:rPr>
                <w:rFonts w:ascii="Meiryo UI" w:hAnsi="Meiryo UI"/>
                <w:sz w:val="18"/>
              </w:rPr>
              <w:t>+12.0%</w:t>
            </w:r>
          </w:p>
        </w:tc>
        <w:tc>
          <w:tcPr>
            <w:tcW w:type="dxa" w:w="2351"/>
          </w:tcPr>
          <w:p>
            <w:r>
              <w:rPr>
                <w:rFonts w:ascii="Meiryo UI" w:hAnsi="Meiryo UI"/>
                <w:sz w:val="18"/>
              </w:rPr>
              <w:t>+4.0%</w:t>
            </w:r>
          </w:p>
        </w:tc>
      </w:tr>
      <w:tr>
        <w:tc>
          <w:tcPr>
            <w:tcW w:type="dxa" w:w="2351"/>
            <w:shd w:val="clear" w:color="auto" w:fill="DDEBF7"/>
          </w:tcPr>
          <w:p>
            <w:r>
              <w:rPr>
                <w:rFonts w:ascii="Meiryo UI" w:hAnsi="Meiryo UI"/>
                <w:sz w:val="18"/>
              </w:rPr>
              <w:t>FY2027</w:t>
            </w:r>
          </w:p>
        </w:tc>
        <w:tc>
          <w:tcPr>
            <w:tcW w:type="dxa" w:w="2351"/>
            <w:shd w:val="clear" w:color="auto" w:fill="DDEBF7"/>
          </w:tcPr>
          <w:p>
            <w:r>
              <w:rPr>
                <w:rFonts w:ascii="Meiryo UI" w:hAnsi="Meiryo UI"/>
                <w:sz w:val="18"/>
              </w:rPr>
              <w:t>+9.0%</w:t>
            </w:r>
          </w:p>
        </w:tc>
        <w:tc>
          <w:tcPr>
            <w:tcW w:type="dxa" w:w="2351"/>
            <w:shd w:val="clear" w:color="auto" w:fill="DDEBF7"/>
          </w:tcPr>
          <w:p>
            <w:r>
              <w:rPr>
                <w:rFonts w:ascii="Meiryo UI" w:hAnsi="Meiryo UI"/>
                <w:sz w:val="18"/>
              </w:rPr>
              <w:t>+13.0%</w:t>
            </w:r>
          </w:p>
        </w:tc>
        <w:tc>
          <w:tcPr>
            <w:tcW w:type="dxa" w:w="2351"/>
            <w:shd w:val="clear" w:color="auto" w:fill="DDEBF7"/>
          </w:tcPr>
          <w:p>
            <w:r>
              <w:rPr>
                <w:rFonts w:ascii="Meiryo UI" w:hAnsi="Meiryo UI"/>
                <w:sz w:val="18"/>
              </w:rPr>
              <w:t>+3.0%</w:t>
            </w:r>
          </w:p>
        </w:tc>
      </w:tr>
      <w:tr>
        <w:tc>
          <w:tcPr>
            <w:tcW w:type="dxa" w:w="2351"/>
          </w:tcPr>
          <w:p>
            <w:r>
              <w:rPr>
                <w:rFonts w:ascii="Meiryo UI" w:hAnsi="Meiryo UI"/>
                <w:sz w:val="18"/>
              </w:rPr>
              <w:t>FY2028</w:t>
            </w:r>
          </w:p>
        </w:tc>
        <w:tc>
          <w:tcPr>
            <w:tcW w:type="dxa" w:w="2351"/>
          </w:tcPr>
          <w:p>
            <w:r>
              <w:rPr>
                <w:rFonts w:ascii="Meiryo UI" w:hAnsi="Meiryo UI"/>
                <w:sz w:val="18"/>
              </w:rPr>
              <w:t>+8.0%</w:t>
            </w:r>
          </w:p>
        </w:tc>
        <w:tc>
          <w:tcPr>
            <w:tcW w:type="dxa" w:w="2351"/>
          </w:tcPr>
          <w:p>
            <w:r>
              <w:rPr>
                <w:rFonts w:ascii="Meiryo UI" w:hAnsi="Meiryo UI"/>
                <w:sz w:val="18"/>
              </w:rPr>
              <w:t>+12.0%</w:t>
            </w:r>
          </w:p>
        </w:tc>
        <w:tc>
          <w:tcPr>
            <w:tcW w:type="dxa" w:w="2351"/>
          </w:tcPr>
          <w:p>
            <w:r>
              <w:rPr>
                <w:rFonts w:ascii="Meiryo UI" w:hAnsi="Meiryo UI"/>
                <w:sz w:val="18"/>
              </w:rPr>
              <w:t>+3.0%</w:t>
            </w:r>
          </w:p>
        </w:tc>
      </w:tr>
      <w:tr>
        <w:tc>
          <w:tcPr>
            <w:tcW w:type="dxa" w:w="2351"/>
            <w:shd w:val="clear" w:color="auto" w:fill="DDEBF7"/>
          </w:tcPr>
          <w:p>
            <w:r>
              <w:rPr>
                <w:rFonts w:ascii="Meiryo UI" w:hAnsi="Meiryo UI"/>
                <w:sz w:val="18"/>
              </w:rPr>
              <w:t>FY2029</w:t>
            </w:r>
          </w:p>
        </w:tc>
        <w:tc>
          <w:tcPr>
            <w:tcW w:type="dxa" w:w="2351"/>
            <w:shd w:val="clear" w:color="auto" w:fill="DDEBF7"/>
          </w:tcPr>
          <w:p>
            <w:r>
              <w:rPr>
                <w:rFonts w:ascii="Meiryo UI" w:hAnsi="Meiryo UI"/>
                <w:sz w:val="18"/>
              </w:rPr>
              <w:t>+7.0%</w:t>
            </w:r>
          </w:p>
        </w:tc>
        <w:tc>
          <w:tcPr>
            <w:tcW w:type="dxa" w:w="2351"/>
            <w:shd w:val="clear" w:color="auto" w:fill="DDEBF7"/>
          </w:tcPr>
          <w:p>
            <w:r>
              <w:rPr>
                <w:rFonts w:ascii="Meiryo UI" w:hAnsi="Meiryo UI"/>
                <w:sz w:val="18"/>
              </w:rPr>
              <w:t>+10.0%</w:t>
            </w:r>
          </w:p>
        </w:tc>
        <w:tc>
          <w:tcPr>
            <w:tcW w:type="dxa" w:w="2351"/>
            <w:shd w:val="clear" w:color="auto" w:fill="DDEBF7"/>
          </w:tcPr>
          <w:p>
            <w:r>
              <w:rPr>
                <w:rFonts w:ascii="Meiryo UI" w:hAnsi="Meiryo UI"/>
                <w:sz w:val="18"/>
              </w:rPr>
              <w:t>+2.0%</w:t>
            </w:r>
          </w:p>
        </w:tc>
      </w:tr>
      <w:tr>
        <w:tc>
          <w:tcPr>
            <w:tcW w:type="dxa" w:w="2351"/>
          </w:tcPr>
          <w:p>
            <w:r>
              <w:rPr>
                <w:rFonts w:ascii="Meiryo UI" w:hAnsi="Meiryo UI"/>
                <w:sz w:val="18"/>
              </w:rPr>
              <w:t>FY2030</w:t>
            </w:r>
          </w:p>
        </w:tc>
        <w:tc>
          <w:tcPr>
            <w:tcW w:type="dxa" w:w="2351"/>
          </w:tcPr>
          <w:p>
            <w:r>
              <w:rPr>
                <w:rFonts w:ascii="Meiryo UI" w:hAnsi="Meiryo UI"/>
                <w:sz w:val="18"/>
              </w:rPr>
              <w:t>+6.0%</w:t>
            </w:r>
          </w:p>
        </w:tc>
        <w:tc>
          <w:tcPr>
            <w:tcW w:type="dxa" w:w="2351"/>
          </w:tcPr>
          <w:p>
            <w:r>
              <w:rPr>
                <w:rFonts w:ascii="Meiryo UI" w:hAnsi="Meiryo UI"/>
                <w:sz w:val="18"/>
              </w:rPr>
              <w:t>+8.0%</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ターミナル成長率（g）</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1.0%</w:t>
            </w:r>
          </w:p>
        </w:tc>
      </w:tr>
    </w:tbl>
    <w:p/>
    <w:p>
      <w:pPr>
        <w:pStyle w:val="Heading4"/>
      </w:pPr>
      <w:r>
        <w:rPr>
          <w:rFonts w:ascii="Meiryo UI" w:hAnsi="Meiryo UI"/>
          <w:color w:val="2E74B5"/>
        </w:rPr>
        <w:t>利益率仮定（基本シナリオ）</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指標</w:t>
            </w:r>
          </w:p>
        </w:tc>
        <w:tc>
          <w:tcPr>
            <w:tcW w:type="dxa" w:w="1568"/>
            <w:shd w:val="clear" w:color="auto" w:fill="2E74B5"/>
          </w:tcPr>
          <w:p>
            <w:r>
              <w:rPr>
                <w:rFonts w:ascii="Meiryo UI" w:hAnsi="Meiryo UI"/>
                <w:b/>
                <w:color w:val="FFFFFF"/>
                <w:sz w:val="18"/>
              </w:rPr>
              <w:t>FY2026</w:t>
            </w:r>
          </w:p>
        </w:tc>
        <w:tc>
          <w:tcPr>
            <w:tcW w:type="dxa" w:w="1568"/>
            <w:shd w:val="clear" w:color="auto" w:fill="2E74B5"/>
          </w:tcPr>
          <w:p>
            <w:r>
              <w:rPr>
                <w:rFonts w:ascii="Meiryo UI" w:hAnsi="Meiryo UI"/>
                <w:b/>
                <w:color w:val="FFFFFF"/>
                <w:sz w:val="18"/>
              </w:rPr>
              <w:t>FY2027</w:t>
            </w:r>
          </w:p>
        </w:tc>
        <w:tc>
          <w:tcPr>
            <w:tcW w:type="dxa" w:w="1568"/>
            <w:shd w:val="clear" w:color="auto" w:fill="2E74B5"/>
          </w:tcPr>
          <w:p>
            <w:r>
              <w:rPr>
                <w:rFonts w:ascii="Meiryo UI" w:hAnsi="Meiryo UI"/>
                <w:b/>
                <w:color w:val="FFFFFF"/>
                <w:sz w:val="18"/>
              </w:rPr>
              <w:t>FY2028</w:t>
            </w:r>
          </w:p>
        </w:tc>
        <w:tc>
          <w:tcPr>
            <w:tcW w:type="dxa" w:w="1568"/>
            <w:shd w:val="clear" w:color="auto" w:fill="2E74B5"/>
          </w:tcPr>
          <w:p>
            <w:r>
              <w:rPr>
                <w:rFonts w:ascii="Meiryo UI" w:hAnsi="Meiryo UI"/>
                <w:b/>
                <w:color w:val="FFFFFF"/>
                <w:sz w:val="18"/>
              </w:rPr>
              <w:t>FY2029</w:t>
            </w:r>
          </w:p>
        </w:tc>
        <w:tc>
          <w:tcPr>
            <w:tcW w:type="dxa" w:w="1568"/>
            <w:shd w:val="clear" w:color="auto" w:fill="2E74B5"/>
          </w:tcPr>
          <w:p>
            <w:r>
              <w:rPr>
                <w:rFonts w:ascii="Meiryo UI" w:hAnsi="Meiryo UI"/>
                <w:b/>
                <w:color w:val="FFFFFF"/>
                <w:sz w:val="18"/>
              </w:rPr>
              <w:t>FY2030</w:t>
            </w:r>
          </w:p>
        </w:tc>
      </w:tr>
      <w:tr>
        <w:tc>
          <w:tcPr>
            <w:tcW w:type="dxa" w:w="1568"/>
          </w:tcPr>
          <w:p>
            <w:r>
              <w:rPr>
                <w:rFonts w:ascii="Meiryo UI" w:hAnsi="Meiryo UI"/>
                <w:sz w:val="18"/>
              </w:rPr>
              <w:t>営業利益率</w:t>
            </w:r>
          </w:p>
        </w:tc>
        <w:tc>
          <w:tcPr>
            <w:tcW w:type="dxa" w:w="1568"/>
          </w:tcPr>
          <w:p>
            <w:r>
              <w:rPr>
                <w:rFonts w:ascii="Meiryo UI" w:hAnsi="Meiryo UI"/>
                <w:sz w:val="18"/>
              </w:rPr>
              <w:t>15.0%</w:t>
            </w:r>
          </w:p>
        </w:tc>
        <w:tc>
          <w:tcPr>
            <w:tcW w:type="dxa" w:w="1568"/>
          </w:tcPr>
          <w:p>
            <w:r>
              <w:rPr>
                <w:rFonts w:ascii="Meiryo UI" w:hAnsi="Meiryo UI"/>
                <w:sz w:val="18"/>
              </w:rPr>
              <w:t>15.5%</w:t>
            </w:r>
          </w:p>
        </w:tc>
        <w:tc>
          <w:tcPr>
            <w:tcW w:type="dxa" w:w="1568"/>
          </w:tcPr>
          <w:p>
            <w:r>
              <w:rPr>
                <w:rFonts w:ascii="Meiryo UI" w:hAnsi="Meiryo UI"/>
                <w:sz w:val="18"/>
              </w:rPr>
              <w:t>16.0%</w:t>
            </w:r>
          </w:p>
        </w:tc>
        <w:tc>
          <w:tcPr>
            <w:tcW w:type="dxa" w:w="1568"/>
          </w:tcPr>
          <w:p>
            <w:r>
              <w:rPr>
                <w:rFonts w:ascii="Meiryo UI" w:hAnsi="Meiryo UI"/>
                <w:sz w:val="18"/>
              </w:rPr>
              <w:t>16.5%</w:t>
            </w:r>
          </w:p>
        </w:tc>
        <w:tc>
          <w:tcPr>
            <w:tcW w:type="dxa" w:w="1568"/>
          </w:tcPr>
          <w:p>
            <w:r>
              <w:rPr>
                <w:rFonts w:ascii="Meiryo UI" w:hAnsi="Meiryo UI"/>
                <w:sz w:val="18"/>
              </w:rPr>
              <w:t>17.0%</w:t>
            </w:r>
          </w:p>
        </w:tc>
      </w:tr>
      <w:tr>
        <w:tc>
          <w:tcPr>
            <w:tcW w:type="dxa" w:w="1568"/>
            <w:shd w:val="clear" w:color="auto" w:fill="DDEBF7"/>
          </w:tcPr>
          <w:p>
            <w:r>
              <w:rPr>
                <w:rFonts w:ascii="Meiryo UI" w:hAnsi="Meiryo UI"/>
                <w:sz w:val="18"/>
              </w:rPr>
              <w:t>NOPAT率</w:t>
            </w:r>
          </w:p>
        </w:tc>
        <w:tc>
          <w:tcPr>
            <w:tcW w:type="dxa" w:w="1568"/>
            <w:shd w:val="clear" w:color="auto" w:fill="DDEBF7"/>
          </w:tcPr>
          <w:p>
            <w:r>
              <w:rPr>
                <w:rFonts w:ascii="Meiryo UI" w:hAnsi="Meiryo UI"/>
                <w:sz w:val="18"/>
              </w:rPr>
              <w:t>10.5%</w:t>
            </w:r>
          </w:p>
        </w:tc>
        <w:tc>
          <w:tcPr>
            <w:tcW w:type="dxa" w:w="1568"/>
            <w:shd w:val="clear" w:color="auto" w:fill="DDEBF7"/>
          </w:tcPr>
          <w:p>
            <w:r>
              <w:rPr>
                <w:rFonts w:ascii="Meiryo UI" w:hAnsi="Meiryo UI"/>
                <w:sz w:val="18"/>
              </w:rPr>
              <w:t>10.9%</w:t>
            </w:r>
          </w:p>
        </w:tc>
        <w:tc>
          <w:tcPr>
            <w:tcW w:type="dxa" w:w="1568"/>
            <w:shd w:val="clear" w:color="auto" w:fill="DDEBF7"/>
          </w:tcPr>
          <w:p>
            <w:r>
              <w:rPr>
                <w:rFonts w:ascii="Meiryo UI" w:hAnsi="Meiryo UI"/>
                <w:sz w:val="18"/>
              </w:rPr>
              <w:t>11.2%</w:t>
            </w:r>
          </w:p>
        </w:tc>
        <w:tc>
          <w:tcPr>
            <w:tcW w:type="dxa" w:w="1568"/>
            <w:shd w:val="clear" w:color="auto" w:fill="DDEBF7"/>
          </w:tcPr>
          <w:p>
            <w:r>
              <w:rPr>
                <w:rFonts w:ascii="Meiryo UI" w:hAnsi="Meiryo UI"/>
                <w:sz w:val="18"/>
              </w:rPr>
              <w:t>11.6%</w:t>
            </w:r>
          </w:p>
        </w:tc>
        <w:tc>
          <w:tcPr>
            <w:tcW w:type="dxa" w:w="1568"/>
            <w:shd w:val="clear" w:color="auto" w:fill="DDEBF7"/>
          </w:tcPr>
          <w:p>
            <w:r>
              <w:rPr>
                <w:rFonts w:ascii="Meiryo UI" w:hAnsi="Meiryo UI"/>
                <w:sz w:val="18"/>
              </w:rPr>
              <w:t>11.9%</w:t>
            </w:r>
          </w:p>
        </w:tc>
      </w:tr>
      <w:tr>
        <w:tc>
          <w:tcPr>
            <w:tcW w:type="dxa" w:w="1568"/>
          </w:tcPr>
          <w:p>
            <w:r>
              <w:rPr>
                <w:rFonts w:ascii="Meiryo UI" w:hAnsi="Meiryo UI"/>
                <w:sz w:val="18"/>
              </w:rPr>
              <w:t>FCFマージン</w:t>
            </w:r>
          </w:p>
        </w:tc>
        <w:tc>
          <w:tcPr>
            <w:tcW w:type="dxa" w:w="1568"/>
          </w:tcPr>
          <w:p>
            <w:r>
              <w:rPr>
                <w:rFonts w:ascii="Meiryo UI" w:hAnsi="Meiryo UI"/>
                <w:sz w:val="18"/>
              </w:rPr>
              <w:t>7.0%</w:t>
            </w:r>
          </w:p>
        </w:tc>
        <w:tc>
          <w:tcPr>
            <w:tcW w:type="dxa" w:w="1568"/>
          </w:tcPr>
          <w:p>
            <w:r>
              <w:rPr>
                <w:rFonts w:ascii="Meiryo UI" w:hAnsi="Meiryo UI"/>
                <w:sz w:val="18"/>
              </w:rPr>
              <w:t>7.5%</w:t>
            </w:r>
          </w:p>
        </w:tc>
        <w:tc>
          <w:tcPr>
            <w:tcW w:type="dxa" w:w="1568"/>
          </w:tcPr>
          <w:p>
            <w:r>
              <w:rPr>
                <w:rFonts w:ascii="Meiryo UI" w:hAnsi="Meiryo UI"/>
                <w:sz w:val="18"/>
              </w:rPr>
              <w:t>8.5%</w:t>
            </w:r>
          </w:p>
        </w:tc>
        <w:tc>
          <w:tcPr>
            <w:tcW w:type="dxa" w:w="1568"/>
          </w:tcPr>
          <w:p>
            <w:r>
              <w:rPr>
                <w:rFonts w:ascii="Meiryo UI" w:hAnsi="Meiryo UI"/>
                <w:sz w:val="18"/>
              </w:rPr>
              <w:t>9.0%</w:t>
            </w:r>
          </w:p>
        </w:tc>
        <w:tc>
          <w:tcPr>
            <w:tcW w:type="dxa" w:w="1568"/>
          </w:tcPr>
          <w:p>
            <w:r>
              <w:rPr>
                <w:rFonts w:ascii="Meiryo UI" w:hAnsi="Meiryo UI"/>
                <w:sz w:val="18"/>
              </w:rPr>
              <w:t>9.5%</w:t>
            </w:r>
          </w:p>
        </w:tc>
      </w:tr>
    </w:tbl>
    <w:p/>
    <w:p>
      <w:r>
        <w:t>──────────────────────────────────────────────────</w:t>
      </w:r>
    </w:p>
    <w:p/>
    <w:p>
      <w:pPr>
        <w:pStyle w:val="Heading3"/>
      </w:pPr>
      <w:r>
        <w:rPr>
          <w:rFonts w:ascii="Meiryo UI" w:hAnsi="Meiryo UI"/>
          <w:color w:val="2E74B5"/>
        </w:rPr>
        <w:t>4.3 DCF計算（基本シナリオ）</w:t>
      </w:r>
    </w:p>
    <w:p/>
    <w:p>
      <w:r>
        <w:rPr>
          <w:rFonts w:ascii="Meiryo UI" w:hAnsi="Meiryo UI"/>
          <w:sz w:val="20"/>
        </w:rPr>
        <w:t>前提：売上高FY2025ベース ¥185,000M、発行済株式数 約45百万株</w:t>
      </w:r>
    </w:p>
    <w:p/>
    <w:p>
      <w:pPr>
        <w:shd w:val="clear" w:color="auto" w:fill="F2F2F2"/>
      </w:pPr>
      <w:r>
        <w:rPr>
          <w:rFonts w:ascii="Courier New" w:hAnsi="Courier New"/>
          <w:sz w:val="16"/>
        </w:rPr>
        <w:t>【基本シナリオ DCFテーブル】（単位：百万円）</w:t>
        <w:br/>
        <w:br/>
        <w:t xml:space="preserve">  Year   | 売上高      | FCFマージン | FCF       | 割引率  | PV of FCF</w:t>
        <w:br/>
        <w:t xml:space="preserve">  -------|-------------|------------|-----------|---------|----------</w:t>
        <w:br/>
        <w:t xml:space="preserve">  FY2026 | ¥199,800M  | 7.0%       | ¥13,986M  | 0.927   | ¥12,965M</w:t>
        <w:br/>
        <w:t xml:space="preserve">  FY2027 | ¥217,782M  | 7.5%       | ¥16,334M  | 0.859   | ¥14,031M</w:t>
        <w:br/>
        <w:t xml:space="preserve">  FY2028 | ¥235,204M  | 8.5%       | ¥19,992M  | 0.796   | ¥15,914M</w:t>
        <w:br/>
        <w:t xml:space="preserve">  FY2029 | ¥251,668M  | 9.0%       | ¥22,650M  | 0.738   | ¥16,715M</w:t>
        <w:br/>
        <w:t xml:space="preserve">  FY2030 | ¥266,768M  | 9.5%       | ¥25,343M  | 0.684   | ¥17,335M</w:t>
        <w:br/>
        <w:t xml:space="preserve">  </w:t>
        <w:br/>
        <w:t xml:space="preserve">  予測期間FCF PV合計：¥76,960M</w:t>
        <w:br/>
        <w:t xml:space="preserve">  </w:t>
        <w:br/>
        <w:t xml:space="preserve">  ターミナルバリュー（TV）計算：</w:t>
        <w:br/>
        <w:t xml:space="preserve">    TV = FCF(FY2030) × (1+g) / (WACC-g)</w:t>
        <w:br/>
        <w:t xml:space="preserve">       = ¥25,343M × 1.02 / (0.078 - 0.02)</w:t>
        <w:br/>
        <w:t xml:space="preserve">       = ¥25,850M / 0.058</w:t>
        <w:br/>
        <w:t xml:space="preserve">       = ¥445,690M</w:t>
        <w:br/>
        <w:t xml:space="preserve">    </w:t>
        <w:br/>
        <w:t xml:space="preserve">  TV現在価値 = ¥445,690M × 0.684 = ¥304,852M</w:t>
        <w:br/>
        <w:t xml:space="preserve">  </w:t>
        <w:br/>
        <w:t xml:space="preserve">  企業価値（EV）= ¥76,960M + ¥304,852M = ¥381,812M</w:t>
        <w:br/>
        <w:t xml:space="preserve">  </w:t>
        <w:br/>
        <w:t xml:space="preserve">  株式価値 = EV + ネットキャッシュ - 少数株主持分等</w:t>
        <w:br/>
        <w:t xml:space="preserve">           = ¥381,812M + ¥30,000M</w:t>
        <w:br/>
        <w:t xml:space="preserve">           = ¥411,812M</w:t>
        <w:br/>
        <w:t xml:space="preserve">  </w:t>
        <w:br/>
        <w:t xml:space="preserve">  理論株価（基本）= ¥411,812M ÷ 45,000千株</w:t>
        <w:br/>
        <w:t xml:space="preserve">                 ≈ ¥9,151</w:t>
        <w:br/>
        <w:t xml:space="preserve">  </w:t>
        <w:br/>
        <w:t xml:space="preserve">  ※株式分割（2:1想定）後の理論株価 ≈ ¥4,575〜¥4,600</w:t>
      </w:r>
    </w:p>
    <w:p/>
    <w:p>
      <w:r>
        <w:t>──────────────────────────────────────────────────</w:t>
      </w:r>
    </w:p>
    <w:p/>
    <w:p>
      <w:pPr>
        <w:pStyle w:val="Heading3"/>
      </w:pPr>
      <w:r>
        <w:rPr>
          <w:rFonts w:ascii="Meiryo UI" w:hAnsi="Meiryo UI"/>
          <w:color w:val="2E74B5"/>
        </w:rPr>
        <w:t>4.4 三シナリオ理論株価サマリー</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g</w:t>
            </w:r>
          </w:p>
        </w:tc>
        <w:tc>
          <w:tcPr>
            <w:tcW w:type="dxa" w:w="1881"/>
            <w:shd w:val="clear" w:color="auto" w:fill="2E74B5"/>
          </w:tcPr>
          <w:p>
            <w:r>
              <w:rPr>
                <w:rFonts w:ascii="Meiryo UI" w:hAnsi="Meiryo UI"/>
                <w:b/>
                <w:color w:val="FFFFFF"/>
                <w:sz w:val="18"/>
              </w:rPr>
              <w:t>理論株価（分割前）</w:t>
            </w:r>
          </w:p>
        </w:tc>
        <w:tc>
          <w:tcPr>
            <w:tcW w:type="dxa" w:w="1881"/>
            <w:shd w:val="clear" w:color="auto" w:fill="2E74B5"/>
          </w:tcPr>
          <w:p>
            <w:r>
              <w:rPr>
                <w:rFonts w:ascii="Meiryo UI" w:hAnsi="Meiryo UI"/>
                <w:b/>
                <w:color w:val="FFFFFF"/>
                <w:sz w:val="18"/>
              </w:rPr>
              <w:t>理論株価（2:1分割後想定）</w:t>
            </w:r>
          </w:p>
        </w:tc>
      </w:tr>
      <w:tr>
        <w:tc>
          <w:tcPr>
            <w:tcW w:type="dxa" w:w="1881"/>
          </w:tcPr>
          <w:p>
            <w:r>
              <w:rPr>
                <w:rFonts w:ascii="Meiryo UI" w:hAnsi="Meiryo UI"/>
                <w:sz w:val="18"/>
              </w:rPr>
              <w:t>強気シナリオ</w:t>
            </w:r>
          </w:p>
        </w:tc>
        <w:tc>
          <w:tcPr>
            <w:tcW w:type="dxa" w:w="1881"/>
          </w:tcPr>
          <w:p>
            <w:r>
              <w:rPr>
                <w:rFonts w:ascii="Meiryo UI" w:hAnsi="Meiryo UI"/>
                <w:sz w:val="18"/>
              </w:rPr>
              <w:t>7.5%</w:t>
            </w:r>
          </w:p>
        </w:tc>
        <w:tc>
          <w:tcPr>
            <w:tcW w:type="dxa" w:w="1881"/>
          </w:tcPr>
          <w:p>
            <w:r>
              <w:rPr>
                <w:rFonts w:ascii="Meiryo UI" w:hAnsi="Meiryo UI"/>
                <w:sz w:val="18"/>
              </w:rPr>
              <w:t>2.5%</w:t>
            </w:r>
          </w:p>
        </w:tc>
        <w:tc>
          <w:tcPr>
            <w:tcW w:type="dxa" w:w="1881"/>
          </w:tcPr>
          <w:p>
            <w:r>
              <w:rPr>
                <w:rFonts w:ascii="Meiryo UI" w:hAnsi="Meiryo UI"/>
                <w:sz w:val="18"/>
              </w:rPr>
              <w:t>¥12,400</w:t>
            </w:r>
          </w:p>
        </w:tc>
        <w:tc>
          <w:tcPr>
            <w:tcW w:type="dxa" w:w="1881"/>
          </w:tcPr>
          <w:p>
            <w:r>
              <w:rPr>
                <w:rFonts w:ascii="Meiryo UI" w:hAnsi="Meiryo UI"/>
                <w:sz w:val="18"/>
              </w:rPr>
              <w:t>¥6,200</w:t>
            </w:r>
          </w:p>
        </w:tc>
      </w:tr>
      <w:tr>
        <w:tc>
          <w:tcPr>
            <w:tcW w:type="dxa" w:w="1881"/>
            <w:shd w:val="clear" w:color="auto" w:fill="DDEBF7"/>
          </w:tcPr>
          <w:p>
            <w:r>
              <w:rPr>
                <w:rFonts w:ascii="Meiryo UI" w:hAnsi="Meiryo UI"/>
                <w:sz w:val="18"/>
              </w:rPr>
              <w:t>基本シナリオ</w:t>
            </w:r>
          </w:p>
        </w:tc>
        <w:tc>
          <w:tcPr>
            <w:tcW w:type="dxa" w:w="1881"/>
            <w:shd w:val="clear" w:color="auto" w:fill="DDEBF7"/>
          </w:tcPr>
          <w:p>
            <w:r>
              <w:rPr>
                <w:rFonts w:ascii="Meiryo UI" w:hAnsi="Meiryo UI"/>
                <w:sz w:val="18"/>
              </w:rPr>
              <w:t>7.8%</w:t>
            </w:r>
          </w:p>
        </w:tc>
        <w:tc>
          <w:tcPr>
            <w:tcW w:type="dxa" w:w="1881"/>
            <w:shd w:val="clear" w:color="auto" w:fill="DDEBF7"/>
          </w:tcPr>
          <w:p>
            <w:r>
              <w:rPr>
                <w:rFonts w:ascii="Meiryo UI" w:hAnsi="Meiryo UI"/>
                <w:sz w:val="18"/>
              </w:rPr>
              <w:t>2.0%</w:t>
            </w:r>
          </w:p>
        </w:tc>
        <w:tc>
          <w:tcPr>
            <w:tcW w:type="dxa" w:w="1881"/>
            <w:shd w:val="clear" w:color="auto" w:fill="DDEBF7"/>
          </w:tcPr>
          <w:p>
            <w:r>
              <w:rPr>
                <w:rFonts w:ascii="Meiryo UI" w:hAnsi="Meiryo UI"/>
                <w:sz w:val="18"/>
              </w:rPr>
              <w:t>¥9,150</w:t>
            </w:r>
          </w:p>
        </w:tc>
        <w:tc>
          <w:tcPr>
            <w:tcW w:type="dxa" w:w="1881"/>
            <w:shd w:val="clear" w:color="auto" w:fill="DDEBF7"/>
          </w:tcPr>
          <w:p>
            <w:r>
              <w:rPr>
                <w:rFonts w:ascii="Meiryo UI" w:hAnsi="Meiryo UI"/>
                <w:sz w:val="18"/>
              </w:rPr>
              <w:t>¥4,575</w:t>
            </w:r>
          </w:p>
        </w:tc>
      </w:tr>
      <w:tr>
        <w:tc>
          <w:tcPr>
            <w:tcW w:type="dxa" w:w="1881"/>
          </w:tcPr>
          <w:p>
            <w:r>
              <w:rPr>
                <w:rFonts w:ascii="Meiryo UI" w:hAnsi="Meiryo UI"/>
                <w:sz w:val="18"/>
              </w:rPr>
              <w:t>弱気シナリオ</w:t>
            </w:r>
          </w:p>
        </w:tc>
        <w:tc>
          <w:tcPr>
            <w:tcW w:type="dxa" w:w="1881"/>
          </w:tcPr>
          <w:p>
            <w:r>
              <w:rPr>
                <w:rFonts w:ascii="Meiryo UI" w:hAnsi="Meiryo UI"/>
                <w:sz w:val="18"/>
              </w:rPr>
              <w:t>8.5%</w:t>
            </w:r>
          </w:p>
        </w:tc>
        <w:tc>
          <w:tcPr>
            <w:tcW w:type="dxa" w:w="1881"/>
          </w:tcPr>
          <w:p>
            <w:r>
              <w:rPr>
                <w:rFonts w:ascii="Meiryo UI" w:hAnsi="Meiryo UI"/>
                <w:sz w:val="18"/>
              </w:rPr>
              <w:t>1.0%</w:t>
            </w:r>
          </w:p>
        </w:tc>
        <w:tc>
          <w:tcPr>
            <w:tcW w:type="dxa" w:w="1881"/>
          </w:tcPr>
          <w:p>
            <w:r>
              <w:rPr>
                <w:rFonts w:ascii="Meiryo UI" w:hAnsi="Meiryo UI"/>
                <w:sz w:val="18"/>
              </w:rPr>
              <w:t>¥5,800</w:t>
            </w:r>
          </w:p>
        </w:tc>
        <w:tc>
          <w:tcPr>
            <w:tcW w:type="dxa" w:w="1881"/>
          </w:tcPr>
          <w:p>
            <w:r>
              <w:rPr>
                <w:rFonts w:ascii="Meiryo UI" w:hAnsi="Meiryo UI"/>
                <w:sz w:val="18"/>
              </w:rPr>
              <w:t>¥2,900</w:t>
            </w:r>
          </w:p>
        </w:tc>
      </w:tr>
    </w:tbl>
    <w:p/>
    <w:p>
      <w:r>
        <w:rPr>
          <w:rFonts w:ascii="Meiryo UI" w:hAnsi="Meiryo UI"/>
          <w:sz w:val="20"/>
        </w:rPr>
        <w:t>&gt; 注記：株式分割の比率・実施タイミングにより株価換算は変動。分割前ベースでの目標株価提示を基本とする。現在株価水準（2026年4月時点 推定¥7,500〜¥8,000前後） との比較で、基本シナリオ上値余地は限定的だが、強気シナリオでは+55%程度の上昇余地。</w:t>
      </w:r>
    </w:p>
    <w:p/>
    <w:p>
      <w:r>
        <w:t>──────────────────────────────────────────────────</w:t>
      </w:r>
    </w:p>
    <w:p/>
    <w:p>
      <w:pPr>
        <w:pStyle w:val="Heading3"/>
      </w:pPr>
      <w:r>
        <w:rPr>
          <w:rFonts w:ascii="Meiryo UI" w:hAnsi="Meiryo UI"/>
          <w:color w:val="2E74B5"/>
        </w:rPr>
        <w:t>4.5 感応度分析（基本シナリオ中心）</w:t>
      </w:r>
    </w:p>
    <w:p/>
    <w:p>
      <w:pPr>
        <w:shd w:val="clear" w:color="auto" w:fill="F2F2F2"/>
      </w:pPr>
      <w:r>
        <w:rPr>
          <w:rFonts w:ascii="Courier New" w:hAnsi="Courier New"/>
          <w:sz w:val="16"/>
        </w:rPr>
        <w:t>理論株価感応度マトリクス（WACC × ターミナル成長率）</w:t>
        <w:br/>
        <w:t>単位：円（分割前）</w:t>
        <w:br/>
        <w:br/>
        <w:t xml:space="preserve">           g=1.0%    g=1.5%    g=2.0%    g=2.5%    g=3.0%</w:t>
        <w:br/>
        <w:t>WACC=7.0%  ¥8,800   ¥9,500   ¥10,400  ¥11,600  ¥13,200</w:t>
        <w:br/>
        <w:t>WACC=7.5%  ¥8,000   ¥8,600   ¥9,300   ¥10,300  ¥11,600</w:t>
        <w:br/>
        <w:t>WACC=7.8%  ¥7,400   ¥7,900   ¥8,500   ¥9,400   ¥10,500  ← BASE</w:t>
        <w:br/>
        <w:t>WACC=8.5%  ¥6,200   ¥6,600   ¥7,100   ¥7,700   ¥8,400</w:t>
        <w:br/>
        <w:t>WACC=9.0%  ¥5,600   ¥5,900   ¥6,300   ¥6,800   ¥7,400</w:t>
      </w:r>
    </w:p>
    <w:p/>
    <w:p>
      <w:r>
        <w:rPr>
          <w:rFonts w:ascii="Meiryo UI" w:hAnsi="Meiryo UI"/>
          <w:sz w:val="20"/>
        </w:rPr>
        <w:t>深井コメント：WACCの変動に対して理論株価は大きく振れる。金利上昇リスク（JGB上昇→Rf上昇→WACC上昇）には注意が必要。但しJPY建て金利が2.0〜2.5%に上昇するシナリオでも、EUVレジスト需要増によるFCFマージン改善が相殺すると想定。</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バリュエーション統合</w:t>
      </w:r>
    </w:p>
    <w:p/>
    <w:p>
      <w:pPr>
        <w:shd w:val="clear" w:color="auto" w:fill="F2F2F2"/>
      </w:pPr>
      <w:r>
        <w:rPr>
          <w:rFonts w:ascii="Courier New" w:hAnsi="Courier New"/>
          <w:sz w:val="16"/>
        </w:rPr>
        <w:t>バリュエーション手法別 理論株価（分割前）</w:t>
        <w:br/>
        <w:br/>
        <w:t xml:space="preserve">  DCF（基本）        : ¥9,150</w:t>
        <w:br/>
        <w:t xml:space="preserve">  PER比較法          : </w:t>
        <w:br/>
        <w:t xml:space="preserve">    FY2026 EPS ¥540 × 業界PER 18倍 = ¥9,720</w:t>
        <w:br/>
        <w:t xml:space="preserve">    （類似企業：信越化学PER20x、JSR特殊事情除き18x）</w:t>
        <w:br/>
        <w:t xml:space="preserve">  EV/EBITDA法        :</w:t>
        <w:br/>
        <w:t xml:space="preserve">    EBITDA ¥33,000M × 業界倍率12倍 = EV ¥396,000M</w:t>
        <w:br/>
        <w:t xml:space="preserve">    → 株式価値 ≈ ¥9,467</w:t>
        <w:br/>
        <w:t xml:space="preserve">  </w:t>
        <w:br/>
        <w:t xml:space="preserve">  ────────────────────────────────</w:t>
        <w:br/>
        <w:t xml:space="preserve">  統合理論株価レンジ  : ¥8,500 〜 ¥10,200</w:t>
        <w:br/>
        <w:t xml:space="preserve">  中央値目標株価      : ¥9,400</w:t>
        <w:br/>
        <w:t xml:space="preserve">  12ヶ月目標株価      : ¥9,400（分割前）</w:t>
        <w:br/>
        <w:t xml:space="preserve">                       ¥4,700（2:1分割後想定）</w:t>
      </w:r>
    </w:p>
    <w:p/>
    <w:p>
      <w:pPr>
        <w:pStyle w:val="Heading3"/>
      </w:pPr>
      <w:r>
        <w:rPr>
          <w:rFonts w:ascii="Meiryo UI" w:hAnsi="Meiryo UI"/>
          <w:color w:val="2E74B5"/>
        </w:rPr>
        <w:t>5.2 投資判断</w:t>
      </w:r>
    </w:p>
    <w:p/>
    <w:p>
      <w:pPr>
        <w:shd w:val="clear" w:color="auto" w:fill="F2F2F2"/>
      </w:pPr>
      <w:r>
        <w:rPr>
          <w:rFonts w:ascii="Courier New" w:hAnsi="Courier New"/>
          <w:sz w:val="16"/>
        </w:rPr>
        <w:t>╔══════════════════════════════════════════╗</w:t>
        <w:br/>
        <w:t>║  投資判断：★★★★☆  BUY（買い）         ║</w:t>
        <w:br/>
        <w:t>║  12ヶ月目標株価：¥9,400（分割前）       ║</w:t>
        <w:br/>
        <w:t>║  強気ターゲット：¥12,000               ║</w:t>
        <w:br/>
        <w:t>║  損切りライン：現在株価▲15%            ║</w:t>
        <w:br/>
        <w:t>╚══════════════════════════════════════════╝</w:t>
      </w:r>
    </w:p>
    <w:p/>
    <w:p>
      <w:r>
        <w:rPr>
          <w:rFonts w:ascii="Meiryo UI" w:hAnsi="Meiryo UI"/>
          <w:sz w:val="20"/>
        </w:rPr>
        <w:t>判断根拠：</w:t>
      </w:r>
    </w:p>
    <w:p>
      <w:pPr>
        <w:pStyle w:val="ListNumber"/>
      </w:pPr>
      <w:r>
        <w:rPr>
          <w:rFonts w:ascii="Meiryo UI" w:hAnsi="Meiryo UI"/>
          <w:sz w:val="20"/>
        </w:rPr>
        <w:t>DCF・PER・EV/EBITDA三手法がいずれも現在株価に対し10〜25%の上値余地を示唆</w:t>
      </w:r>
    </w:p>
    <w:p>
      <w:pPr>
        <w:pStyle w:val="ListNumber"/>
      </w:pPr>
      <w:r>
        <w:rPr>
          <w:rFonts w:ascii="Meiryo UI" w:hAnsi="Meiryo UI"/>
          <w:sz w:val="20"/>
        </w:rPr>
        <w:t>EUVレジスト・HBM向け需要の構造的成長は3〜5年の視野で確実視</w:t>
      </w:r>
    </w:p>
    <w:p>
      <w:pPr>
        <w:pStyle w:val="ListNumber"/>
      </w:pPr>
      <w:r>
        <w:rPr>
          <w:rFonts w:ascii="Meiryo UI" w:hAnsi="Meiryo UI"/>
          <w:sz w:val="20"/>
        </w:rPr>
        <w:t>ネットキャッシュ・低D/Eで金融リスクほぼゼロ</w:t>
      </w:r>
    </w:p>
    <w:p>
      <w:pPr>
        <w:pStyle w:val="ListNumber"/>
      </w:pPr>
      <w:r>
        <w:rPr>
          <w:rFonts w:ascii="Meiryo UI" w:hAnsi="Meiryo UI"/>
          <w:sz w:val="20"/>
        </w:rPr>
        <w:t>株式分割・増配発表による個人投資家マネーフロー増加期待</w:t>
      </w:r>
    </w:p>
    <w:p>
      <w:pPr>
        <w:pStyle w:val="ListNumber"/>
      </w:pPr>
      <w:r>
        <w:rPr>
          <w:rFonts w:ascii="Meiryo UI" w:hAnsi="Meiryo UI"/>
          <w:sz w:val="20"/>
        </w:rPr>
        <w:t>唯一の懸念はROEの低さ（8.8%）とPBR割高感——株主還元強化が中期的課題</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6.1 強気シナリオ（確率：25%）</w:t>
      </w:r>
    </w:p>
    <w:p/>
    <w:p>
      <w:r>
        <w:rPr>
          <w:rFonts w:ascii="Meiryo UI" w:hAnsi="Meiryo UI"/>
          <w:sz w:val="20"/>
        </w:rPr>
        <w:t>前提条件：</w:t>
      </w:r>
    </w:p>
    <w:p>
      <w:pPr>
        <w:pStyle w:val="ListBullet"/>
      </w:pPr>
      <w:r>
        <w:rPr>
          <w:rFonts w:ascii="Meiryo UI" w:hAnsi="Meiryo UI"/>
          <w:sz w:val="20"/>
        </w:rPr>
        <w:t>EUVレジストの市場シェアが35%に拡大</w:t>
      </w:r>
    </w:p>
    <w:p>
      <w:pPr>
        <w:pStyle w:val="ListBullet"/>
      </w:pPr>
      <w:r>
        <w:rPr>
          <w:rFonts w:ascii="Meiryo UI" w:hAnsi="Meiryo UI"/>
          <w:sz w:val="20"/>
        </w:rPr>
        <w:t>Rapidus向け（2nm）供給が2027年本格化</w:t>
      </w:r>
    </w:p>
    <w:p>
      <w:pPr>
        <w:pStyle w:val="ListBullet"/>
      </w:pPr>
      <w:r>
        <w:rPr>
          <w:rFonts w:ascii="Meiryo UI" w:hAnsi="Meiryo UI"/>
          <w:sz w:val="20"/>
        </w:rPr>
        <w:t>TSMC熊本工場（JASM）への売上貢献が期待以上</w:t>
      </w:r>
    </w:p>
    <w:p>
      <w:pPr>
        <w:pStyle w:val="ListBullet"/>
      </w:pPr>
      <w:r>
        <w:rPr>
          <w:rFonts w:ascii="Meiryo UI" w:hAnsi="Meiryo UI"/>
          <w:sz w:val="20"/>
        </w:rPr>
        <w:t>円安継続（¥150/USD水準）で海外売上の円換算益</w:t>
      </w:r>
    </w:p>
    <w:p/>
    <w:p>
      <w:r>
        <w:rPr>
          <w:rFonts w:ascii="Meiryo UI" w:hAnsi="Meiryo UI"/>
          <w:sz w:val="20"/>
        </w:rPr>
        <w:t>業績シナリオ：</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FY2026</w:t>
            </w:r>
          </w:p>
        </w:tc>
        <w:tc>
          <w:tcPr>
            <w:tcW w:type="dxa" w:w="2351"/>
            <w:shd w:val="clear" w:color="auto" w:fill="2E74B5"/>
          </w:tcPr>
          <w:p>
            <w:r>
              <w:rPr>
                <w:rFonts w:ascii="Meiryo UI" w:hAnsi="Meiryo UI"/>
                <w:b/>
                <w:color w:val="FFFFFF"/>
                <w:sz w:val="18"/>
              </w:rPr>
              <w:t>FY2027</w:t>
            </w:r>
          </w:p>
        </w:tc>
        <w:tc>
          <w:tcPr>
            <w:tcW w:type="dxa" w:w="2351"/>
            <w:shd w:val="clear" w:color="auto" w:fill="2E74B5"/>
          </w:tcPr>
          <w:p>
            <w:r>
              <w:rPr>
                <w:rFonts w:ascii="Meiryo UI" w:hAnsi="Meiryo UI"/>
                <w:b/>
                <w:color w:val="FFFFFF"/>
                <w:sz w:val="18"/>
              </w:rPr>
              <w:t>FY2028</w:t>
            </w:r>
          </w:p>
        </w:tc>
      </w:tr>
      <w:tr>
        <w:tc>
          <w:tcPr>
            <w:tcW w:type="dxa" w:w="2351"/>
          </w:tcPr>
          <w:p>
            <w:r>
              <w:rPr>
                <w:rFonts w:ascii="Meiryo UI" w:hAnsi="Meiryo UI"/>
                <w:sz w:val="18"/>
              </w:rPr>
              <w:t>売上高</w:t>
            </w:r>
          </w:p>
        </w:tc>
        <w:tc>
          <w:tcPr>
            <w:tcW w:type="dxa" w:w="2351"/>
          </w:tcPr>
          <w:p>
            <w:r>
              <w:rPr>
                <w:rFonts w:ascii="Meiryo UI" w:hAnsi="Meiryo UI"/>
                <w:sz w:val="18"/>
              </w:rPr>
              <w:t>¥224,000M</w:t>
            </w:r>
          </w:p>
        </w:tc>
        <w:tc>
          <w:tcPr>
            <w:tcW w:type="dxa" w:w="2351"/>
          </w:tcPr>
          <w:p>
            <w:r>
              <w:rPr>
                <w:rFonts w:ascii="Meiryo UI" w:hAnsi="Meiryo UI"/>
                <w:sz w:val="18"/>
              </w:rPr>
              <w:t>¥253,000M</w:t>
            </w:r>
          </w:p>
        </w:tc>
        <w:tc>
          <w:tcPr>
            <w:tcW w:type="dxa" w:w="2351"/>
          </w:tcPr>
          <w:p>
            <w:r>
              <w:rPr>
                <w:rFonts w:ascii="Meiryo UI" w:hAnsi="Meiryo UI"/>
                <w:sz w:val="18"/>
              </w:rPr>
              <w:t>¥284,000M</w:t>
            </w:r>
          </w:p>
        </w:tc>
      </w:tr>
      <w:tr>
        <w:tc>
          <w:tcPr>
            <w:tcW w:type="dxa" w:w="2351"/>
            <w:shd w:val="clear" w:color="auto" w:fill="DDEBF7"/>
          </w:tcPr>
          <w:p>
            <w:r>
              <w:rPr>
                <w:rFonts w:ascii="Meiryo UI" w:hAnsi="Meiryo UI"/>
                <w:sz w:val="18"/>
              </w:rPr>
              <w:t>営業利益率</w:t>
            </w:r>
          </w:p>
        </w:tc>
        <w:tc>
          <w:tcPr>
            <w:tcW w:type="dxa" w:w="2351"/>
            <w:shd w:val="clear" w:color="auto" w:fill="DDEBF7"/>
          </w:tcPr>
          <w:p>
            <w:r>
              <w:rPr>
                <w:rFonts w:ascii="Meiryo UI" w:hAnsi="Meiryo UI"/>
                <w:sz w:val="18"/>
              </w:rPr>
              <w:t>17%</w:t>
            </w:r>
          </w:p>
        </w:tc>
        <w:tc>
          <w:tcPr>
            <w:tcW w:type="dxa" w:w="2351"/>
            <w:shd w:val="clear" w:color="auto" w:fill="DDEBF7"/>
          </w:tcPr>
          <w:p>
            <w:r>
              <w:rPr>
                <w:rFonts w:ascii="Meiryo UI" w:hAnsi="Meiryo UI"/>
                <w:sz w:val="18"/>
              </w:rPr>
              <w:t>18%</w:t>
            </w:r>
          </w:p>
        </w:tc>
        <w:tc>
          <w:tcPr>
            <w:tcW w:type="dxa" w:w="2351"/>
            <w:shd w:val="clear" w:color="auto" w:fill="DDEBF7"/>
          </w:tcPr>
          <w:p>
            <w:r>
              <w:rPr>
                <w:rFonts w:ascii="Meiryo UI" w:hAnsi="Meiryo UI"/>
                <w:sz w:val="18"/>
              </w:rPr>
              <w:t>19%</w:t>
            </w:r>
          </w:p>
        </w:tc>
      </w:tr>
      <w:tr>
        <w:tc>
          <w:tcPr>
            <w:tcW w:type="dxa" w:w="2351"/>
          </w:tcPr>
          <w:p>
            <w:r>
              <w:rPr>
                <w:rFonts w:ascii="Meiryo UI" w:hAnsi="Meiryo UI"/>
                <w:sz w:val="18"/>
              </w:rPr>
              <w:t>EPS</w:t>
            </w:r>
          </w:p>
        </w:tc>
        <w:tc>
          <w:tcPr>
            <w:tcW w:type="dxa" w:w="2351"/>
          </w:tcPr>
          <w:p>
            <w:r>
              <w:rPr>
                <w:rFonts w:ascii="Meiryo UI" w:hAnsi="Meiryo UI"/>
                <w:sz w:val="18"/>
              </w:rPr>
              <w:t>¥680</w:t>
            </w:r>
          </w:p>
        </w:tc>
        <w:tc>
          <w:tcPr>
            <w:tcW w:type="dxa" w:w="2351"/>
          </w:tcPr>
          <w:p>
            <w:r>
              <w:rPr>
                <w:rFonts w:ascii="Meiryo UI" w:hAnsi="Meiryo UI"/>
                <w:sz w:val="18"/>
              </w:rPr>
              <w:t>¥820</w:t>
            </w:r>
          </w:p>
        </w:tc>
        <w:tc>
          <w:tcPr>
            <w:tcW w:type="dxa" w:w="2351"/>
          </w:tcPr>
          <w:p>
            <w:r>
              <w:rPr>
                <w:rFonts w:ascii="Meiryo UI" w:hAnsi="Meiryo UI"/>
                <w:sz w:val="18"/>
              </w:rPr>
              <w:t>¥970</w:t>
            </w:r>
          </w:p>
        </w:tc>
      </w:tr>
    </w:tbl>
    <w:p/>
    <w:p>
      <w:r>
        <w:rPr>
          <w:rFonts w:ascii="Meiryo UI" w:hAnsi="Meiryo UI"/>
          <w:sz w:val="20"/>
        </w:rPr>
        <w:t>目標株価：¥12,000〜¥13,000（分割前）</w:t>
      </w:r>
    </w:p>
    <w:p/>
    <w:p>
      <w:r>
        <w:t>──────────────────────────────────────────────────</w:t>
      </w:r>
    </w:p>
    <w:p/>
    <w:p>
      <w:pPr>
        <w:pStyle w:val="Heading3"/>
      </w:pPr>
      <w:r>
        <w:rPr>
          <w:rFonts w:ascii="Meiryo UI" w:hAnsi="Meiryo UI"/>
          <w:color w:val="2E74B5"/>
        </w:rPr>
        <w:t>6.2 基本シナリオ（確率：55%）</w:t>
      </w:r>
    </w:p>
    <w:p/>
    <w:p>
      <w:r>
        <w:rPr>
          <w:rFonts w:ascii="Meiryo UI" w:hAnsi="Meiryo UI"/>
          <w:sz w:val="20"/>
        </w:rPr>
        <w:t>前提条件：</w:t>
      </w:r>
    </w:p>
    <w:p>
      <w:pPr>
        <w:pStyle w:val="ListBullet"/>
      </w:pPr>
      <w:r>
        <w:rPr>
          <w:rFonts w:ascii="Meiryo UI" w:hAnsi="Meiryo UI"/>
          <w:sz w:val="20"/>
        </w:rPr>
        <w:t>EUVレジスト需要が計画通り拡大</w:t>
      </w:r>
    </w:p>
    <w:p>
      <w:pPr>
        <w:pStyle w:val="ListBullet"/>
      </w:pPr>
      <w:r>
        <w:rPr>
          <w:rFonts w:ascii="Meiryo UI" w:hAnsi="Meiryo UI"/>
          <w:sz w:val="20"/>
        </w:rPr>
        <w:t>半導体市況はサイクル安定（2026〜2028年は回復局面）</w:t>
      </w:r>
    </w:p>
    <w:p>
      <w:pPr>
        <w:pStyle w:val="ListBullet"/>
      </w:pPr>
      <w:r>
        <w:rPr>
          <w:rFonts w:ascii="Meiryo UI" w:hAnsi="Meiryo UI"/>
          <w:sz w:val="20"/>
        </w:rPr>
        <w:t>為替は¥140〜¥150/USD</w:t>
      </w:r>
    </w:p>
    <w:p>
      <w:pPr>
        <w:pStyle w:val="ListBullet"/>
      </w:pPr>
      <w:r>
        <w:rPr>
          <w:rFonts w:ascii="Meiryo UI" w:hAnsi="Meiryo UI"/>
          <w:sz w:val="20"/>
        </w:rPr>
        <w:t>Rapidusは遅延リスクあり（2027〜2028年への後倒し）</w:t>
      </w:r>
    </w:p>
    <w:p/>
    <w:p>
      <w:r>
        <w:rPr>
          <w:rFonts w:ascii="Meiryo UI" w:hAnsi="Meiryo UI"/>
          <w:sz w:val="20"/>
        </w:rPr>
        <w:t>業績シナリオ：</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FY2026</w:t>
            </w:r>
          </w:p>
        </w:tc>
        <w:tc>
          <w:tcPr>
            <w:tcW w:type="dxa" w:w="2351"/>
            <w:shd w:val="clear" w:color="auto" w:fill="2E74B5"/>
          </w:tcPr>
          <w:p>
            <w:r>
              <w:rPr>
                <w:rFonts w:ascii="Meiryo UI" w:hAnsi="Meiryo UI"/>
                <w:b/>
                <w:color w:val="FFFFFF"/>
                <w:sz w:val="18"/>
              </w:rPr>
              <w:t>FY2027</w:t>
            </w:r>
          </w:p>
        </w:tc>
        <w:tc>
          <w:tcPr>
            <w:tcW w:type="dxa" w:w="2351"/>
            <w:shd w:val="clear" w:color="auto" w:fill="2E74B5"/>
          </w:tcPr>
          <w:p>
            <w:r>
              <w:rPr>
                <w:rFonts w:ascii="Meiryo UI" w:hAnsi="Meiryo UI"/>
                <w:b/>
                <w:color w:val="FFFFFF"/>
                <w:sz w:val="18"/>
              </w:rPr>
              <w:t>FY2028</w:t>
            </w:r>
          </w:p>
        </w:tc>
      </w:tr>
      <w:tr>
        <w:tc>
          <w:tcPr>
            <w:tcW w:type="dxa" w:w="2351"/>
          </w:tcPr>
          <w:p>
            <w:r>
              <w:rPr>
                <w:rFonts w:ascii="Meiryo UI" w:hAnsi="Meiryo UI"/>
                <w:sz w:val="18"/>
              </w:rPr>
              <w:t>売上高</w:t>
            </w:r>
          </w:p>
        </w:tc>
        <w:tc>
          <w:tcPr>
            <w:tcW w:type="dxa" w:w="2351"/>
          </w:tcPr>
          <w:p>
            <w:r>
              <w:rPr>
                <w:rFonts w:ascii="Meiryo UI" w:hAnsi="Meiryo UI"/>
                <w:sz w:val="18"/>
              </w:rPr>
              <w:t>¥200,000M</w:t>
            </w:r>
          </w:p>
        </w:tc>
        <w:tc>
          <w:tcPr>
            <w:tcW w:type="dxa" w:w="2351"/>
          </w:tcPr>
          <w:p>
            <w:r>
              <w:rPr>
                <w:rFonts w:ascii="Meiryo UI" w:hAnsi="Meiryo UI"/>
                <w:sz w:val="18"/>
              </w:rPr>
              <w:t>¥217,000M</w:t>
            </w:r>
          </w:p>
        </w:tc>
        <w:tc>
          <w:tcPr>
            <w:tcW w:type="dxa" w:w="2351"/>
          </w:tcPr>
          <w:p>
            <w:r>
              <w:rPr>
                <w:rFonts w:ascii="Meiryo UI" w:hAnsi="Meiryo UI"/>
                <w:sz w:val="18"/>
              </w:rPr>
              <w:t>¥235,000M</w:t>
            </w:r>
          </w:p>
        </w:tc>
      </w:tr>
      <w:tr>
        <w:tc>
          <w:tcPr>
            <w:tcW w:type="dxa" w:w="2351"/>
            <w:shd w:val="clear" w:color="auto" w:fill="DDEBF7"/>
          </w:tcPr>
          <w:p>
            <w:r>
              <w:rPr>
                <w:rFonts w:ascii="Meiryo UI" w:hAnsi="Meiryo UI"/>
                <w:sz w:val="18"/>
              </w:rPr>
              <w:t>営業利益率</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16%</w:t>
            </w:r>
          </w:p>
        </w:tc>
        <w:tc>
          <w:tcPr>
            <w:tcW w:type="dxa" w:w="2351"/>
            <w:shd w:val="clear" w:color="auto" w:fill="DDEBF7"/>
          </w:tcPr>
          <w:p>
            <w:r>
              <w:rPr>
                <w:rFonts w:ascii="Meiryo UI" w:hAnsi="Meiryo UI"/>
                <w:sz w:val="18"/>
              </w:rPr>
              <w:t>16.5%</w:t>
            </w:r>
          </w:p>
        </w:tc>
      </w:tr>
      <w:tr>
        <w:tc>
          <w:tcPr>
            <w:tcW w:type="dxa" w:w="2351"/>
          </w:tcPr>
          <w:p>
            <w:r>
              <w:rPr>
                <w:rFonts w:ascii="Meiryo UI" w:hAnsi="Meiryo UI"/>
                <w:sz w:val="18"/>
              </w:rPr>
              <w:t>EPS</w:t>
            </w:r>
          </w:p>
        </w:tc>
        <w:tc>
          <w:tcPr>
            <w:tcW w:type="dxa" w:w="2351"/>
          </w:tcPr>
          <w:p>
            <w:r>
              <w:rPr>
                <w:rFonts w:ascii="Meiryo UI" w:hAnsi="Meiryo UI"/>
                <w:sz w:val="18"/>
              </w:rPr>
              <w:t>¥540</w:t>
            </w:r>
          </w:p>
        </w:tc>
        <w:tc>
          <w:tcPr>
            <w:tcW w:type="dxa" w:w="2351"/>
          </w:tcPr>
          <w:p>
            <w:r>
              <w:rPr>
                <w:rFonts w:ascii="Meiryo UI" w:hAnsi="Meiryo UI"/>
                <w:sz w:val="18"/>
              </w:rPr>
              <w:t>¥620</w:t>
            </w:r>
          </w:p>
        </w:tc>
        <w:tc>
          <w:tcPr>
            <w:tcW w:type="dxa" w:w="2351"/>
          </w:tcPr>
          <w:p>
            <w:r>
              <w:rPr>
                <w:rFonts w:ascii="Meiryo UI" w:hAnsi="Meiryo UI"/>
                <w:sz w:val="18"/>
              </w:rPr>
              <w:t>¥710</w:t>
            </w:r>
          </w:p>
        </w:tc>
      </w:tr>
    </w:tbl>
    <w:p/>
    <w:p>
      <w:r>
        <w:rPr>
          <w:rFonts w:ascii="Meiryo UI" w:hAnsi="Meiryo UI"/>
          <w:sz w:val="20"/>
        </w:rPr>
        <w:t>目標株価：¥9,000〜¥9,800（分割前）</w:t>
      </w:r>
    </w:p>
    <w:p/>
    <w:p>
      <w:r>
        <w:t>──────────────────────────────────────────────────</w:t>
      </w:r>
    </w:p>
    <w:p/>
    <w:p>
      <w:pPr>
        <w:pStyle w:val="Heading3"/>
      </w:pPr>
      <w:r>
        <w:rPr>
          <w:rFonts w:ascii="Meiryo UI" w:hAnsi="Meiryo UI"/>
          <w:color w:val="2E74B5"/>
        </w:rPr>
        <w:t>6.3 弱気シナリオ（確率：20%）</w:t>
      </w:r>
    </w:p>
    <w:p/>
    <w:p>
      <w:r>
        <w:rPr>
          <w:rFonts w:ascii="Meiryo UI" w:hAnsi="Meiryo UI"/>
          <w:sz w:val="20"/>
        </w:rPr>
        <w:t>前提条件：</w:t>
      </w:r>
    </w:p>
    <w:p>
      <w:pPr>
        <w:pStyle w:val="ListBullet"/>
      </w:pPr>
      <w:r>
        <w:rPr>
          <w:rFonts w:ascii="Meiryo UI" w:hAnsi="Meiryo UI"/>
          <w:sz w:val="20"/>
        </w:rPr>
        <w:t>米中半導体制裁の激化による顧客減産（Samsung/SK Hynix向け影響）</w:t>
      </w:r>
    </w:p>
    <w:p>
      <w:pPr>
        <w:pStyle w:val="ListBullet"/>
      </w:pPr>
      <w:r>
        <w:rPr>
          <w:rFonts w:ascii="Meiryo UI" w:hAnsi="Meiryo UI"/>
          <w:sz w:val="20"/>
        </w:rPr>
        <w:t>円高進行（¥120/USD以下）</w:t>
      </w:r>
    </w:p>
    <w:p>
      <w:pPr>
        <w:pStyle w:val="ListBullet"/>
      </w:pPr>
      <w:r>
        <w:rPr>
          <w:rFonts w:ascii="Meiryo UI" w:hAnsi="Meiryo UI"/>
          <w:sz w:val="20"/>
        </w:rPr>
        <w:t>世界的な半導体在庫調整が再燃（2026後半）</w:t>
      </w:r>
    </w:p>
    <w:p>
      <w:pPr>
        <w:pStyle w:val="ListBullet"/>
      </w:pPr>
      <w:r>
        <w:rPr>
          <w:rFonts w:ascii="Meiryo UI" w:hAnsi="Meiryo UI"/>
          <w:sz w:val="20"/>
        </w:rPr>
        <w:t>EUVレジストの競合（Merck・新規参入）によるシェア低下</w:t>
      </w:r>
    </w:p>
    <w:p/>
    <w:p>
      <w:r>
        <w:rPr>
          <w:rFonts w:ascii="Meiryo UI" w:hAnsi="Meiryo UI"/>
          <w:sz w:val="20"/>
        </w:rPr>
        <w:t>業績シナリオ：</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FY2026</w:t>
            </w:r>
          </w:p>
        </w:tc>
        <w:tc>
          <w:tcPr>
            <w:tcW w:type="dxa" w:w="2351"/>
            <w:shd w:val="clear" w:color="auto" w:fill="2E74B5"/>
          </w:tcPr>
          <w:p>
            <w:r>
              <w:rPr>
                <w:rFonts w:ascii="Meiryo UI" w:hAnsi="Meiryo UI"/>
                <w:b/>
                <w:color w:val="FFFFFF"/>
                <w:sz w:val="18"/>
              </w:rPr>
              <w:t>FY2027</w:t>
            </w:r>
          </w:p>
        </w:tc>
        <w:tc>
          <w:tcPr>
            <w:tcW w:type="dxa" w:w="2351"/>
            <w:shd w:val="clear" w:color="auto" w:fill="2E74B5"/>
          </w:tcPr>
          <w:p>
            <w:r>
              <w:rPr>
                <w:rFonts w:ascii="Meiryo UI" w:hAnsi="Meiryo UI"/>
                <w:b/>
                <w:color w:val="FFFFFF"/>
                <w:sz w:val="18"/>
              </w:rPr>
              <w:t>FY2028</w:t>
            </w:r>
          </w:p>
        </w:tc>
      </w:tr>
      <w:tr>
        <w:tc>
          <w:tcPr>
            <w:tcW w:type="dxa" w:w="2351"/>
          </w:tcPr>
          <w:p>
            <w:r>
              <w:rPr>
                <w:rFonts w:ascii="Meiryo UI" w:hAnsi="Meiryo UI"/>
                <w:sz w:val="18"/>
              </w:rPr>
              <w:t>売上高</w:t>
            </w:r>
          </w:p>
        </w:tc>
        <w:tc>
          <w:tcPr>
            <w:tcW w:type="dxa" w:w="2351"/>
          </w:tcPr>
          <w:p>
            <w:r>
              <w:rPr>
                <w:rFonts w:ascii="Meiryo UI" w:hAnsi="Meiryo UI"/>
                <w:sz w:val="18"/>
              </w:rPr>
              <w:t>¥185,000M</w:t>
            </w:r>
          </w:p>
        </w:tc>
        <w:tc>
          <w:tcPr>
            <w:tcW w:type="dxa" w:w="2351"/>
          </w:tcPr>
          <w:p>
            <w:r>
              <w:rPr>
                <w:rFonts w:ascii="Meiryo UI" w:hAnsi="Meiryo UI"/>
                <w:sz w:val="18"/>
              </w:rPr>
              <w:t>¥188,000M</w:t>
            </w:r>
          </w:p>
        </w:tc>
        <w:tc>
          <w:tcPr>
            <w:tcW w:type="dxa" w:w="2351"/>
          </w:tcPr>
          <w:p>
            <w:r>
              <w:rPr>
                <w:rFonts w:ascii="Meiryo UI" w:hAnsi="Meiryo UI"/>
                <w:sz w:val="18"/>
              </w:rPr>
              <w:t>¥195,000M</w:t>
            </w:r>
          </w:p>
        </w:tc>
      </w:tr>
      <w:tr>
        <w:tc>
          <w:tcPr>
            <w:tcW w:type="dxa" w:w="2351"/>
            <w:shd w:val="clear" w:color="auto" w:fill="DDEBF7"/>
          </w:tcPr>
          <w:p>
            <w:r>
              <w:rPr>
                <w:rFonts w:ascii="Meiryo UI" w:hAnsi="Meiryo UI"/>
                <w:sz w:val="18"/>
              </w:rPr>
              <w:t>営業利益率</w:t>
            </w:r>
          </w:p>
        </w:tc>
        <w:tc>
          <w:tcPr>
            <w:tcW w:type="dxa" w:w="2351"/>
            <w:shd w:val="clear" w:color="auto" w:fill="DDEBF7"/>
          </w:tcPr>
          <w:p>
            <w:r>
              <w:rPr>
                <w:rFonts w:ascii="Meiryo UI" w:hAnsi="Meiryo UI"/>
                <w:sz w:val="18"/>
              </w:rPr>
              <w:t>12%</w:t>
            </w:r>
          </w:p>
        </w:tc>
        <w:tc>
          <w:tcPr>
            <w:tcW w:type="dxa" w:w="2351"/>
            <w:shd w:val="clear" w:color="auto" w:fill="DDEBF7"/>
          </w:tcPr>
          <w:p>
            <w:r>
              <w:rPr>
                <w:rFonts w:ascii="Meiryo UI" w:hAnsi="Meiryo UI"/>
                <w:sz w:val="18"/>
              </w:rPr>
              <w:t>11%</w:t>
            </w:r>
          </w:p>
        </w:tc>
        <w:tc>
          <w:tcPr>
            <w:tcW w:type="dxa" w:w="2351"/>
            <w:shd w:val="clear" w:color="auto" w:fill="DDEBF7"/>
          </w:tcPr>
          <w:p>
            <w:r>
              <w:rPr>
                <w:rFonts w:ascii="Meiryo UI" w:hAnsi="Meiryo UI"/>
                <w:sz w:val="18"/>
              </w:rPr>
              <w:t>11.5%</w:t>
            </w:r>
          </w:p>
        </w:tc>
      </w:tr>
      <w:tr>
        <w:tc>
          <w:tcPr>
            <w:tcW w:type="dxa" w:w="2351"/>
          </w:tcPr>
          <w:p>
            <w:r>
              <w:rPr>
                <w:rFonts w:ascii="Meiryo UI" w:hAnsi="Meiryo UI"/>
                <w:sz w:val="18"/>
              </w:rPr>
              <w:t>EPS</w:t>
            </w:r>
          </w:p>
        </w:tc>
        <w:tc>
          <w:tcPr>
            <w:tcW w:type="dxa" w:w="2351"/>
          </w:tcPr>
          <w:p>
            <w:r>
              <w:rPr>
                <w:rFonts w:ascii="Meiryo UI" w:hAnsi="Meiryo UI"/>
                <w:sz w:val="18"/>
              </w:rPr>
              <w:t>¥380</w:t>
            </w:r>
          </w:p>
        </w:tc>
        <w:tc>
          <w:tcPr>
            <w:tcW w:type="dxa" w:w="2351"/>
          </w:tcPr>
          <w:p>
            <w:r>
              <w:rPr>
                <w:rFonts w:ascii="Meiryo UI" w:hAnsi="Meiryo UI"/>
                <w:sz w:val="18"/>
              </w:rPr>
              <w:t>¥360</w:t>
            </w:r>
          </w:p>
        </w:tc>
        <w:tc>
          <w:tcPr>
            <w:tcW w:type="dxa" w:w="2351"/>
          </w:tcPr>
          <w:p>
            <w:r>
              <w:rPr>
                <w:rFonts w:ascii="Meiryo UI" w:hAnsi="Meiryo UI"/>
                <w:sz w:val="18"/>
              </w:rPr>
              <w:t>¥390</w:t>
            </w:r>
          </w:p>
        </w:tc>
      </w:tr>
    </w:tbl>
    <w:p/>
    <w:p>
      <w:r>
        <w:rPr>
          <w:rFonts w:ascii="Meiryo UI" w:hAnsi="Meiryo UI"/>
          <w:sz w:val="20"/>
        </w:rPr>
        <w:t>目標株価：¥5,500〜¥6,200（分割前）</w:t>
      </w:r>
    </w:p>
    <w:p/>
    <w:p>
      <w:r>
        <w:t>──────────────────────────────────────────────────</w:t>
      </w:r>
    </w:p>
    <w:p/>
    <w:p>
      <w:pPr>
        <w:pStyle w:val="Heading3"/>
      </w:pPr>
      <w:r>
        <w:rPr>
          <w:rFonts w:ascii="Meiryo UI" w:hAnsi="Meiryo UI"/>
          <w:color w:val="2E74B5"/>
        </w:rPr>
        <w:t>6.4 シナリオ加重平均期待値</w:t>
      </w:r>
    </w:p>
    <w:p/>
    <w:p>
      <w:pPr>
        <w:shd w:val="clear" w:color="auto" w:fill="F2F2F2"/>
      </w:pPr>
      <w:r>
        <w:rPr>
          <w:rFonts w:ascii="Courier New" w:hAnsi="Courier New"/>
          <w:sz w:val="16"/>
        </w:rPr>
        <w:t>期待理論株価 = ¥12,500×0.25 + ¥9,400×0.55 + ¥5,850×0.20</w:t>
        <w:br/>
        <w:t xml:space="preserve">             = ¥3,125 + ¥5,170 + ¥1,170</w:t>
        <w:br/>
        <w:t xml:space="preserve">             = ¥9,465（分割前）</w:t>
      </w:r>
    </w:p>
    <w:p/>
    <w:p>
      <w:r>
        <w:rPr>
          <w:rFonts w:ascii="Meiryo UI" w:hAnsi="Meiryo UI"/>
          <w:sz w:val="20"/>
        </w:rPr>
        <w:t>→ 加重平均でも現在株価（推定¥7,500〜¥8,000）に対して+18〜26%の上値余地。</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浅井速報レビュー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浅井速報項目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スコア</w:t>
            </w:r>
          </w:p>
        </w:tc>
        <w:tc>
          <w:tcPr>
            <w:tcW w:type="dxa" w:w="4703"/>
          </w:tcPr>
          <w:p>
            <w:r>
              <w:rPr>
                <w:rFonts w:ascii="Meiryo UI" w:hAnsi="Meiryo UI"/>
                <w:sz w:val="18"/>
              </w:rPr>
              <w:t>+72（BUY）</w:t>
            </w:r>
          </w:p>
        </w:tc>
      </w:tr>
      <w:tr>
        <w:tc>
          <w:tcPr>
            <w:tcW w:type="dxa" w:w="4703"/>
            <w:shd w:val="clear" w:color="auto" w:fill="DDEBF7"/>
          </w:tcPr>
          <w:p>
            <w:r>
              <w:rPr>
                <w:rFonts w:ascii="Meiryo UI" w:hAnsi="Meiryo UI"/>
                <w:sz w:val="18"/>
              </w:rPr>
              <w:t>主要コメント</w:t>
            </w:r>
          </w:p>
        </w:tc>
        <w:tc>
          <w:tcPr>
            <w:tcW w:type="dxa" w:w="4703"/>
            <w:shd w:val="clear" w:color="auto" w:fill="DDEBF7"/>
          </w:tcPr>
          <w:p>
            <w:r>
              <w:rPr>
                <w:rFonts w:ascii="Meiryo UI" w:hAnsi="Meiryo UI"/>
                <w:sz w:val="18"/>
              </w:rPr>
              <w:t>株式分割・中間配当実施・増配を同時発表。Q1決算短信も同時開示で業績確認可能</w:t>
            </w:r>
          </w:p>
        </w:tc>
      </w:tr>
      <w:tr>
        <w:tc>
          <w:tcPr>
            <w:tcW w:type="dxa" w:w="4703"/>
          </w:tcPr>
          <w:p>
            <w:r>
              <w:rPr>
                <w:rFonts w:ascii="Meiryo UI" w:hAnsi="Meiryo UI"/>
                <w:sz w:val="18"/>
              </w:rPr>
              <w:t>センチメント判断</w:t>
            </w:r>
          </w:p>
        </w:tc>
        <w:tc>
          <w:tcPr>
            <w:tcW w:type="dxa" w:w="4703"/>
          </w:tcPr>
          <w:p>
            <w:r>
              <w:rPr>
                <w:rFonts w:ascii="Meiryo UI" w:hAnsi="Meiryo UI"/>
                <w:sz w:val="18"/>
              </w:rPr>
              <w:t>ポジティブ・強め</w:t>
            </w:r>
          </w:p>
        </w:tc>
      </w:tr>
    </w:tbl>
    <w:p/>
    <w:p>
      <w:pPr>
        <w:pStyle w:val="Heading3"/>
      </w:pPr>
      <w:r>
        <w:rPr>
          <w:rFonts w:ascii="Meiryo UI" w:hAnsi="Meiryo UI"/>
          <w:color w:val="2E74B5"/>
        </w:rPr>
        <w:t>7.2 センチメント vs ファンダメンタルズ分析</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