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Report｜KHネオケム（4189）</w:t>
      </w:r>
    </w:p>
    <w:p/>
    <w:p/>
    <w:p>
      <w:pPr>
        <w:jc w:val="center"/>
      </w:pPr>
      <w:r>
        <w:rPr>
          <w:rFonts w:ascii="Meiryo UI" w:hAnsi="Meiryo UI"/>
          <w:sz w:val="24"/>
        </w:rPr>
        <w:t>アナリスト：深井</w:t>
      </w:r>
    </w:p>
    <w:p>
      <w:pPr>
        <w:jc w:val="center"/>
      </w:pPr>
      <w:r>
        <w:rPr>
          <w:rFonts w:ascii="Meiryo UI" w:hAnsi="Meiryo UI"/>
          <w:sz w:val="24"/>
        </w:rPr>
        <w:t>分析日：2026年04月12日</w:t>
      </w:r>
    </w:p>
    <w:p>
      <w:r>
        <w:br w:type="page"/>
      </w:r>
    </w:p>
    <w:p>
      <w:pPr>
        <w:pStyle w:val="Heading1"/>
      </w:pPr>
      <w:r>
        <w:rPr>
          <w:rFonts w:ascii="Meiryo UI" w:hAnsi="Meiryo UI"/>
          <w:color w:val="1F3864"/>
        </w:rPr>
        <w:t>Deep Research Report｜KHネオケム（4189）</w:t>
      </w:r>
    </w:p>
    <w:p>
      <w:r>
        <w:rPr>
          <w:rFonts w:ascii="Meiryo UI" w:hAnsi="Meiryo UI"/>
          <w:sz w:val="20"/>
        </w:rPr>
        <w:t>作成日: 2026-04-11　アナリスト: 深井　優先度: 2</w:t>
      </w:r>
    </w:p>
    <w:p/>
    <w:p>
      <w:r>
        <w:t>──────────────────────────────────────────────────</w:t>
      </w:r>
    </w:p>
    <w:p/>
    <w:p>
      <w:pPr>
        <w:pStyle w:val="Heading2"/>
      </w:pPr>
      <w:r>
        <w:rPr>
          <w:rFonts w:ascii="Meiryo UI" w:hAnsi="Meiryo UI"/>
          <w:color w:val="2E74B5"/>
        </w:rPr>
        <w:t>0. 冒頭10秒エグゼクティブ・サマリー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HOLD（停戦確認でBUYに格上げ）</w:t>
            </w:r>
          </w:p>
        </w:tc>
      </w:tr>
      <w:tr>
        <w:tc>
          <w:tcPr>
            <w:tcW w:type="dxa" w:w="4703"/>
            <w:shd w:val="clear" w:color="auto" w:fill="DDEBF7"/>
          </w:tcPr>
          <w:p>
            <w:r>
              <w:rPr>
                <w:rFonts w:ascii="Meiryo UI" w:hAnsi="Meiryo UI"/>
                <w:sz w:val="18"/>
              </w:rPr>
              <w:t>12M Target Price</w:t>
            </w:r>
          </w:p>
        </w:tc>
        <w:tc>
          <w:tcPr>
            <w:tcW w:type="dxa" w:w="4703"/>
            <w:shd w:val="clear" w:color="auto" w:fill="DDEBF7"/>
          </w:tcPr>
          <w:p>
            <w:r>
              <w:rPr>
                <w:rFonts w:ascii="Meiryo UI" w:hAnsi="Meiryo UI"/>
                <w:sz w:val="18"/>
              </w:rPr>
              <w:t>¥3,300（現値¥2,913比 +13.3% upside）</w:t>
            </w:r>
          </w:p>
        </w:tc>
      </w:tr>
      <w:tr>
        <w:tc>
          <w:tcPr>
            <w:tcW w:type="dxa" w:w="4703"/>
          </w:tcPr>
          <w:p>
            <w:r>
              <w:rPr>
                <w:rFonts w:ascii="Meiryo UI" w:hAnsi="Meiryo UI"/>
                <w:sz w:val="18"/>
              </w:rPr>
              <w:t>DCF Fair Value</w:t>
            </w:r>
          </w:p>
        </w:tc>
        <w:tc>
          <w:tcPr>
            <w:tcW w:type="dxa" w:w="4703"/>
          </w:tcPr>
          <w:p>
            <w:r>
              <w:rPr>
                <w:rFonts w:ascii="Meiryo UI" w:hAnsi="Meiryo UI"/>
                <w:sz w:val="18"/>
              </w:rPr>
              <w:t>¥4,327（Base case・部分停戦前提）</w:t>
            </w:r>
          </w:p>
        </w:tc>
      </w:tr>
      <w:tr>
        <w:tc>
          <w:tcPr>
            <w:tcW w:type="dxa" w:w="4703"/>
            <w:shd w:val="clear" w:color="auto" w:fill="DDEBF7"/>
          </w:tcPr>
          <w:p>
            <w:r>
              <w:rPr>
                <w:rFonts w:ascii="Meiryo UI" w:hAnsi="Meiryo UI"/>
                <w:sz w:val="18"/>
              </w:rPr>
              <w:t>Hormuzストレス FV</w:t>
            </w:r>
          </w:p>
        </w:tc>
        <w:tc>
          <w:tcPr>
            <w:tcW w:type="dxa" w:w="4703"/>
            <w:shd w:val="clear" w:color="auto" w:fill="DDEBF7"/>
          </w:tcPr>
          <w:p>
            <w:r>
              <w:rPr>
                <w:rFonts w:ascii="Meiryo UI" w:hAnsi="Meiryo UI"/>
                <w:sz w:val="18"/>
              </w:rPr>
              <w:t>¥2,500〜2,800（封鎖継続シナリオ）</w:t>
            </w:r>
          </w:p>
        </w:tc>
      </w:tr>
      <w:tr>
        <w:tc>
          <w:tcPr>
            <w:tcW w:type="dxa" w:w="4703"/>
          </w:tcPr>
          <w:p>
            <w:r>
              <w:rPr>
                <w:rFonts w:ascii="Meiryo UI" w:hAnsi="Meiryo UI"/>
                <w:sz w:val="18"/>
              </w:rPr>
              <w:t>現在地</w:t>
            </w:r>
          </w:p>
        </w:tc>
        <w:tc>
          <w:tcPr>
            <w:tcW w:type="dxa" w:w="4703"/>
          </w:tcPr>
          <w:p>
            <w:r>
              <w:rPr>
                <w:rFonts w:ascii="Meiryo UI" w:hAnsi="Meiryo UI"/>
                <w:sz w:val="18"/>
              </w:rPr>
              <w:t>現値¥2,913は「Hormuz継続なら適正。停戦なら割安」という非対称ポジション</w:t>
            </w:r>
          </w:p>
        </w:tc>
      </w:tr>
    </w:tbl>
    <w:p/>
    <w:p>
      <w:r>
        <w:rPr>
          <w:rFonts w:ascii="Meiryo UI" w:hAnsi="Meiryo UI"/>
          <w:sz w:val="20"/>
        </w:rPr>
        <w:t>3 Bullets</w:t>
      </w:r>
    </w:p>
    <w:p/>
    <w:p>
      <w:pPr>
        <w:pStyle w:val="ListBullet"/>
      </w:pPr>
      <w:r>
        <w:rPr>
          <w:rFonts w:ascii="Meiryo UI" w:hAnsi="Meiryo UI"/>
          <w:sz w:val="20"/>
        </w:rPr>
        <w:t>ナフサ不足が「最大の業績リスク」: FY2026ガイダンスOP¥13.5Bはナフサ¥70,000/KL前提。現在推定¥95,000+/KLなら¥4〜5B の利益下押しが発生し、ガイダンス達成に疑問符</w:t>
      </w:r>
    </w:p>
    <w:p>
      <w:pPr>
        <w:pStyle w:val="ListBullet"/>
      </w:pPr>
      <w:r>
        <w:rPr>
          <w:rFonts w:ascii="Meiryo UI" w:hAnsi="Meiryo UI"/>
          <w:sz w:val="20"/>
        </w:rPr>
        <w:t>シンナー不足はKHネオケムに直接影響しない: 同社はミネラルスピリット系シンナーを製造していない。ただし原料C4オレフィン調達はナフサクラッカー連動で間接影響あり</w:t>
      </w:r>
    </w:p>
    <w:p>
      <w:pPr>
        <w:pStyle w:val="ListBullet"/>
      </w:pPr>
      <w:r>
        <w:rPr>
          <w:rFonts w:ascii="Meiryo UI" w:hAnsi="Meiryo UI"/>
          <w:sz w:val="20"/>
        </w:rPr>
        <w:t>米・イラン4/12継続協議がゲームチェンジャー: 停戦合意→ナフサ正常化→FY2026ガイダンス達成→株価¥3,300〜4,000へ。協議の行方が投資判断の最重要変数</w:t>
      </w:r>
    </w:p>
    <w:p/>
    <w:p>
      <w:r>
        <w:rPr>
          <w:rFonts w:ascii="Meiryo UI" w:hAnsi="Meiryo UI"/>
          <w:sz w:val="20"/>
        </w:rPr>
        <w:t>1 Risk: ホルムズ封鎖長期化によるナフサ¥100,000+環境の固定。この場合FY2026 OP ¥8〜9Bまで下振れし、現在株価¥2,913はやや割高になる可能性</w:t>
      </w:r>
    </w:p>
    <w:p/>
    <w:p>
      <w:r>
        <w:rPr>
          <w:rFonts w:ascii="Meiryo UI" w:hAnsi="Meiryo UI"/>
          <w:sz w:val="20"/>
        </w:rPr>
        <w:t>推奨アクション: 4/12米・イラン協議結果を確認後に判断。「停戦確認→即日BUY（¥3,000以下で打診買い）」「協議決裂→SELL（¥2,500付近が下値）」という非対称戦略を採用。</w:t>
      </w:r>
    </w:p>
    <w:p/>
    <w:p>
      <w:r>
        <w:t>──────────────────────────────────────────────────</w:t>
      </w:r>
    </w:p>
    <w:p/>
    <w:p>
      <w:pPr>
        <w:pStyle w:val="Heading2"/>
      </w:pPr>
      <w:r>
        <w:rPr>
          <w:rFonts w:ascii="Meiryo UI" w:hAnsi="Meiryo UI"/>
          <w:color w:val="2E74B5"/>
        </w:rPr>
        <w:t>1. エグゼクティブ・サマリー</w:t>
      </w:r>
    </w:p>
    <w:p/>
    <w:p>
      <w:pPr>
        <w:pStyle w:val="Heading3"/>
      </w:pPr>
      <w:r>
        <w:rPr>
          <w:rFonts w:ascii="Meiryo UI" w:hAnsi="Meiryo UI"/>
          <w:color w:val="2E74B5"/>
        </w:rPr>
        <w:t>会社概要・ポジショニング</w:t>
      </w:r>
    </w:p>
    <w:p/>
    <w:p>
      <w:r>
        <w:rPr>
          <w:rFonts w:ascii="Meiryo UI" w:hAnsi="Meiryo UI"/>
          <w:sz w:val="20"/>
        </w:rPr>
        <w:t>KHネオケム（2009年東燃ゼネラル石油からのカーブアウト、古河電工系）は、C4オレフィン（ブテン・ブタジエン）を起点としたオキソ合成技術で高級アルコール類を製造するスペシャリティケミカルメーカー。主要事業は以下の3セグメント：</w:t>
      </w:r>
    </w:p>
    <w:p/>
    <w:p>
      <w:pPr>
        <w:pStyle w:val="ListNumber"/>
      </w:pPr>
      <w:r>
        <w:rPr>
          <w:rFonts w:ascii="Meiryo UI" w:hAnsi="Meiryo UI"/>
          <w:sz w:val="20"/>
        </w:rPr>
        <w:t>機能性材料（売上高の約45%）: 冷凍機油原料（エアコン・ヒートポンプ用ポリオールエステル・ポリビニルエーテル）、化粧品原料（オクチルドデカノール等の高級アルコール）</w:t>
      </w:r>
    </w:p>
    <w:p>
      <w:pPr>
        <w:pStyle w:val="ListNumber"/>
      </w:pPr>
      <w:r>
        <w:rPr>
          <w:rFonts w:ascii="Meiryo UI" w:hAnsi="Meiryo UI"/>
          <w:sz w:val="20"/>
        </w:rPr>
        <w:t>電子材料（売上高の約15%）: NMP（N-メチル-2-ピロリドン、電池製造・半導体向け溶剤）、その他電子材料</w:t>
      </w:r>
    </w:p>
    <w:p>
      <w:pPr>
        <w:pStyle w:val="ListNumber"/>
      </w:pPr>
      <w:r>
        <w:rPr>
          <w:rFonts w:ascii="Meiryo UI" w:hAnsi="Meiryo UI"/>
          <w:sz w:val="20"/>
        </w:rPr>
        <w:t>基礎化学品（売上高の約40%）: 2-エチルヘキサノール（2-EH、可塑剤原料）、オクタノール、イソデカノール（INA）</w:t>
      </w:r>
    </w:p>
    <w:p/>
    <w:p>
      <w:r>
        <w:t>──────────────────────────────────────────────────</w:t>
      </w:r>
    </w:p>
    <w:p/>
    <w:p>
      <w:pPr>
        <w:pStyle w:val="Heading2"/>
      </w:pPr>
      <w:r>
        <w:rPr>
          <w:rFonts w:ascii="Meiryo UI" w:hAnsi="Meiryo UI"/>
          <w:color w:val="2E74B5"/>
        </w:rPr>
        <w:t>2. 業績予想推移表と具体的根拠</w:t>
      </w:r>
    </w:p>
    <w:p/>
    <w:p>
      <w:pPr>
        <w:pStyle w:val="Heading3"/>
      </w:pPr>
      <w:r>
        <w:rPr>
          <w:rFonts w:ascii="Meiryo UI" w:hAnsi="Meiryo UI"/>
          <w:color w:val="2E74B5"/>
        </w:rPr>
        <w:t>2-1. 過去業績（実績）</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売上高（億円）</w:t>
            </w:r>
          </w:p>
        </w:tc>
        <w:tc>
          <w:tcPr>
            <w:tcW w:type="dxa" w:w="1176"/>
            <w:shd w:val="clear" w:color="auto" w:fill="2E74B5"/>
          </w:tcPr>
          <w:p>
            <w:r>
              <w:rPr>
                <w:rFonts w:ascii="Meiryo UI" w:hAnsi="Meiryo UI"/>
                <w:b/>
                <w:color w:val="FFFFFF"/>
                <w:sz w:val="18"/>
              </w:rPr>
              <w:t>営業利益（億円）</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経常利益</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EPS（円）</w:t>
            </w:r>
          </w:p>
        </w:tc>
        <w:tc>
          <w:tcPr>
            <w:tcW w:type="dxa" w:w="1176"/>
            <w:shd w:val="clear" w:color="auto" w:fill="2E74B5"/>
          </w:tcPr>
          <w:p>
            <w:r>
              <w:rPr>
                <w:rFonts w:ascii="Meiryo UI" w:hAnsi="Meiryo UI"/>
                <w:b/>
                <w:color w:val="FFFFFF"/>
                <w:sz w:val="18"/>
              </w:rPr>
              <w:t>ROE</w:t>
            </w:r>
          </w:p>
        </w:tc>
      </w:tr>
      <w:tr>
        <w:tc>
          <w:tcPr>
            <w:tcW w:type="dxa" w:w="1176"/>
          </w:tcPr>
          <w:p>
            <w:r>
              <w:rPr>
                <w:rFonts w:ascii="Meiryo UI" w:hAnsi="Meiryo UI"/>
                <w:sz w:val="18"/>
              </w:rPr>
              <w:t>FY2021.12</w:t>
            </w:r>
          </w:p>
        </w:tc>
        <w:tc>
          <w:tcPr>
            <w:tcW w:type="dxa" w:w="1176"/>
          </w:tcPr>
          <w:p>
            <w:r>
              <w:rPr>
                <w:rFonts w:ascii="Meiryo UI" w:hAnsi="Meiryo UI"/>
                <w:sz w:val="18"/>
              </w:rPr>
              <w:t>1,171</w:t>
            </w:r>
          </w:p>
        </w:tc>
        <w:tc>
          <w:tcPr>
            <w:tcW w:type="dxa" w:w="1176"/>
          </w:tcPr>
          <w:p>
            <w:r>
              <w:rPr>
                <w:rFonts w:ascii="Meiryo UI" w:hAnsi="Meiryo UI"/>
                <w:sz w:val="18"/>
              </w:rPr>
              <w:t>197</w:t>
            </w:r>
          </w:p>
        </w:tc>
        <w:tc>
          <w:tcPr>
            <w:tcW w:type="dxa" w:w="1176"/>
          </w:tcPr>
          <w:p>
            <w:r>
              <w:rPr>
                <w:rFonts w:ascii="Meiryo UI" w:hAnsi="Meiryo UI"/>
                <w:sz w:val="18"/>
              </w:rPr>
              <w:t>16.8%</w:t>
            </w:r>
          </w:p>
        </w:tc>
        <w:tc>
          <w:tcPr>
            <w:tcW w:type="dxa" w:w="1176"/>
          </w:tcPr>
          <w:p>
            <w:r>
              <w:rPr>
                <w:rFonts w:ascii="Meiryo UI" w:hAnsi="Meiryo UI"/>
                <w:sz w:val="18"/>
              </w:rPr>
              <w:t>198</w:t>
            </w:r>
          </w:p>
        </w:tc>
        <w:tc>
          <w:tcPr>
            <w:tcW w:type="dxa" w:w="1176"/>
          </w:tcPr>
          <w:p>
            <w:r>
              <w:rPr>
                <w:rFonts w:ascii="Meiryo UI" w:hAnsi="Meiryo UI"/>
                <w:sz w:val="18"/>
              </w:rPr>
              <w:t>137</w:t>
            </w:r>
          </w:p>
        </w:tc>
        <w:tc>
          <w:tcPr>
            <w:tcW w:type="dxa" w:w="1176"/>
          </w:tcPr>
          <w:p>
            <w:r>
              <w:rPr>
                <w:rFonts w:ascii="Meiryo UI" w:hAnsi="Meiryo UI"/>
                <w:sz w:val="18"/>
              </w:rPr>
              <w:t>369</w:t>
            </w:r>
          </w:p>
        </w:tc>
        <w:tc>
          <w:tcPr>
            <w:tcW w:type="dxa" w:w="1176"/>
          </w:tcPr>
          <w:p>
            <w:r>
              <w:rPr>
                <w:rFonts w:ascii="Meiryo UI" w:hAnsi="Meiryo UI"/>
                <w:sz w:val="18"/>
              </w:rPr>
              <w:t>高</w:t>
            </w:r>
          </w:p>
        </w:tc>
      </w:tr>
      <w:tr>
        <w:tc>
          <w:tcPr>
            <w:tcW w:type="dxa" w:w="1176"/>
            <w:shd w:val="clear" w:color="auto" w:fill="DDEBF7"/>
          </w:tcPr>
          <w:p>
            <w:r>
              <w:rPr>
                <w:rFonts w:ascii="Meiryo UI" w:hAnsi="Meiryo UI"/>
                <w:sz w:val="18"/>
              </w:rPr>
              <w:t>FY2022.12</w:t>
            </w:r>
          </w:p>
        </w:tc>
        <w:tc>
          <w:tcPr>
            <w:tcW w:type="dxa" w:w="1176"/>
            <w:shd w:val="clear" w:color="auto" w:fill="DDEBF7"/>
          </w:tcPr>
          <w:p>
            <w:r>
              <w:rPr>
                <w:rFonts w:ascii="Meiryo UI" w:hAnsi="Meiryo UI"/>
                <w:sz w:val="18"/>
              </w:rPr>
              <w:t>1,149</w:t>
            </w:r>
          </w:p>
        </w:tc>
        <w:tc>
          <w:tcPr>
            <w:tcW w:type="dxa" w:w="1176"/>
            <w:shd w:val="clear" w:color="auto" w:fill="DDEBF7"/>
          </w:tcPr>
          <w:p>
            <w:r>
              <w:rPr>
                <w:rFonts w:ascii="Meiryo UI" w:hAnsi="Meiryo UI"/>
                <w:sz w:val="18"/>
              </w:rPr>
              <w:t>125</w:t>
            </w:r>
          </w:p>
        </w:tc>
        <w:tc>
          <w:tcPr>
            <w:tcW w:type="dxa" w:w="1176"/>
            <w:shd w:val="clear" w:color="auto" w:fill="DDEBF7"/>
          </w:tcPr>
          <w:p>
            <w:r>
              <w:rPr>
                <w:rFonts w:ascii="Meiryo UI" w:hAnsi="Meiryo UI"/>
                <w:sz w:val="18"/>
              </w:rPr>
              <w:t>10.9%</w:t>
            </w:r>
          </w:p>
        </w:tc>
        <w:tc>
          <w:tcPr>
            <w:tcW w:type="dxa" w:w="1176"/>
            <w:shd w:val="clear" w:color="auto" w:fill="DDEBF7"/>
          </w:tcPr>
          <w:p>
            <w:r>
              <w:rPr>
                <w:rFonts w:ascii="Meiryo UI" w:hAnsi="Meiryo UI"/>
                <w:sz w:val="18"/>
              </w:rPr>
              <w:t>127</w:t>
            </w:r>
          </w:p>
        </w:tc>
        <w:tc>
          <w:tcPr>
            <w:tcW w:type="dxa" w:w="1176"/>
            <w:shd w:val="clear" w:color="auto" w:fill="DDEBF7"/>
          </w:tcPr>
          <w:p>
            <w:r>
              <w:rPr>
                <w:rFonts w:ascii="Meiryo UI" w:hAnsi="Meiryo UI"/>
                <w:sz w:val="18"/>
              </w:rPr>
              <w:t>81</w:t>
            </w:r>
          </w:p>
        </w:tc>
        <w:tc>
          <w:tcPr>
            <w:tcW w:type="dxa" w:w="1176"/>
            <w:shd w:val="clear" w:color="auto" w:fill="DDEBF7"/>
          </w:tcPr>
          <w:p>
            <w:r>
              <w:rPr>
                <w:rFonts w:ascii="Meiryo UI" w:hAnsi="Meiryo UI"/>
                <w:sz w:val="18"/>
              </w:rPr>
              <w:t>218</w:t>
            </w:r>
          </w:p>
        </w:tc>
        <w:tc>
          <w:tcPr>
            <w:tcW w:type="dxa" w:w="1176"/>
            <w:shd w:val="clear" w:color="auto" w:fill="DDEBF7"/>
          </w:tcPr>
          <w:p>
            <w:r>
              <w:rPr>
                <w:rFonts w:ascii="Meiryo UI" w:hAnsi="Meiryo UI"/>
                <w:sz w:val="18"/>
              </w:rPr>
              <w:t>中</w:t>
            </w:r>
          </w:p>
        </w:tc>
      </w:tr>
      <w:tr>
        <w:tc>
          <w:tcPr>
            <w:tcW w:type="dxa" w:w="1176"/>
          </w:tcPr>
          <w:p>
            <w:r>
              <w:rPr>
                <w:rFonts w:ascii="Meiryo UI" w:hAnsi="Meiryo UI"/>
                <w:sz w:val="18"/>
              </w:rPr>
              <w:t>FY2023.12</w:t>
            </w:r>
          </w:p>
        </w:tc>
        <w:tc>
          <w:tcPr>
            <w:tcW w:type="dxa" w:w="1176"/>
          </w:tcPr>
          <w:p>
            <w:r>
              <w:rPr>
                <w:rFonts w:ascii="Meiryo UI" w:hAnsi="Meiryo UI"/>
                <w:sz w:val="18"/>
              </w:rPr>
              <w:t>1,152</w:t>
            </w:r>
          </w:p>
        </w:tc>
        <w:tc>
          <w:tcPr>
            <w:tcW w:type="dxa" w:w="1176"/>
          </w:tcPr>
          <w:p>
            <w:r>
              <w:rPr>
                <w:rFonts w:ascii="Meiryo UI" w:hAnsi="Meiryo UI"/>
                <w:sz w:val="18"/>
              </w:rPr>
              <w:t>99</w:t>
            </w:r>
          </w:p>
        </w:tc>
        <w:tc>
          <w:tcPr>
            <w:tcW w:type="dxa" w:w="1176"/>
          </w:tcPr>
          <w:p>
            <w:r>
              <w:rPr>
                <w:rFonts w:ascii="Meiryo UI" w:hAnsi="Meiryo UI"/>
                <w:sz w:val="18"/>
              </w:rPr>
              <w:t>8.6%</w:t>
            </w:r>
          </w:p>
        </w:tc>
        <w:tc>
          <w:tcPr>
            <w:tcW w:type="dxa" w:w="1176"/>
          </w:tcPr>
          <w:p>
            <w:r>
              <w:rPr>
                <w:rFonts w:ascii="Meiryo UI" w:hAnsi="Meiryo UI"/>
                <w:sz w:val="18"/>
              </w:rPr>
              <w:t>97</w:t>
            </w:r>
          </w:p>
        </w:tc>
        <w:tc>
          <w:tcPr>
            <w:tcW w:type="dxa" w:w="1176"/>
          </w:tcPr>
          <w:p>
            <w:r>
              <w:rPr>
                <w:rFonts w:ascii="Meiryo UI" w:hAnsi="Meiryo UI"/>
                <w:sz w:val="18"/>
              </w:rPr>
              <w:t>68</w:t>
            </w:r>
          </w:p>
        </w:tc>
        <w:tc>
          <w:tcPr>
            <w:tcW w:type="dxa" w:w="1176"/>
          </w:tcPr>
          <w:p>
            <w:r>
              <w:rPr>
                <w:rFonts w:ascii="Meiryo UI" w:hAnsi="Meiryo UI"/>
                <w:sz w:val="18"/>
              </w:rPr>
              <w:t>184</w:t>
            </w:r>
          </w:p>
        </w:tc>
        <w:tc>
          <w:tcPr>
            <w:tcW w:type="dxa" w:w="1176"/>
          </w:tcPr>
          <w:p>
            <w:r>
              <w:rPr>
                <w:rFonts w:ascii="Meiryo UI" w:hAnsi="Meiryo UI"/>
                <w:sz w:val="18"/>
              </w:rPr>
              <w:t>低</w:t>
            </w:r>
          </w:p>
        </w:tc>
      </w:tr>
      <w:tr>
        <w:tc>
          <w:tcPr>
            <w:tcW w:type="dxa" w:w="1176"/>
            <w:shd w:val="clear" w:color="auto" w:fill="DDEBF7"/>
          </w:tcPr>
          <w:p>
            <w:r>
              <w:rPr>
                <w:rFonts w:ascii="Meiryo UI" w:hAnsi="Meiryo UI"/>
                <w:sz w:val="18"/>
              </w:rPr>
              <w:t>FY2024.12</w:t>
            </w:r>
          </w:p>
        </w:tc>
        <w:tc>
          <w:tcPr>
            <w:tcW w:type="dxa" w:w="1176"/>
            <w:shd w:val="clear" w:color="auto" w:fill="DDEBF7"/>
          </w:tcPr>
          <w:p>
            <w:r>
              <w:rPr>
                <w:rFonts w:ascii="Meiryo UI" w:hAnsi="Meiryo UI"/>
                <w:sz w:val="18"/>
              </w:rPr>
              <w:t>1,198</w:t>
            </w:r>
          </w:p>
        </w:tc>
        <w:tc>
          <w:tcPr>
            <w:tcW w:type="dxa" w:w="1176"/>
            <w:shd w:val="clear" w:color="auto" w:fill="DDEBF7"/>
          </w:tcPr>
          <w:p>
            <w:r>
              <w:rPr>
                <w:rFonts w:ascii="Meiryo UI" w:hAnsi="Meiryo UI"/>
                <w:sz w:val="18"/>
              </w:rPr>
              <w:t>122</w:t>
            </w:r>
          </w:p>
        </w:tc>
        <w:tc>
          <w:tcPr>
            <w:tcW w:type="dxa" w:w="1176"/>
            <w:shd w:val="clear" w:color="auto" w:fill="DDEBF7"/>
          </w:tcPr>
          <w:p>
            <w:r>
              <w:rPr>
                <w:rFonts w:ascii="Meiryo UI" w:hAnsi="Meiryo UI"/>
                <w:sz w:val="18"/>
              </w:rPr>
              <w:t>10.2%</w:t>
            </w:r>
          </w:p>
        </w:tc>
        <w:tc>
          <w:tcPr>
            <w:tcW w:type="dxa" w:w="1176"/>
            <w:shd w:val="clear" w:color="auto" w:fill="DDEBF7"/>
          </w:tcPr>
          <w:p>
            <w:r>
              <w:rPr>
                <w:rFonts w:ascii="Meiryo UI" w:hAnsi="Meiryo UI"/>
                <w:sz w:val="18"/>
              </w:rPr>
              <w:t>121</w:t>
            </w:r>
          </w:p>
        </w:tc>
        <w:tc>
          <w:tcPr>
            <w:tcW w:type="dxa" w:w="1176"/>
            <w:shd w:val="clear" w:color="auto" w:fill="DDEBF7"/>
          </w:tcPr>
          <w:p>
            <w:r>
              <w:rPr>
                <w:rFonts w:ascii="Meiryo UI" w:hAnsi="Meiryo UI"/>
                <w:sz w:val="18"/>
              </w:rPr>
              <w:t>84</w:t>
            </w:r>
          </w:p>
        </w:tc>
        <w:tc>
          <w:tcPr>
            <w:tcW w:type="dxa" w:w="1176"/>
            <w:shd w:val="clear" w:color="auto" w:fill="DDEBF7"/>
          </w:tcPr>
          <w:p>
            <w:r>
              <w:rPr>
                <w:rFonts w:ascii="Meiryo UI" w:hAnsi="Meiryo UI"/>
                <w:sz w:val="18"/>
              </w:rPr>
              <w:t>226</w:t>
            </w:r>
          </w:p>
        </w:tc>
        <w:tc>
          <w:tcPr>
            <w:tcW w:type="dxa" w:w="1176"/>
            <w:shd w:val="clear" w:color="auto" w:fill="DDEBF7"/>
          </w:tcPr>
          <w:p>
            <w:r>
              <w:rPr>
                <w:rFonts w:ascii="Meiryo UI" w:hAnsi="Meiryo UI"/>
                <w:sz w:val="18"/>
              </w:rPr>
              <w:t>12.6%</w:t>
            </w:r>
          </w:p>
        </w:tc>
      </w:tr>
      <w:tr>
        <w:tc>
          <w:tcPr>
            <w:tcW w:type="dxa" w:w="1176"/>
          </w:tcPr>
          <w:p>
            <w:r>
              <w:rPr>
                <w:rFonts w:ascii="Meiryo UI" w:hAnsi="Meiryo UI"/>
                <w:sz w:val="18"/>
              </w:rPr>
              <w:t>FY2025.12</w:t>
            </w:r>
          </w:p>
        </w:tc>
        <w:tc>
          <w:tcPr>
            <w:tcW w:type="dxa" w:w="1176"/>
          </w:tcPr>
          <w:p>
            <w:r>
              <w:rPr>
                <w:rFonts w:ascii="Meiryo UI" w:hAnsi="Meiryo UI"/>
                <w:sz w:val="18"/>
              </w:rPr>
              <w:t>1,151</w:t>
            </w:r>
          </w:p>
        </w:tc>
        <w:tc>
          <w:tcPr>
            <w:tcW w:type="dxa" w:w="1176"/>
          </w:tcPr>
          <w:p>
            <w:r>
              <w:rPr>
                <w:rFonts w:ascii="Meiryo UI" w:hAnsi="Meiryo UI"/>
                <w:sz w:val="18"/>
              </w:rPr>
              <w:t>112</w:t>
            </w:r>
          </w:p>
        </w:tc>
        <w:tc>
          <w:tcPr>
            <w:tcW w:type="dxa" w:w="1176"/>
          </w:tcPr>
          <w:p>
            <w:r>
              <w:rPr>
                <w:rFonts w:ascii="Meiryo UI" w:hAnsi="Meiryo UI"/>
                <w:sz w:val="18"/>
              </w:rPr>
              <w:t>9.7%</w:t>
            </w:r>
          </w:p>
        </w:tc>
        <w:tc>
          <w:tcPr>
            <w:tcW w:type="dxa" w:w="1176"/>
          </w:tcPr>
          <w:p>
            <w:r>
              <w:rPr>
                <w:rFonts w:ascii="Meiryo UI" w:hAnsi="Meiryo UI"/>
                <w:sz w:val="18"/>
              </w:rPr>
              <w:t>108</w:t>
            </w:r>
          </w:p>
        </w:tc>
        <w:tc>
          <w:tcPr>
            <w:tcW w:type="dxa" w:w="1176"/>
          </w:tcPr>
          <w:p>
            <w:r>
              <w:rPr>
                <w:rFonts w:ascii="Meiryo UI" w:hAnsi="Meiryo UI"/>
                <w:sz w:val="18"/>
              </w:rPr>
              <w:t>78</w:t>
            </w:r>
          </w:p>
        </w:tc>
        <w:tc>
          <w:tcPr>
            <w:tcW w:type="dxa" w:w="1176"/>
          </w:tcPr>
          <w:p>
            <w:r>
              <w:rPr>
                <w:rFonts w:ascii="Meiryo UI" w:hAnsi="Meiryo UI"/>
                <w:sz w:val="18"/>
              </w:rPr>
              <w:t>218</w:t>
            </w:r>
          </w:p>
        </w:tc>
        <w:tc>
          <w:tcPr>
            <w:tcW w:type="dxa" w:w="1176"/>
          </w:tcPr>
          <w:p>
            <w:r>
              <w:rPr>
                <w:rFonts w:ascii="Meiryo UI" w:hAnsi="Meiryo UI"/>
                <w:sz w:val="18"/>
              </w:rPr>
              <w:t>11.2%</w:t>
            </w:r>
          </w:p>
        </w:tc>
      </w:tr>
    </w:tbl>
    <w:p/>
    <w:p>
      <w:r>
        <w:rPr>
          <w:rFonts w:ascii="Meiryo UI" w:hAnsi="Meiryo UI"/>
          <w:sz w:val="20"/>
        </w:rPr>
        <w:t>FY2021ピーク後の利益低迷構造: ①2022以降の中国EV補助金変動によるエアコン需要乱高下 ②NMP価格下落（電池市場供給過剰）③2-EH・オクタノールに中国安値品が流入し基礎化学品マージン圧縮。4年間でOP¥197億→¥99億→¥122億の横ばい。</w:t>
      </w:r>
    </w:p>
    <w:p/>
    <w:p>
      <w:r>
        <w:rPr>
          <w:rFonts w:ascii="Meiryo UI" w:hAnsi="Meiryo UI"/>
          <w:sz w:val="20"/>
        </w:rPr>
        <w:t>FY2025下振れの具体原因（投資家向け開示より）: ①米国環境規制の駆け込み需要反動減（機能性材料）②中国家電買換え補助金効果剥落でエアコン向け冷凍機油原料の在庫調整が想定以上に長期化③基礎化学品の国内需要低迷＋安価な輸入品流入。FY2025前提: USD/JPY ¥150・国産ナフサ ¥67,000/KL。</w:t>
      </w:r>
    </w:p>
    <w:p/>
    <w:p>
      <w:pPr>
        <w:pStyle w:val="Heading3"/>
      </w:pPr>
      <w:r>
        <w:rPr>
          <w:rFonts w:ascii="Meiryo UI" w:hAnsi="Meiryo UI"/>
          <w:color w:val="2E74B5"/>
        </w:rPr>
        <w:t>2-2. FY2025.12 通期決算確定（2026年2月発表）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当初予想（期初）</w:t>
            </w:r>
          </w:p>
        </w:tc>
        <w:tc>
          <w:tcPr>
            <w:tcW w:type="dxa" w:w="2351"/>
            <w:shd w:val="clear" w:color="auto" w:fill="2E74B5"/>
          </w:tcPr>
          <w:p>
            <w:r>
              <w:rPr>
                <w:rFonts w:ascii="Meiryo UI" w:hAnsi="Meiryo UI"/>
                <w:b/>
                <w:color w:val="FFFFFF"/>
                <w:sz w:val="18"/>
              </w:rPr>
              <w:t>最終着地（下方修正後）</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売上高</w:t>
            </w:r>
          </w:p>
        </w:tc>
        <w:tc>
          <w:tcPr>
            <w:tcW w:type="dxa" w:w="2351"/>
          </w:tcPr>
          <w:p>
            <w:r>
              <w:rPr>
                <w:rFonts w:ascii="Meiryo UI" w:hAnsi="Meiryo UI"/>
                <w:sz w:val="18"/>
              </w:rPr>
              <w:t>¥1,274億</w:t>
            </w:r>
          </w:p>
        </w:tc>
        <w:tc>
          <w:tcPr>
            <w:tcW w:type="dxa" w:w="2351"/>
          </w:tcPr>
          <w:p>
            <w:r>
              <w:rPr>
                <w:rFonts w:ascii="Meiryo UI" w:hAnsi="Meiryo UI"/>
                <w:sz w:val="18"/>
              </w:rPr>
              <w:t>¥1,151億</w:t>
            </w:r>
          </w:p>
        </w:tc>
        <w:tc>
          <w:tcPr>
            <w:tcW w:type="dxa" w:w="2351"/>
          </w:tcPr>
          <w:p>
            <w:r>
              <w:rPr>
                <w:rFonts w:ascii="Meiryo UI" w:hAnsi="Meiryo UI"/>
                <w:sz w:val="18"/>
              </w:rPr>
              <w:t>▲9.7%</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¥140億</w:t>
            </w:r>
          </w:p>
        </w:tc>
        <w:tc>
          <w:tcPr>
            <w:tcW w:type="dxa" w:w="2351"/>
            <w:shd w:val="clear" w:color="auto" w:fill="DDEBF7"/>
          </w:tcPr>
          <w:p>
            <w:r>
              <w:rPr>
                <w:rFonts w:ascii="Meiryo UI" w:hAnsi="Meiryo UI"/>
                <w:sz w:val="18"/>
              </w:rPr>
              <w:t>¥112億</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純利益</w:t>
            </w:r>
          </w:p>
        </w:tc>
        <w:tc>
          <w:tcPr>
            <w:tcW w:type="dxa" w:w="2351"/>
          </w:tcPr>
          <w:p>
            <w:r>
              <w:rPr>
                <w:rFonts w:ascii="Meiryo UI" w:hAnsi="Meiryo UI"/>
                <w:sz w:val="18"/>
              </w:rPr>
              <w:t>¥100億</w:t>
            </w:r>
          </w:p>
        </w:tc>
        <w:tc>
          <w:tcPr>
            <w:tcW w:type="dxa" w:w="2351"/>
          </w:tcPr>
          <w:p>
            <w:r>
              <w:rPr>
                <w:rFonts w:ascii="Meiryo UI" w:hAnsi="Meiryo UI"/>
                <w:sz w:val="18"/>
              </w:rPr>
              <w:t>¥78億</w:t>
            </w:r>
          </w:p>
        </w:tc>
        <w:tc>
          <w:tcPr>
            <w:tcW w:type="dxa" w:w="2351"/>
          </w:tcPr>
          <w:p>
            <w:r>
              <w:rPr>
                <w:rFonts w:ascii="Meiryo UI" w:hAnsi="Meiryo UI"/>
                <w:sz w:val="18"/>
              </w:rPr>
              <w:t>▲22%</w:t>
            </w:r>
          </w:p>
        </w:tc>
      </w:tr>
    </w:tbl>
    <w:p/>
    <w:p>
      <w:r>
        <w:rPr>
          <w:rFonts w:ascii="Meiryo UI" w:hAnsi="Meiryo UI"/>
          <w:sz w:val="20"/>
        </w:rPr>
        <w:t>ガイダンス未達の教訓: KHネオケムは毎期「強気の期初予想 → 年後半下方修正」のパターンを繰り返している。FY2022・FY2025ともに期初から20%前後の下振れ。この「ガイダンス信頼性リスク」は投資判断において重要な割引要因。</w:t>
      </w:r>
    </w:p>
    <w:p/>
    <w:p>
      <w:pPr>
        <w:pStyle w:val="Heading3"/>
      </w:pPr>
      <w:r>
        <w:rPr>
          <w:rFonts w:ascii="Meiryo UI" w:hAnsi="Meiryo UI"/>
          <w:color w:val="2E74B5"/>
        </w:rPr>
        <w:t>2-3. FY2026.12 会社予想（2026年2月13日発表）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予想</w:t>
            </w:r>
          </w:p>
        </w:tc>
        <w:tc>
          <w:tcPr>
            <w:tcW w:type="dxa" w:w="2351"/>
            <w:shd w:val="clear" w:color="auto" w:fill="2E74B5"/>
          </w:tcPr>
          <w:p>
            <w:r>
              <w:rPr>
                <w:rFonts w:ascii="Meiryo UI" w:hAnsi="Meiryo UI"/>
                <w:b/>
                <w:color w:val="FFFFFF"/>
                <w:sz w:val="18"/>
              </w:rPr>
              <w:t>FY2025比</w:t>
            </w:r>
          </w:p>
        </w:tc>
        <w:tc>
          <w:tcPr>
            <w:tcW w:type="dxa" w:w="2351"/>
            <w:shd w:val="clear" w:color="auto" w:fill="2E74B5"/>
          </w:tcPr>
          <w:p>
            <w:r>
              <w:rPr>
                <w:rFonts w:ascii="Meiryo UI" w:hAnsi="Meiryo UI"/>
                <w:b/>
                <w:color w:val="FFFFFF"/>
                <w:sz w:val="18"/>
              </w:rPr>
              <w:t>深井信頼度評価</w:t>
            </w:r>
          </w:p>
        </w:tc>
      </w:tr>
      <w:tr>
        <w:tc>
          <w:tcPr>
            <w:tcW w:type="dxa" w:w="2351"/>
          </w:tcPr>
          <w:p>
            <w:r>
              <w:rPr>
                <w:rFonts w:ascii="Meiryo UI" w:hAnsi="Meiryo UI"/>
                <w:sz w:val="18"/>
              </w:rPr>
              <w:t>売上高</w:t>
            </w:r>
          </w:p>
        </w:tc>
        <w:tc>
          <w:tcPr>
            <w:tcW w:type="dxa" w:w="2351"/>
          </w:tcPr>
          <w:p>
            <w:r>
              <w:rPr>
                <w:rFonts w:ascii="Meiryo UI" w:hAnsi="Meiryo UI"/>
                <w:sz w:val="18"/>
              </w:rPr>
              <w:t>¥1,140億</w:t>
            </w:r>
          </w:p>
        </w:tc>
        <w:tc>
          <w:tcPr>
            <w:tcW w:type="dxa" w:w="2351"/>
          </w:tcPr>
          <w:p>
            <w:r>
              <w:rPr>
                <w:rFonts w:ascii="Meiryo UI" w:hAnsi="Meiryo UI"/>
                <w:sz w:val="18"/>
              </w:rPr>
              <w:t>▲1.0%</w:t>
            </w:r>
          </w:p>
        </w:tc>
        <w:tc>
          <w:tcPr>
            <w:tcW w:type="dxa" w:w="2351"/>
          </w:tcPr>
          <w:p>
            <w:r>
              <w:rPr>
                <w:rFonts w:ascii="Meiryo UI" w:hAnsi="Meiryo UI"/>
                <w:sz w:val="18"/>
              </w:rPr>
              <w:t>中（Hormuz次第）</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¥135億</w:t>
            </w:r>
          </w:p>
        </w:tc>
        <w:tc>
          <w:tcPr>
            <w:tcW w:type="dxa" w:w="2351"/>
            <w:shd w:val="clear" w:color="auto" w:fill="DDEBF7"/>
          </w:tcPr>
          <w:p>
            <w:r>
              <w:rPr>
                <w:rFonts w:ascii="Meiryo UI" w:hAnsi="Meiryo UI"/>
                <w:sz w:val="18"/>
              </w:rPr>
              <w:t>+20.0%</w:t>
            </w:r>
          </w:p>
        </w:tc>
        <w:tc>
          <w:tcPr>
            <w:tcW w:type="dxa" w:w="2351"/>
            <w:shd w:val="clear" w:color="auto" w:fill="DDEBF7"/>
          </w:tcPr>
          <w:p>
            <w:r>
              <w:rPr>
                <w:rFonts w:ascii="Meiryo UI" w:hAnsi="Meiryo UI"/>
                <w:sz w:val="18"/>
              </w:rPr>
              <w:t>低（ナフサ仮定次第）</w:t>
            </w:r>
          </w:p>
        </w:tc>
      </w:tr>
      <w:tr>
        <w:tc>
          <w:tcPr>
            <w:tcW w:type="dxa" w:w="2351"/>
          </w:tcPr>
          <w:p>
            <w:r>
              <w:rPr>
                <w:rFonts w:ascii="Meiryo UI" w:hAnsi="Meiryo UI"/>
                <w:sz w:val="18"/>
              </w:rPr>
              <w:t>経常利益</w:t>
            </w:r>
          </w:p>
        </w:tc>
        <w:tc>
          <w:tcPr>
            <w:tcW w:type="dxa" w:w="2351"/>
          </w:tcPr>
          <w:p>
            <w:r>
              <w:rPr>
                <w:rFonts w:ascii="Meiryo UI" w:hAnsi="Meiryo UI"/>
                <w:sz w:val="18"/>
              </w:rPr>
              <w:t>¥126億</w:t>
            </w:r>
          </w:p>
        </w:tc>
        <w:tc>
          <w:tcPr>
            <w:tcW w:type="dxa" w:w="2351"/>
          </w:tcPr>
          <w:p>
            <w:r>
              <w:rPr>
                <w:rFonts w:ascii="Meiryo UI" w:hAnsi="Meiryo UI"/>
                <w:sz w:val="18"/>
              </w:rPr>
              <w:t>+16.7%</w:t>
            </w:r>
          </w:p>
        </w:tc>
        <w:tc>
          <w:tcPr>
            <w:tcW w:type="dxa" w:w="2351"/>
          </w:tcPr>
          <w:p>
            <w:r>
              <w:rPr>
                <w:rFonts w:ascii="Meiryo UI" w:hAnsi="Meiryo UI"/>
                <w:sz w:val="18"/>
              </w:rPr>
              <w:t>低</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¥87億</w:t>
            </w:r>
          </w:p>
        </w:tc>
        <w:tc>
          <w:tcPr>
            <w:tcW w:type="dxa" w:w="2351"/>
            <w:shd w:val="clear" w:color="auto" w:fill="DDEBF7"/>
          </w:tcPr>
          <w:p>
            <w:r>
              <w:rPr>
                <w:rFonts w:ascii="Meiryo UI" w:hAnsi="Meiryo UI"/>
                <w:sz w:val="18"/>
              </w:rPr>
              <w:t>+11.5%</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配当</w:t>
            </w:r>
          </w:p>
        </w:tc>
        <w:tc>
          <w:tcPr>
            <w:tcW w:type="dxa" w:w="2351"/>
          </w:tcPr>
          <w:p>
            <w:r>
              <w:rPr>
                <w:rFonts w:ascii="Meiryo UI" w:hAnsi="Meiryo UI"/>
                <w:sz w:val="18"/>
              </w:rPr>
              <w:t>¥110</w:t>
            </w:r>
          </w:p>
        </w:tc>
        <w:tc>
          <w:tcPr>
            <w:tcW w:type="dxa" w:w="2351"/>
          </w:tcPr>
          <w:p>
            <w:r>
              <w:rPr>
                <w:rFonts w:ascii="Meiryo UI" w:hAnsi="Meiryo UI"/>
                <w:sz w:val="18"/>
              </w:rPr>
              <w:t>+¥5</w:t>
            </w:r>
          </w:p>
        </w:tc>
        <w:tc>
          <w:tcPr>
            <w:tcW w:type="dxa" w:w="2351"/>
          </w:tcPr>
          <w:p>
            <w:r>
              <w:rPr>
                <w:rFonts w:ascii="Meiryo UI" w:hAnsi="Meiryo UI"/>
                <w:sz w:val="18"/>
              </w:rPr>
              <w:t>高（増配方針継続）</w:t>
            </w:r>
          </w:p>
        </w:tc>
      </w:tr>
    </w:tbl>
    <w:p/>
    <w:p>
      <w:r>
        <w:rPr>
          <w:rFonts w:ascii="Meiryo UI" w:hAnsi="Meiryo UI"/>
          <w:sz w:val="20"/>
        </w:rPr>
        <w:t>FY2026ガイダンスの重大な前提リスク: ホルムズ封鎖（2026年2月28日発生）の翌日〜数日後に発表された可能性が高く、ナフサ前提が¥67,000〜75,000/KLに据え置かれた可能性がある。現在の市場ナフサ価格は推定¥90,000〜100,000/KL（WTI$96-114 → ナフサ比例換算）。この乖離がFY2026業績の最大不確実性。</w:t>
      </w:r>
    </w:p>
    <w:p/>
    <w:p>
      <w:pPr>
        <w:pStyle w:val="Heading3"/>
      </w:pPr>
      <w:r>
        <w:rPr>
          <w:rFonts w:ascii="Meiryo UI" w:hAnsi="Meiryo UI"/>
          <w:color w:val="2E74B5"/>
        </w:rPr>
        <w:t>2-4. Deep Research 業績予想（FY2026〜FY2031）</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決算期</w:t>
            </w:r>
          </w:p>
        </w:tc>
        <w:tc>
          <w:tcPr>
            <w:tcW w:type="dxa" w:w="1881"/>
            <w:shd w:val="clear" w:color="auto" w:fill="2E74B5"/>
          </w:tcPr>
          <w:p>
            <w:r>
              <w:rPr>
                <w:rFonts w:ascii="Meiryo UI" w:hAnsi="Meiryo UI"/>
                <w:b/>
                <w:color w:val="FFFFFF"/>
                <w:sz w:val="18"/>
              </w:rPr>
              <w:t>売上高（億円）</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営業利益</w:t>
            </w:r>
          </w:p>
        </w:tc>
        <w:tc>
          <w:tcPr>
            <w:tcW w:type="dxa" w:w="1881"/>
            <w:shd w:val="clear" w:color="auto" w:fill="2E74B5"/>
          </w:tcPr>
          <w:p>
            <w:r>
              <w:rPr>
                <w:rFonts w:ascii="Meiryo UI" w:hAnsi="Meiryo UI"/>
                <w:b/>
                <w:color w:val="FFFFFF"/>
                <w:sz w:val="18"/>
              </w:rPr>
              <w:t>利益率</w:t>
            </w:r>
          </w:p>
        </w:tc>
      </w:tr>
      <w:tr>
        <w:tc>
          <w:tcPr>
            <w:tcW w:type="dxa" w:w="1881"/>
          </w:tcPr>
          <w:p>
            <w:r>
              <w:rPr>
                <w:rFonts w:ascii="Meiryo UI" w:hAnsi="Meiryo UI"/>
                <w:sz w:val="18"/>
              </w:rPr>
              <w:t>FY2026E（Hormuz部分解決）</w:t>
            </w:r>
          </w:p>
        </w:tc>
        <w:tc>
          <w:tcPr>
            <w:tcW w:type="dxa" w:w="1881"/>
          </w:tcPr>
          <w:p>
            <w:r>
              <w:rPr>
                <w:rFonts w:ascii="Meiryo UI" w:hAnsi="Meiryo UI"/>
                <w:sz w:val="18"/>
              </w:rPr>
              <w:t>1,200</w:t>
            </w:r>
          </w:p>
        </w:tc>
        <w:tc>
          <w:tcPr>
            <w:tcW w:type="dxa" w:w="1881"/>
          </w:tcPr>
          <w:p>
            <w:r>
              <w:rPr>
                <w:rFonts w:ascii="Meiryo UI" w:hAnsi="Meiryo UI"/>
                <w:sz w:val="18"/>
              </w:rPr>
              <w:t>ナフサ¥85,000/KL平均（H1高・H2正常化）</w:t>
            </w:r>
          </w:p>
        </w:tc>
        <w:tc>
          <w:tcPr>
            <w:tcW w:type="dxa" w:w="1881"/>
          </w:tcPr>
          <w:p>
            <w:r>
              <w:rPr>
                <w:rFonts w:ascii="Meiryo UI" w:hAnsi="Meiryo UI"/>
                <w:sz w:val="18"/>
              </w:rPr>
              <w:t>110</w:t>
            </w:r>
          </w:p>
        </w:tc>
        <w:tc>
          <w:tcPr>
            <w:tcW w:type="dxa" w:w="1881"/>
          </w:tcPr>
          <w:p>
            <w:r>
              <w:rPr>
                <w:rFonts w:ascii="Meiryo UI" w:hAnsi="Meiryo UI"/>
                <w:sz w:val="18"/>
              </w:rPr>
              <w:t>9.2%</w:t>
            </w:r>
          </w:p>
        </w:tc>
      </w:tr>
      <w:tr>
        <w:tc>
          <w:tcPr>
            <w:tcW w:type="dxa" w:w="1881"/>
            <w:shd w:val="clear" w:color="auto" w:fill="DDEBF7"/>
          </w:tcPr>
          <w:p>
            <w:r>
              <w:rPr>
                <w:rFonts w:ascii="Meiryo UI" w:hAnsi="Meiryo UI"/>
                <w:sz w:val="18"/>
              </w:rPr>
              <w:t>FY2027E</w:t>
            </w:r>
          </w:p>
        </w:tc>
        <w:tc>
          <w:tcPr>
            <w:tcW w:type="dxa" w:w="1881"/>
            <w:shd w:val="clear" w:color="auto" w:fill="DDEBF7"/>
          </w:tcPr>
          <w:p>
            <w:r>
              <w:rPr>
                <w:rFonts w:ascii="Meiryo UI" w:hAnsi="Meiryo UI"/>
                <w:sz w:val="18"/>
              </w:rPr>
              <w:t>1,250</w:t>
            </w:r>
          </w:p>
        </w:tc>
        <w:tc>
          <w:tcPr>
            <w:tcW w:type="dxa" w:w="1881"/>
            <w:shd w:val="clear" w:color="auto" w:fill="DDEBF7"/>
          </w:tcPr>
          <w:p>
            <w:r>
              <w:rPr>
                <w:rFonts w:ascii="Meiryo UI" w:hAnsi="Meiryo UI"/>
                <w:sz w:val="18"/>
              </w:rPr>
              <w:t>停戦後正常化・冷凍機油回復・NMP半導体向け増</w:t>
            </w:r>
          </w:p>
        </w:tc>
        <w:tc>
          <w:tcPr>
            <w:tcW w:type="dxa" w:w="1881"/>
            <w:shd w:val="clear" w:color="auto" w:fill="DDEBF7"/>
          </w:tcPr>
          <w:p>
            <w:r>
              <w:rPr>
                <w:rFonts w:ascii="Meiryo UI" w:hAnsi="Meiryo UI"/>
                <w:sz w:val="18"/>
              </w:rPr>
              <w:t>145</w:t>
            </w:r>
          </w:p>
        </w:tc>
        <w:tc>
          <w:tcPr>
            <w:tcW w:type="dxa" w:w="1881"/>
            <w:shd w:val="clear" w:color="auto" w:fill="DDEBF7"/>
          </w:tcPr>
          <w:p>
            <w:r>
              <w:rPr>
                <w:rFonts w:ascii="Meiryo UI" w:hAnsi="Meiryo UI"/>
                <w:sz w:val="18"/>
              </w:rPr>
              <w:t>11.6%</w:t>
            </w:r>
          </w:p>
        </w:tc>
      </w:tr>
      <w:tr>
        <w:tc>
          <w:tcPr>
            <w:tcW w:type="dxa" w:w="1881"/>
          </w:tcPr>
          <w:p>
            <w:r>
              <w:rPr>
                <w:rFonts w:ascii="Meiryo UI" w:hAnsi="Meiryo UI"/>
                <w:sz w:val="18"/>
              </w:rPr>
              <w:t>FY2028E</w:t>
            </w:r>
          </w:p>
        </w:tc>
        <w:tc>
          <w:tcPr>
            <w:tcW w:type="dxa" w:w="1881"/>
          </w:tcPr>
          <w:p>
            <w:r>
              <w:rPr>
                <w:rFonts w:ascii="Meiryo UI" w:hAnsi="Meiryo UI"/>
                <w:sz w:val="18"/>
              </w:rPr>
              <w:t>1,300</w:t>
            </w:r>
          </w:p>
        </w:tc>
        <w:tc>
          <w:tcPr>
            <w:tcW w:type="dxa" w:w="1881"/>
          </w:tcPr>
          <w:p>
            <w:r>
              <w:rPr>
                <w:rFonts w:ascii="Meiryo UI" w:hAnsi="Meiryo UI"/>
                <w:sz w:val="18"/>
              </w:rPr>
              <w:t>冷凍機油グローバル競争力強化・化粧品インバウンド</w:t>
            </w:r>
          </w:p>
        </w:tc>
        <w:tc>
          <w:tcPr>
            <w:tcW w:type="dxa" w:w="1881"/>
          </w:tcPr>
          <w:p>
            <w:r>
              <w:rPr>
                <w:rFonts w:ascii="Meiryo UI" w:hAnsi="Meiryo UI"/>
                <w:sz w:val="18"/>
              </w:rPr>
              <w:t>163</w:t>
            </w:r>
          </w:p>
        </w:tc>
        <w:tc>
          <w:tcPr>
            <w:tcW w:type="dxa" w:w="1881"/>
          </w:tcPr>
          <w:p>
            <w:r>
              <w:rPr>
                <w:rFonts w:ascii="Meiryo UI" w:hAnsi="Meiryo UI"/>
                <w:sz w:val="18"/>
              </w:rPr>
              <w:t>12.5%</w:t>
            </w:r>
          </w:p>
        </w:tc>
      </w:tr>
      <w:tr>
        <w:tc>
          <w:tcPr>
            <w:tcW w:type="dxa" w:w="1881"/>
            <w:shd w:val="clear" w:color="auto" w:fill="DDEBF7"/>
          </w:tcPr>
          <w:p>
            <w:r>
              <w:rPr>
                <w:rFonts w:ascii="Meiryo UI" w:hAnsi="Meiryo UI"/>
                <w:sz w:val="18"/>
              </w:rPr>
              <w:t>FY2029E</w:t>
            </w:r>
          </w:p>
        </w:tc>
        <w:tc>
          <w:tcPr>
            <w:tcW w:type="dxa" w:w="1881"/>
            <w:shd w:val="clear" w:color="auto" w:fill="DDEBF7"/>
          </w:tcPr>
          <w:p>
            <w:r>
              <w:rPr>
                <w:rFonts w:ascii="Meiryo UI" w:hAnsi="Meiryo UI"/>
                <w:sz w:val="18"/>
              </w:rPr>
              <w:t>1,350</w:t>
            </w:r>
          </w:p>
        </w:tc>
        <w:tc>
          <w:tcPr>
            <w:tcW w:type="dxa" w:w="1881"/>
            <w:shd w:val="clear" w:color="auto" w:fill="DDEBF7"/>
          </w:tcPr>
          <w:p>
            <w:r>
              <w:rPr>
                <w:rFonts w:ascii="Meiryo UI" w:hAnsi="Meiryo UI"/>
                <w:sz w:val="18"/>
              </w:rPr>
              <w:t>機能性材料さらなる高付加価値化</w:t>
            </w:r>
          </w:p>
        </w:tc>
        <w:tc>
          <w:tcPr>
            <w:tcW w:type="dxa" w:w="1881"/>
            <w:shd w:val="clear" w:color="auto" w:fill="DDEBF7"/>
          </w:tcPr>
          <w:p>
            <w:r>
              <w:rPr>
                <w:rFonts w:ascii="Meiryo UI" w:hAnsi="Meiryo UI"/>
                <w:sz w:val="18"/>
              </w:rPr>
              <w:t>175</w:t>
            </w:r>
          </w:p>
        </w:tc>
        <w:tc>
          <w:tcPr>
            <w:tcW w:type="dxa" w:w="1881"/>
            <w:shd w:val="clear" w:color="auto" w:fill="DDEBF7"/>
          </w:tcPr>
          <w:p>
            <w:r>
              <w:rPr>
                <w:rFonts w:ascii="Meiryo UI" w:hAnsi="Meiryo UI"/>
                <w:sz w:val="18"/>
              </w:rPr>
              <w:t>13.0%</w:t>
            </w:r>
          </w:p>
        </w:tc>
      </w:tr>
      <w:tr>
        <w:tc>
          <w:tcPr>
            <w:tcW w:type="dxa" w:w="1881"/>
          </w:tcPr>
          <w:p>
            <w:r>
              <w:rPr>
                <w:rFonts w:ascii="Meiryo UI" w:hAnsi="Meiryo UI"/>
                <w:sz w:val="18"/>
              </w:rPr>
              <w:t>FY2030E</w:t>
            </w:r>
          </w:p>
        </w:tc>
        <w:tc>
          <w:tcPr>
            <w:tcW w:type="dxa" w:w="1881"/>
          </w:tcPr>
          <w:p>
            <w:r>
              <w:rPr>
                <w:rFonts w:ascii="Meiryo UI" w:hAnsi="Meiryo UI"/>
                <w:sz w:val="18"/>
              </w:rPr>
              <w:t>1,400</w:t>
            </w:r>
          </w:p>
        </w:tc>
        <w:tc>
          <w:tcPr>
            <w:tcW w:type="dxa" w:w="1881"/>
          </w:tcPr>
          <w:p>
            <w:r>
              <w:rPr>
                <w:rFonts w:ascii="Meiryo UI" w:hAnsi="Meiryo UI"/>
                <w:sz w:val="18"/>
              </w:rPr>
              <w:t>電子材料（NMP・半導体溶剤）本格開花</w:t>
            </w:r>
          </w:p>
        </w:tc>
        <w:tc>
          <w:tcPr>
            <w:tcW w:type="dxa" w:w="1881"/>
          </w:tcPr>
          <w:p>
            <w:r>
              <w:rPr>
                <w:rFonts w:ascii="Meiryo UI" w:hAnsi="Meiryo UI"/>
                <w:sz w:val="18"/>
              </w:rPr>
              <w:t>196</w:t>
            </w:r>
          </w:p>
        </w:tc>
        <w:tc>
          <w:tcPr>
            <w:tcW w:type="dxa" w:w="1881"/>
          </w:tcPr>
          <w:p>
            <w:r>
              <w:rPr>
                <w:rFonts w:ascii="Meiryo UI" w:hAnsi="Meiryo UI"/>
                <w:sz w:val="18"/>
              </w:rPr>
              <w:t>14.0%</w:t>
            </w:r>
          </w:p>
        </w:tc>
      </w:tr>
      <w:tr>
        <w:tc>
          <w:tcPr>
            <w:tcW w:type="dxa" w:w="1881"/>
            <w:shd w:val="clear" w:color="auto" w:fill="DDEBF7"/>
          </w:tcPr>
          <w:p>
            <w:r>
              <w:rPr>
                <w:rFonts w:ascii="Meiryo UI" w:hAnsi="Meiryo UI"/>
                <w:sz w:val="18"/>
              </w:rPr>
              <w:t>FY2031E</w:t>
            </w:r>
          </w:p>
        </w:tc>
        <w:tc>
          <w:tcPr>
            <w:tcW w:type="dxa" w:w="1881"/>
            <w:shd w:val="clear" w:color="auto" w:fill="DDEBF7"/>
          </w:tcPr>
          <w:p>
            <w:r>
              <w:rPr>
                <w:rFonts w:ascii="Meiryo UI" w:hAnsi="Meiryo UI"/>
                <w:sz w:val="18"/>
              </w:rPr>
              <w:t>1,450</w:t>
            </w:r>
          </w:p>
        </w:tc>
        <w:tc>
          <w:tcPr>
            <w:tcW w:type="dxa" w:w="1881"/>
            <w:shd w:val="clear" w:color="auto" w:fill="DDEBF7"/>
          </w:tcPr>
          <w:p>
            <w:r>
              <w:rPr>
                <w:rFonts w:ascii="Meiryo UI" w:hAnsi="Meiryo UI"/>
                <w:sz w:val="18"/>
              </w:rPr>
              <w:t>第5次中計達成軌道</w:t>
            </w:r>
          </w:p>
        </w:tc>
        <w:tc>
          <w:tcPr>
            <w:tcW w:type="dxa" w:w="1881"/>
            <w:shd w:val="clear" w:color="auto" w:fill="DDEBF7"/>
          </w:tcPr>
          <w:p>
            <w:r>
              <w:rPr>
                <w:rFonts w:ascii="Meiryo UI" w:hAnsi="Meiryo UI"/>
                <w:sz w:val="18"/>
              </w:rPr>
              <w:t>218</w:t>
            </w:r>
          </w:p>
        </w:tc>
        <w:tc>
          <w:tcPr>
            <w:tcW w:type="dxa" w:w="1881"/>
            <w:shd w:val="clear" w:color="auto" w:fill="DDEBF7"/>
          </w:tcPr>
          <w:p>
            <w:r>
              <w:rPr>
                <w:rFonts w:ascii="Meiryo UI" w:hAnsi="Meiryo UI"/>
                <w:sz w:val="18"/>
              </w:rPr>
              <w:t>15.0%</w:t>
            </w:r>
          </w:p>
        </w:tc>
      </w:tr>
    </w:tbl>
    <w:p/>
    <w:p>
      <w:r>
        <w:t>──────────────────────────────────────────────────</w:t>
      </w:r>
    </w:p>
    <w:p/>
    <w:p>
      <w:pPr>
        <w:pStyle w:val="Heading2"/>
      </w:pPr>
      <w:r>
        <w:rPr>
          <w:rFonts w:ascii="Meiryo UI" w:hAnsi="Meiryo UI"/>
          <w:color w:val="2E74B5"/>
        </w:rPr>
        <w:t>3. シンナー不足・ナフサ不足 専門的考察</w:t>
      </w:r>
    </w:p>
    <w:p/>
    <w:p>
      <w:pPr>
        <w:pStyle w:val="Heading3"/>
      </w:pPr>
      <w:r>
        <w:rPr>
          <w:rFonts w:ascii="Meiryo UI" w:hAnsi="Meiryo UI"/>
          <w:color w:val="2E74B5"/>
        </w:rPr>
        <w:t>3-1. シンナー不足とKHネオケムの関係</w:t>
      </w:r>
    </w:p>
    <w:p/>
    <w:p>
      <w:r>
        <w:rPr>
          <w:rFonts w:ascii="Meiryo UI" w:hAnsi="Meiryo UI"/>
          <w:sz w:val="20"/>
        </w:rPr>
        <w:t>「塗料用シンナー不足」の原因: ホルムズ封鎖→原油・ナフサ供給途絶→ミネラルスピリット（原油精製由来の脂肪族炭化水素系溶剤）が製造困難に。日本ペイントは建築用シンナーを75%値上げ（2026年3月）。</w:t>
      </w:r>
    </w:p>
    <w:p/>
    <w:p>
      <w:r>
        <w:rPr>
          <w:rFonts w:ascii="Meiryo UI" w:hAnsi="Meiryo UI"/>
          <w:sz w:val="20"/>
        </w:rPr>
        <w:t>KHネオケムはミネラルスピリット系シンナーを製造していない（直接影響なし）。同社が製造するのはオキソ合成由来の高級アルコール類（2-EH・イソデカノール等）であり、シンナーとは技術的に異なる系統の製品。</w:t>
      </w:r>
    </w:p>
    <w:p/>
    <w:p>
      <w:r>
        <w:rPr>
          <w:rFonts w:ascii="Meiryo UI" w:hAnsi="Meiryo UI"/>
          <w:sz w:val="20"/>
        </w:rPr>
        <w:t>ただし間接影響として: ①KHネオケムのNMPや高級アルコールが一部「高機能代替溶剤」として需要代替を取り込む可能性（マイナーなプラス要因）②シンナー不足が示すとおり、石化原料全般の供給タイト感が継続すれば、同社製品の価格転嫁力も向上する（中程度のプラス要因）</w:t>
      </w:r>
    </w:p>
    <w:p/>
    <w:p>
      <w:pPr>
        <w:pStyle w:val="Heading3"/>
      </w:pPr>
      <w:r>
        <w:rPr>
          <w:rFonts w:ascii="Meiryo UI" w:hAnsi="Meiryo UI"/>
          <w:color w:val="2E74B5"/>
        </w:rPr>
        <w:t>3-2. ナフサ不足とKHネオケムの関係（最重要リスク）</w:t>
      </w:r>
    </w:p>
    <w:p/>
    <w:p>
      <w:r>
        <w:rPr>
          <w:rFonts w:ascii="Meiryo UI" w:hAnsi="Meiryo UI"/>
          <w:sz w:val="20"/>
        </w:rPr>
        <w:t>KHネオケムのサプライチェーン構造:</w:t>
      </w:r>
    </w:p>
    <w:p/>
    <w:p>
      <w:r>
        <w:rPr>
          <w:rFonts w:ascii="Meiryo UI" w:hAnsi="Meiryo UI"/>
          <w:sz w:val="20"/>
        </w:rPr>
        <w:t>原油 → ナフサ分解（スチームクラッカー）→ C4留分（ブテン/ブタジエン）→ オキソ合成（CO+H2添加）→ 2-EH・高級アルコール → 機能性材料・基礎化学品</w:t>
      </w:r>
    </w:p>
    <w:p/>
    <w:p>
      <w:r>
        <w:rPr>
          <w:rFonts w:ascii="Meiryo UI" w:hAnsi="Meiryo UI"/>
          <w:sz w:val="20"/>
        </w:rPr>
        <w:t>つまりナフサは「直接原料ではないが、C4オレフィンの上流原料」であり、ナフサ価格高騰・供給不足は2段階で影響する:</w:t>
      </w:r>
    </w:p>
    <w:p>
      <w:pPr>
        <w:pStyle w:val="ListNumber"/>
      </w:pPr>
      <w:r>
        <w:rPr>
          <w:rFonts w:ascii="Meiryo UI" w:hAnsi="Meiryo UI"/>
          <w:sz w:val="20"/>
        </w:rPr>
        <w:t>ナフサ価格上昇 → C4オレフィン価格上昇 → KHネオケム原料コスト増</w:t>
      </w:r>
    </w:p>
    <w:p>
      <w:pPr>
        <w:pStyle w:val="ListNumber"/>
      </w:pPr>
      <w:r>
        <w:rPr>
          <w:rFonts w:ascii="Meiryo UI" w:hAnsi="Meiryo UI"/>
          <w:sz w:val="20"/>
        </w:rPr>
        <w:t>ナフサ供給不足 → クラッカー稼働率低下 → C4供給タイト → KHネオケム生産量制約リスク</w:t>
      </w:r>
    </w:p>
    <w:p/>
    <w:p>
      <w:r>
        <w:rPr>
          <w:rFonts w:ascii="Meiryo UI" w:hAnsi="Meiryo UI"/>
          <w:sz w:val="20"/>
        </w:rPr>
        <w:t>ナフサ価格感応度（深井推計）: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ナフサ前提</w:t>
            </w:r>
          </w:p>
        </w:tc>
        <w:tc>
          <w:tcPr>
            <w:tcW w:type="dxa" w:w="2351"/>
            <w:shd w:val="clear" w:color="auto" w:fill="2E74B5"/>
          </w:tcPr>
          <w:p>
            <w:r>
              <w:rPr>
                <w:rFonts w:ascii="Meiryo UI" w:hAnsi="Meiryo UI"/>
                <w:b/>
                <w:color w:val="FFFFFF"/>
                <w:sz w:val="18"/>
              </w:rPr>
              <w:t>想定FY2026 OP</w:t>
            </w:r>
          </w:p>
        </w:tc>
        <w:tc>
          <w:tcPr>
            <w:tcW w:type="dxa" w:w="2351"/>
            <w:shd w:val="clear" w:color="auto" w:fill="2E74B5"/>
          </w:tcPr>
          <w:p>
            <w:r>
              <w:rPr>
                <w:rFonts w:ascii="Meiryo UI" w:hAnsi="Meiryo UI"/>
                <w:b/>
                <w:color w:val="FFFFFF"/>
                <w:sz w:val="18"/>
              </w:rPr>
              <w:t>FY2025比</w:t>
            </w:r>
          </w:p>
        </w:tc>
        <w:tc>
          <w:tcPr>
            <w:tcW w:type="dxa" w:w="2351"/>
            <w:shd w:val="clear" w:color="auto" w:fill="2E74B5"/>
          </w:tcPr>
          <w:p>
            <w:r>
              <w:rPr>
                <w:rFonts w:ascii="Meiryo UI" w:hAnsi="Meiryo UI"/>
                <w:b/>
                <w:color w:val="FFFFFF"/>
                <w:sz w:val="18"/>
              </w:rPr>
              <w:t>会社ガイダンス比</w:t>
            </w:r>
          </w:p>
        </w:tc>
      </w:tr>
      <w:tr>
        <w:tc>
          <w:tcPr>
            <w:tcW w:type="dxa" w:w="2351"/>
          </w:tcPr>
          <w:p>
            <w:r>
              <w:rPr>
                <w:rFonts w:ascii="Meiryo UI" w:hAnsi="Meiryo UI"/>
                <w:sz w:val="18"/>
              </w:rPr>
              <w:t>¥67,000/KL（FY2025実績）</w:t>
            </w:r>
          </w:p>
        </w:tc>
        <w:tc>
          <w:tcPr>
            <w:tcW w:type="dxa" w:w="2351"/>
          </w:tcPr>
          <w:p>
            <w:r>
              <w:rPr>
                <w:rFonts w:ascii="Meiryo UI" w:hAnsi="Meiryo UI"/>
                <w:sz w:val="18"/>
              </w:rPr>
              <w:t>¥135億</w:t>
            </w:r>
          </w:p>
        </w:tc>
        <w:tc>
          <w:tcPr>
            <w:tcW w:type="dxa" w:w="2351"/>
          </w:tcPr>
          <w:p>
            <w:r>
              <w:rPr>
                <w:rFonts w:ascii="Meiryo UI" w:hAnsi="Meiryo UI"/>
                <w:sz w:val="18"/>
              </w:rPr>
              <w:t>+20%</w:t>
            </w:r>
          </w:p>
        </w:tc>
        <w:tc>
          <w:tcPr>
            <w:tcW w:type="dxa" w:w="2351"/>
          </w:tcPr>
          <w:p>
            <w:r>
              <w:rPr>
                <w:rFonts w:ascii="Meiryo UI" w:hAnsi="Meiryo UI"/>
                <w:sz w:val="18"/>
              </w:rPr>
              <w:t>同水準</w:t>
            </w:r>
          </w:p>
        </w:tc>
      </w:tr>
      <w:tr>
        <w:tc>
          <w:tcPr>
            <w:tcW w:type="dxa" w:w="2351"/>
            <w:shd w:val="clear" w:color="auto" w:fill="DDEBF7"/>
          </w:tcPr>
          <w:p>
            <w:r>
              <w:rPr>
                <w:rFonts w:ascii="Meiryo UI" w:hAnsi="Meiryo UI"/>
                <w:sz w:val="18"/>
              </w:rPr>
              <w:t>¥80,000/KL（軽微Hormuz）</w:t>
            </w:r>
          </w:p>
        </w:tc>
        <w:tc>
          <w:tcPr>
            <w:tcW w:type="dxa" w:w="2351"/>
            <w:shd w:val="clear" w:color="auto" w:fill="DDEBF7"/>
          </w:tcPr>
          <w:p>
            <w:r>
              <w:rPr>
                <w:rFonts w:ascii="Meiryo UI" w:hAnsi="Meiryo UI"/>
                <w:sz w:val="18"/>
              </w:rPr>
              <w:t>¥120億</w:t>
            </w:r>
          </w:p>
        </w:tc>
        <w:tc>
          <w:tcPr>
            <w:tcW w:type="dxa" w:w="2351"/>
            <w:shd w:val="clear" w:color="auto" w:fill="DDEBF7"/>
          </w:tcPr>
          <w:p>
            <w:r>
              <w:rPr>
                <w:rFonts w:ascii="Meiryo UI" w:hAnsi="Meiryo UI"/>
                <w:sz w:val="18"/>
              </w:rPr>
              <w:t>+7%</w:t>
            </w:r>
          </w:p>
        </w:tc>
        <w:tc>
          <w:tcPr>
            <w:tcW w:type="dxa" w:w="2351"/>
            <w:shd w:val="clear" w:color="auto" w:fill="DDEBF7"/>
          </w:tcPr>
          <w:p>
            <w:r>
              <w:rPr>
                <w:rFonts w:ascii="Meiryo UI" w:hAnsi="Meiryo UI"/>
                <w:sz w:val="18"/>
              </w:rPr>
              <w:t>▲11%</w:t>
            </w:r>
          </w:p>
        </w:tc>
      </w:tr>
      <w:tr>
        <w:tc>
          <w:tcPr>
            <w:tcW w:type="dxa" w:w="2351"/>
          </w:tcPr>
          <w:p>
            <w:r>
              <w:rPr>
                <w:rFonts w:ascii="Meiryo UI" w:hAnsi="Meiryo UI"/>
                <w:sz w:val="18"/>
              </w:rPr>
              <w:t>¥95,000/KL（中程度Hormuz）</w:t>
            </w:r>
          </w:p>
        </w:tc>
        <w:tc>
          <w:tcPr>
            <w:tcW w:type="dxa" w:w="2351"/>
          </w:tcPr>
          <w:p>
            <w:r>
              <w:rPr>
                <w:rFonts w:ascii="Meiryo UI" w:hAnsi="Meiryo UI"/>
                <w:sz w:val="18"/>
              </w:rPr>
              <w:t>¥100〜110億</w:t>
            </w:r>
          </w:p>
        </w:tc>
        <w:tc>
          <w:tcPr>
            <w:tcW w:type="dxa" w:w="2351"/>
          </w:tcPr>
          <w:p>
            <w:r>
              <w:rPr>
                <w:rFonts w:ascii="Meiryo UI" w:hAnsi="Meiryo UI"/>
                <w:sz w:val="18"/>
              </w:rPr>
              <w:t>▲2〜▲7%</w:t>
            </w:r>
          </w:p>
        </w:tc>
        <w:tc>
          <w:tcPr>
            <w:tcW w:type="dxa" w:w="2351"/>
          </w:tcPr>
          <w:p>
            <w:r>
              <w:rPr>
                <w:rFonts w:ascii="Meiryo UI" w:hAnsi="Meiryo UI"/>
                <w:sz w:val="18"/>
              </w:rPr>
              <w:t>▲19〜▲26%</w:t>
            </w:r>
          </w:p>
        </w:tc>
      </w:tr>
      <w:tr>
        <w:tc>
          <w:tcPr>
            <w:tcW w:type="dxa" w:w="2351"/>
            <w:shd w:val="clear" w:color="auto" w:fill="DDEBF7"/>
          </w:tcPr>
          <w:p>
            <w:r>
              <w:rPr>
                <w:rFonts w:ascii="Meiryo UI" w:hAnsi="Meiryo UI"/>
                <w:sz w:val="18"/>
              </w:rPr>
              <w:t>¥110,000/KL（Hormuz長期化）</w:t>
            </w:r>
          </w:p>
        </w:tc>
        <w:tc>
          <w:tcPr>
            <w:tcW w:type="dxa" w:w="2351"/>
            <w:shd w:val="clear" w:color="auto" w:fill="DDEBF7"/>
          </w:tcPr>
          <w:p>
            <w:r>
              <w:rPr>
                <w:rFonts w:ascii="Meiryo UI" w:hAnsi="Meiryo UI"/>
                <w:sz w:val="18"/>
              </w:rPr>
              <w:t>¥80〜90億</w:t>
            </w:r>
          </w:p>
        </w:tc>
        <w:tc>
          <w:tcPr>
            <w:tcW w:type="dxa" w:w="2351"/>
            <w:shd w:val="clear" w:color="auto" w:fill="DDEBF7"/>
          </w:tcPr>
          <w:p>
            <w:r>
              <w:rPr>
                <w:rFonts w:ascii="Meiryo UI" w:hAnsi="Meiryo UI"/>
                <w:sz w:val="18"/>
              </w:rPr>
              <w:t>▲20〜▲29%</w:t>
            </w:r>
          </w:p>
        </w:tc>
        <w:tc>
          <w:tcPr>
            <w:tcW w:type="dxa" w:w="2351"/>
            <w:shd w:val="clear" w:color="auto" w:fill="DDEBF7"/>
          </w:tcPr>
          <w:p>
            <w:r>
              <w:rPr>
                <w:rFonts w:ascii="Meiryo UI" w:hAnsi="Meiryo UI"/>
                <w:sz w:val="18"/>
              </w:rPr>
              <w:t>▲33〜▲41%</w:t>
            </w:r>
          </w:p>
        </w:tc>
      </w:tr>
    </w:tbl>
    <w:p/>
    <w:p>
      <w:r>
        <w:rPr>
          <w:rFonts w:ascii="Meiryo UI" w:hAnsi="Meiryo UI"/>
          <w:sz w:val="20"/>
        </w:rPr>
        <w:t>根拠: KHネオケム年間ナフサ換算使用量を売上高の約25%（¥28億相当 at ¥67,000）と推定。価格上昇分の即時転嫁率は60%（3〜6ヶ月ラグ）と仮定。上記はラグ期間中の利益インパクト。</w:t>
      </w:r>
    </w:p>
    <w:p/>
    <w:p>
      <w:r>
        <w:rPr>
          <w:rFonts w:ascii="Meiryo UI" w:hAnsi="Meiryo UI"/>
          <w:sz w:val="20"/>
        </w:rPr>
        <w:t>結論: ナフサ¥95,000/KL継続（現状）ではFY2026ガイダンスの「¥135億OP+20%増」は達成困難。ガイダンスの信頼性が再び問われる展開。</w:t>
      </w:r>
    </w:p>
    <w:p/>
    <w:p>
      <w:r>
        <w:t>──────────────────────────────────────────────────</w:t>
      </w:r>
    </w:p>
    <w:p/>
    <w:p>
      <w:pPr>
        <w:pStyle w:val="Heading2"/>
      </w:pPr>
      <w:r>
        <w:rPr>
          <w:rFonts w:ascii="Meiryo UI" w:hAnsi="Meiryo UI"/>
          <w:color w:val="2E74B5"/>
        </w:rPr>
        <w:t>4. Fair Value 算出プロセス</w:t>
      </w:r>
    </w:p>
    <w:p/>
    <w:p>
      <w:pPr>
        <w:pStyle w:val="Heading3"/>
      </w:pPr>
      <w:r>
        <w:rPr>
          <w:rFonts w:ascii="Meiryo UI" w:hAnsi="Meiryo UI"/>
          <w:color w:val="2E74B5"/>
        </w:rPr>
        <w:t>4-1. WACC設定（根拠明記）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 (Rf)</w:t>
            </w:r>
          </w:p>
        </w:tc>
        <w:tc>
          <w:tcPr>
            <w:tcW w:type="dxa" w:w="3135"/>
          </w:tcPr>
          <w:p>
            <w:r>
              <w:rPr>
                <w:rFonts w:ascii="Meiryo UI" w:hAnsi="Meiryo UI"/>
                <w:sz w:val="18"/>
              </w:rPr>
              <w:t>2.380%</w:t>
            </w:r>
          </w:p>
        </w:tc>
        <w:tc>
          <w:tcPr>
            <w:tcW w:type="dxa" w:w="3135"/>
          </w:tcPr>
          <w:p>
            <w:r>
              <w:rPr>
                <w:rFonts w:ascii="Meiryo UI" w:hAnsi="Meiryo UI"/>
                <w:sz w:val="18"/>
              </w:rPr>
              <w:t>財務省10年国債日次CSV（プロジェクト基準値）</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1.05</w:t>
            </w:r>
          </w:p>
        </w:tc>
        <w:tc>
          <w:tcPr>
            <w:tcW w:type="dxa" w:w="3135"/>
            <w:shd w:val="clear" w:color="auto" w:fill="DDEBF7"/>
          </w:tcPr>
          <w:p>
            <w:r>
              <w:rPr>
                <w:rFonts w:ascii="Meiryo UI" w:hAnsi="Meiryo UI"/>
                <w:sz w:val="18"/>
              </w:rPr>
              <w:t>専業スペシャリティケミカル。ナフサ連動のシクリカル性あるが冷凍機油・化粧品の安定性がオフセット。セクター標準1.0〜1.1の中央値</w:t>
            </w:r>
          </w:p>
        </w:tc>
      </w:tr>
      <w:tr>
        <w:tc>
          <w:tcPr>
            <w:tcW w:type="dxa" w:w="3135"/>
          </w:tcPr>
          <w:p>
            <w:r>
              <w:rPr>
                <w:rFonts w:ascii="Meiryo UI" w:hAnsi="Meiryo UI"/>
                <w:sz w:val="18"/>
              </w:rPr>
              <w:t>ERP</w:t>
            </w:r>
          </w:p>
        </w:tc>
        <w:tc>
          <w:tcPr>
            <w:tcW w:type="dxa" w:w="3135"/>
          </w:tcPr>
          <w:p>
            <w:r>
              <w:rPr>
                <w:rFonts w:ascii="Meiryo UI" w:hAnsi="Meiryo UI"/>
                <w:sz w:val="18"/>
              </w:rPr>
              <w:t>5.0%</w:t>
            </w:r>
          </w:p>
        </w:tc>
        <w:tc>
          <w:tcPr>
            <w:tcW w:type="dxa" w:w="3135"/>
          </w:tcPr>
          <w:p>
            <w:r>
              <w:rPr>
                <w:rFonts w:ascii="Meiryo UI" w:hAnsi="Meiryo UI"/>
                <w:sz w:val="18"/>
              </w:rPr>
              <w:t>日本市場標準（Damodaran 2026年推定）</w:t>
            </w:r>
          </w:p>
        </w:tc>
      </w:tr>
      <w:tr>
        <w:tc>
          <w:tcPr>
            <w:tcW w:type="dxa" w:w="3135"/>
            <w:shd w:val="clear" w:color="auto" w:fill="DDEBF7"/>
          </w:tcPr>
          <w:p>
            <w:r>
              <w:rPr>
                <w:rFonts w:ascii="Meiryo UI" w:hAnsi="Meiryo UI"/>
                <w:sz w:val="18"/>
              </w:rPr>
              <w:t>株主資本コスト (Ke)</w:t>
            </w:r>
          </w:p>
        </w:tc>
        <w:tc>
          <w:tcPr>
            <w:tcW w:type="dxa" w:w="3135"/>
            <w:shd w:val="clear" w:color="auto" w:fill="DDEBF7"/>
          </w:tcPr>
          <w:p>
            <w:r>
              <w:rPr>
                <w:rFonts w:ascii="Meiryo UI" w:hAnsi="Meiryo UI"/>
                <w:sz w:val="18"/>
              </w:rPr>
              <w:t>7.63%</w:t>
            </w:r>
          </w:p>
        </w:tc>
        <w:tc>
          <w:tcPr>
            <w:tcW w:type="dxa" w:w="3135"/>
            <w:shd w:val="clear" w:color="auto" w:fill="DDEBF7"/>
          </w:tcPr>
          <w:p>
            <w:r>
              <w:rPr>
                <w:rFonts w:ascii="Meiryo UI" w:hAnsi="Meiryo UI"/>
                <w:sz w:val="18"/>
              </w:rPr>
              <w:t>2.380% + 1.05 × 5.0% = 7.630%</w:t>
            </w:r>
          </w:p>
        </w:tc>
      </w:tr>
      <w:tr>
        <w:tc>
          <w:tcPr>
            <w:tcW w:type="dxa" w:w="3135"/>
          </w:tcPr>
          <w:p>
            <w:r>
              <w:rPr>
                <w:rFonts w:ascii="Meiryo UI" w:hAnsi="Meiryo UI"/>
                <w:sz w:val="18"/>
              </w:rPr>
              <w:t>有利子負債コスト（税前）</w:t>
            </w:r>
          </w:p>
        </w:tc>
        <w:tc>
          <w:tcPr>
            <w:tcW w:type="dxa" w:w="3135"/>
          </w:tcPr>
          <w:p>
            <w:r>
              <w:rPr>
                <w:rFonts w:ascii="Meiryo UI" w:hAnsi="Meiryo UI"/>
                <w:sz w:val="18"/>
              </w:rPr>
              <w:t>1.8%</w:t>
            </w:r>
          </w:p>
        </w:tc>
        <w:tc>
          <w:tcPr>
            <w:tcW w:type="dxa" w:w="3135"/>
          </w:tcPr>
          <w:p>
            <w:r>
              <w:rPr>
                <w:rFonts w:ascii="Meiryo UI" w:hAnsi="Meiryo UI"/>
                <w:sz w:val="18"/>
              </w:rPr>
              <w:t>自己資本比率53.6%→有利子負債比率は中程度。邦銀IG格調達コスト</w:t>
            </w:r>
          </w:p>
        </w:tc>
      </w:tr>
      <w:tr>
        <w:tc>
          <w:tcPr>
            <w:tcW w:type="dxa" w:w="3135"/>
            <w:shd w:val="clear" w:color="auto" w:fill="DDEBF7"/>
          </w:tcPr>
          <w:p>
            <w:r>
              <w:rPr>
                <w:rFonts w:ascii="Meiryo UI" w:hAnsi="Meiryo UI"/>
                <w:sz w:val="18"/>
              </w:rPr>
              <w:t>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標準日本企業水準</w:t>
            </w:r>
          </w:p>
        </w:tc>
      </w:tr>
      <w:tr>
        <w:tc>
          <w:tcPr>
            <w:tcW w:type="dxa" w:w="3135"/>
          </w:tcPr>
          <w:p>
            <w:r>
              <w:rPr>
                <w:rFonts w:ascii="Meiryo UI" w:hAnsi="Meiryo UI"/>
                <w:sz w:val="18"/>
              </w:rPr>
              <w:t>税引後負債コスト (Kd)</w:t>
            </w:r>
          </w:p>
        </w:tc>
        <w:tc>
          <w:tcPr>
            <w:tcW w:type="dxa" w:w="3135"/>
          </w:tcPr>
          <w:p>
            <w:r>
              <w:rPr>
                <w:rFonts w:ascii="Meiryo UI" w:hAnsi="Meiryo UI"/>
                <w:sz w:val="18"/>
              </w:rPr>
              <w:t>1.26%</w:t>
            </w:r>
          </w:p>
        </w:tc>
        <w:tc>
          <w:tcPr>
            <w:tcW w:type="dxa" w:w="3135"/>
          </w:tcPr>
          <w:p>
            <w:r>
              <w:rPr>
                <w:rFonts w:ascii="Meiryo UI" w:hAnsi="Meiryo UI"/>
                <w:sz w:val="18"/>
              </w:rPr>
              <w:t>1.8% × (1-30%)</w:t>
            </w:r>
          </w:p>
        </w:tc>
      </w:tr>
      <w:tr>
        <w:tc>
          <w:tcPr>
            <w:tcW w:type="dxa" w:w="3135"/>
            <w:shd w:val="clear" w:color="auto" w:fill="DDEBF7"/>
          </w:tcPr>
          <w:p>
            <w:r>
              <w:rPr>
                <w:rFonts w:ascii="Meiryo UI" w:hAnsi="Meiryo UI"/>
                <w:sz w:val="18"/>
              </w:rPr>
              <w:t>D/(D+E)</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自己資本比率53.6%・総資産から推定。設備投資額を考慮した中程度の財務レバレッジ</w:t>
            </w:r>
          </w:p>
        </w:tc>
      </w:tr>
      <w:tr>
        <w:tc>
          <w:tcPr>
            <w:tcW w:type="dxa" w:w="3135"/>
          </w:tcPr>
          <w:p>
            <w:r>
              <w:rPr>
                <w:rFonts w:ascii="Meiryo UI" w:hAnsi="Meiryo UI"/>
                <w:sz w:val="18"/>
              </w:rPr>
              <w:t>WACC</w:t>
            </w:r>
          </w:p>
        </w:tc>
        <w:tc>
          <w:tcPr>
            <w:tcW w:type="dxa" w:w="3135"/>
          </w:tcPr>
          <w:p>
            <w:r>
              <w:rPr>
                <w:rFonts w:ascii="Meiryo UI" w:hAnsi="Meiryo UI"/>
                <w:sz w:val="18"/>
              </w:rPr>
              <w:t>6.50%</w:t>
            </w:r>
          </w:p>
        </w:tc>
        <w:tc>
          <w:tcPr>
            <w:tcW w:type="dxa" w:w="3135"/>
          </w:tcPr>
          <w:p>
            <w:r>
              <w:rPr>
                <w:rFonts w:ascii="Meiryo UI" w:hAnsi="Meiryo UI"/>
                <w:sz w:val="18"/>
              </w:rPr>
              <w:t>0.65 × 7.63% + 0.35 × 1.26% = 4.96% + 0.44% = 6.50%</w:t>
            </w:r>
          </w:p>
        </w:tc>
      </w:tr>
    </w:tbl>
    <w:p/>
    <w:p>
      <w:r>
        <w:rPr>
          <w:rFonts w:ascii="Meiryo UI" w:hAnsi="Meiryo UI"/>
          <w:sz w:val="20"/>
        </w:rPr>
        <w:t>WACC 6.50%の追加調整根拠: 会社のガイダンス未達リスク（過去2回の大幅下方修正）とナフサ価格不確実性を反映し、セクター平均より+0.5〜0.8pt高めに設定。</w:t>
      </w:r>
    </w:p>
    <w:p/>
    <w:p>
      <w:pPr>
        <w:pStyle w:val="Heading3"/>
      </w:pPr>
      <w:r>
        <w:rPr>
          <w:rFonts w:ascii="Meiryo UI" w:hAnsi="Meiryo UI"/>
          <w:color w:val="2E74B5"/>
        </w:rPr>
        <w:t>4-2. FCF予測とDCF計算</w:t>
      </w:r>
    </w:p>
    <w:p/>
    <w:p>
      <w:r>
        <w:rPr>
          <w:rFonts w:ascii="Meiryo UI" w:hAnsi="Meiryo UI"/>
          <w:sz w:val="20"/>
        </w:rPr>
        <w:t>D&amp;A推定根拠: 第5次中期経営計画の「累計連結EBITDA ¥653億 vs 累計営業利益 ¥449億」の差 ¥204億 ÷ 5年 = 年間D&amp;A ¥40.8億 ≈ ¥4.1〜5.0億と推定。</w:t>
      </w:r>
    </w:p>
    <w:p/>
    <w:p>
      <w:r>
        <w:rPr>
          <w:rFonts w:ascii="Meiryo UI" w:hAnsi="Meiryo UI"/>
          <w:sz w:val="20"/>
        </w:rPr>
        <w:t>Capex推定根拠: スペシャリティケミカル業界の標準（売上比6〜9%）。KHネオケムは冷凍機油原料の製造能力拡張と機能性材料強化を継続しており年間¥8〜10億と推定。</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Revenue（億円）</w:t>
            </w:r>
          </w:p>
        </w:tc>
        <w:tc>
          <w:tcPr>
            <w:tcW w:type="dxa" w:w="1045"/>
            <w:shd w:val="clear" w:color="auto" w:fill="2E74B5"/>
          </w:tcPr>
          <w:p>
            <w:r>
              <w:rPr>
                <w:rFonts w:ascii="Meiryo UI" w:hAnsi="Meiryo UI"/>
                <w:b/>
                <w:color w:val="FFFFFF"/>
                <w:sz w:val="18"/>
              </w:rPr>
              <w:t>EBIT（億円）</w:t>
            </w:r>
          </w:p>
        </w:tc>
        <w:tc>
          <w:tcPr>
            <w:tcW w:type="dxa" w:w="1045"/>
            <w:shd w:val="clear" w:color="auto" w:fill="2E74B5"/>
          </w:tcPr>
          <w:p>
            <w:r>
              <w:rPr>
                <w:rFonts w:ascii="Meiryo UI" w:hAnsi="Meiryo UI"/>
                <w:b/>
                <w:color w:val="FFFFFF"/>
                <w:sz w:val="18"/>
              </w:rPr>
              <w:t>NOPAT（×0.7）</w:t>
            </w:r>
          </w:p>
        </w:tc>
        <w:tc>
          <w:tcPr>
            <w:tcW w:type="dxa" w:w="1045"/>
            <w:shd w:val="clear" w:color="auto" w:fill="2E74B5"/>
          </w:tcPr>
          <w:p>
            <w:r>
              <w:rPr>
                <w:rFonts w:ascii="Meiryo UI" w:hAnsi="Meiryo UI"/>
                <w:b/>
                <w:color w:val="FFFFFF"/>
                <w:sz w:val="18"/>
              </w:rPr>
              <w:t>D&amp;A（億円）</w:t>
            </w:r>
          </w:p>
        </w:tc>
        <w:tc>
          <w:tcPr>
            <w:tcW w:type="dxa" w:w="1045"/>
            <w:shd w:val="clear" w:color="auto" w:fill="2E74B5"/>
          </w:tcPr>
          <w:p>
            <w:r>
              <w:rPr>
                <w:rFonts w:ascii="Meiryo UI" w:hAnsi="Meiryo UI"/>
                <w:b/>
                <w:color w:val="FFFFFF"/>
                <w:sz w:val="18"/>
              </w:rPr>
              <w:t>Capex（億円）</w:t>
            </w:r>
          </w:p>
        </w:tc>
        <w:tc>
          <w:tcPr>
            <w:tcW w:type="dxa" w:w="1045"/>
            <w:shd w:val="clear" w:color="auto" w:fill="2E74B5"/>
          </w:tcPr>
          <w:p>
            <w:r>
              <w:rPr>
                <w:rFonts w:ascii="Meiryo UI" w:hAnsi="Meiryo UI"/>
                <w:b/>
                <w:color w:val="FFFFFF"/>
                <w:sz w:val="18"/>
              </w:rPr>
              <w:t>FCF（億円）</w:t>
            </w:r>
          </w:p>
        </w:tc>
        <w:tc>
          <w:tcPr>
            <w:tcW w:type="dxa" w:w="1045"/>
            <w:shd w:val="clear" w:color="auto" w:fill="2E74B5"/>
          </w:tcPr>
          <w:p>
            <w:r>
              <w:rPr>
                <w:rFonts w:ascii="Meiryo UI" w:hAnsi="Meiryo UI"/>
                <w:b/>
                <w:color w:val="FFFFFF"/>
                <w:sz w:val="18"/>
              </w:rPr>
              <w:t>PV係数(6.5%)</w:t>
            </w:r>
          </w:p>
        </w:tc>
        <w:tc>
          <w:tcPr>
            <w:tcW w:type="dxa" w:w="1045"/>
            <w:shd w:val="clear" w:color="auto" w:fill="2E74B5"/>
          </w:tcPr>
          <w:p>
            <w:r>
              <w:rPr>
                <w:rFonts w:ascii="Meiryo UI" w:hAnsi="Meiryo UI"/>
                <w:b/>
                <w:color w:val="FFFFFF"/>
                <w:sz w:val="18"/>
              </w:rPr>
              <w:t>PV（億円）</w:t>
            </w:r>
          </w:p>
        </w:tc>
      </w:tr>
      <w:tr>
        <w:tc>
          <w:tcPr>
            <w:tcW w:type="dxa" w:w="1045"/>
          </w:tcPr>
          <w:p>
            <w:r>
              <w:rPr>
                <w:rFonts w:ascii="Meiryo UI" w:hAnsi="Meiryo UI"/>
                <w:sz w:val="18"/>
              </w:rPr>
              <w:t>FY2026E</w:t>
            </w:r>
          </w:p>
        </w:tc>
        <w:tc>
          <w:tcPr>
            <w:tcW w:type="dxa" w:w="1045"/>
          </w:tcPr>
          <w:p>
            <w:r>
              <w:rPr>
                <w:rFonts w:ascii="Meiryo UI" w:hAnsi="Meiryo UI"/>
                <w:sz w:val="18"/>
              </w:rPr>
              <w:t>1,200</w:t>
            </w:r>
          </w:p>
        </w:tc>
        <w:tc>
          <w:tcPr>
            <w:tcW w:type="dxa" w:w="1045"/>
          </w:tcPr>
          <w:p>
            <w:r>
              <w:rPr>
                <w:rFonts w:ascii="Meiryo UI" w:hAnsi="Meiryo UI"/>
                <w:sz w:val="18"/>
              </w:rPr>
              <w:t>110</w:t>
            </w:r>
          </w:p>
        </w:tc>
        <w:tc>
          <w:tcPr>
            <w:tcW w:type="dxa" w:w="1045"/>
          </w:tcPr>
          <w:p>
            <w:r>
              <w:rPr>
                <w:rFonts w:ascii="Meiryo UI" w:hAnsi="Meiryo UI"/>
                <w:sz w:val="18"/>
              </w:rPr>
              <w:t>77.0</w:t>
            </w:r>
          </w:p>
        </w:tc>
        <w:tc>
          <w:tcPr>
            <w:tcW w:type="dxa" w:w="1045"/>
          </w:tcPr>
          <w:p>
            <w:r>
              <w:rPr>
                <w:rFonts w:ascii="Meiryo UI" w:hAnsi="Meiryo UI"/>
                <w:sz w:val="18"/>
              </w:rPr>
              <w:t>50</w:t>
            </w:r>
          </w:p>
        </w:tc>
        <w:tc>
          <w:tcPr>
            <w:tcW w:type="dxa" w:w="1045"/>
          </w:tcPr>
          <w:p>
            <w:r>
              <w:rPr>
                <w:rFonts w:ascii="Meiryo UI" w:hAnsi="Meiryo UI"/>
                <w:sz w:val="18"/>
              </w:rPr>
              <w:t>90</w:t>
            </w:r>
          </w:p>
        </w:tc>
        <w:tc>
          <w:tcPr>
            <w:tcW w:type="dxa" w:w="1045"/>
          </w:tcPr>
          <w:p>
            <w:r>
              <w:rPr>
                <w:rFonts w:ascii="Meiryo UI" w:hAnsi="Meiryo UI"/>
                <w:sz w:val="18"/>
              </w:rPr>
              <w:t>37.0</w:t>
            </w:r>
          </w:p>
        </w:tc>
        <w:tc>
          <w:tcPr>
            <w:tcW w:type="dxa" w:w="1045"/>
          </w:tcPr>
          <w:p>
            <w:r>
              <w:rPr>
                <w:rFonts w:ascii="Meiryo UI" w:hAnsi="Meiryo UI"/>
                <w:sz w:val="18"/>
              </w:rPr>
              <w:t>0.939</w:t>
            </w:r>
          </w:p>
        </w:tc>
        <w:tc>
          <w:tcPr>
            <w:tcW w:type="dxa" w:w="1045"/>
          </w:tcPr>
          <w:p>
            <w:r>
              <w:rPr>
                <w:rFonts w:ascii="Meiryo UI" w:hAnsi="Meiryo UI"/>
                <w:sz w:val="18"/>
              </w:rPr>
              <w:t>34.7</w:t>
            </w:r>
          </w:p>
        </w:tc>
      </w:tr>
      <w:tr>
        <w:tc>
          <w:tcPr>
            <w:tcW w:type="dxa" w:w="1045"/>
            <w:shd w:val="clear" w:color="auto" w:fill="DDEBF7"/>
          </w:tcPr>
          <w:p>
            <w:r>
              <w:rPr>
                <w:rFonts w:ascii="Meiryo UI" w:hAnsi="Meiryo UI"/>
                <w:sz w:val="18"/>
              </w:rPr>
              <w:t>FY2027E</w:t>
            </w:r>
          </w:p>
        </w:tc>
        <w:tc>
          <w:tcPr>
            <w:tcW w:type="dxa" w:w="1045"/>
            <w:shd w:val="clear" w:color="auto" w:fill="DDEBF7"/>
          </w:tcPr>
          <w:p>
            <w:r>
              <w:rPr>
                <w:rFonts w:ascii="Meiryo UI" w:hAnsi="Meiryo UI"/>
                <w:sz w:val="18"/>
              </w:rPr>
              <w:t>1,250</w:t>
            </w:r>
          </w:p>
        </w:tc>
        <w:tc>
          <w:tcPr>
            <w:tcW w:type="dxa" w:w="1045"/>
            <w:shd w:val="clear" w:color="auto" w:fill="DDEBF7"/>
          </w:tcPr>
          <w:p>
            <w:r>
              <w:rPr>
                <w:rFonts w:ascii="Meiryo UI" w:hAnsi="Meiryo UI"/>
                <w:sz w:val="18"/>
              </w:rPr>
              <w:t>145</w:t>
            </w:r>
          </w:p>
        </w:tc>
        <w:tc>
          <w:tcPr>
            <w:tcW w:type="dxa" w:w="1045"/>
            <w:shd w:val="clear" w:color="auto" w:fill="DDEBF7"/>
          </w:tcPr>
          <w:p>
            <w:r>
              <w:rPr>
                <w:rFonts w:ascii="Meiryo UI" w:hAnsi="Meiryo UI"/>
                <w:sz w:val="18"/>
              </w:rPr>
              <w:t>101.5</w:t>
            </w:r>
          </w:p>
        </w:tc>
        <w:tc>
          <w:tcPr>
            <w:tcW w:type="dxa" w:w="1045"/>
            <w:shd w:val="clear" w:color="auto" w:fill="DDEBF7"/>
          </w:tcPr>
          <w:p>
            <w:r>
              <w:rPr>
                <w:rFonts w:ascii="Meiryo UI" w:hAnsi="Meiryo UI"/>
                <w:sz w:val="18"/>
              </w:rPr>
              <w:t>50</w:t>
            </w:r>
          </w:p>
        </w:tc>
        <w:tc>
          <w:tcPr>
            <w:tcW w:type="dxa" w:w="1045"/>
            <w:shd w:val="clear" w:color="auto" w:fill="DDEBF7"/>
          </w:tcPr>
          <w:p>
            <w:r>
              <w:rPr>
                <w:rFonts w:ascii="Meiryo UI" w:hAnsi="Meiryo UI"/>
                <w:sz w:val="18"/>
              </w:rPr>
              <w:t>90</w:t>
            </w:r>
          </w:p>
        </w:tc>
        <w:tc>
          <w:tcPr>
            <w:tcW w:type="dxa" w:w="1045"/>
            <w:shd w:val="clear" w:color="auto" w:fill="DDEBF7"/>
          </w:tcPr>
          <w:p>
            <w:r>
              <w:rPr>
                <w:rFonts w:ascii="Meiryo UI" w:hAnsi="Meiryo UI"/>
                <w:sz w:val="18"/>
              </w:rPr>
              <w:t>61.5</w:t>
            </w:r>
          </w:p>
        </w:tc>
        <w:tc>
          <w:tcPr>
            <w:tcW w:type="dxa" w:w="1045"/>
            <w:shd w:val="clear" w:color="auto" w:fill="DDEBF7"/>
          </w:tcPr>
          <w:p>
            <w:r>
              <w:rPr>
                <w:rFonts w:ascii="Meiryo UI" w:hAnsi="Meiryo UI"/>
                <w:sz w:val="18"/>
              </w:rPr>
              <w:t>0.881</w:t>
            </w:r>
          </w:p>
        </w:tc>
        <w:tc>
          <w:tcPr>
            <w:tcW w:type="dxa" w:w="1045"/>
            <w:shd w:val="clear" w:color="auto" w:fill="DDEBF7"/>
          </w:tcPr>
          <w:p>
            <w:r>
              <w:rPr>
                <w:rFonts w:ascii="Meiryo UI" w:hAnsi="Meiryo UI"/>
                <w:sz w:val="18"/>
              </w:rPr>
              <w:t>54.2</w:t>
            </w:r>
          </w:p>
        </w:tc>
      </w:tr>
      <w:tr>
        <w:tc>
          <w:tcPr>
            <w:tcW w:type="dxa" w:w="1045"/>
          </w:tcPr>
          <w:p>
            <w:r>
              <w:rPr>
                <w:rFonts w:ascii="Meiryo UI" w:hAnsi="Meiryo UI"/>
                <w:sz w:val="18"/>
              </w:rPr>
              <w:t>FY2028E</w:t>
            </w:r>
          </w:p>
        </w:tc>
        <w:tc>
          <w:tcPr>
            <w:tcW w:type="dxa" w:w="1045"/>
          </w:tcPr>
          <w:p>
            <w:r>
              <w:rPr>
                <w:rFonts w:ascii="Meiryo UI" w:hAnsi="Meiryo UI"/>
                <w:sz w:val="18"/>
              </w:rPr>
              <w:t>1,300</w:t>
            </w:r>
          </w:p>
        </w:tc>
        <w:tc>
          <w:tcPr>
            <w:tcW w:type="dxa" w:w="1045"/>
          </w:tcPr>
          <w:p>
            <w:r>
              <w:rPr>
                <w:rFonts w:ascii="Meiryo UI" w:hAnsi="Meiryo UI"/>
                <w:sz w:val="18"/>
              </w:rPr>
              <w:t>163</w:t>
            </w:r>
          </w:p>
        </w:tc>
        <w:tc>
          <w:tcPr>
            <w:tcW w:type="dxa" w:w="1045"/>
          </w:tcPr>
          <w:p>
            <w:r>
              <w:rPr>
                <w:rFonts w:ascii="Meiryo UI" w:hAnsi="Meiryo UI"/>
                <w:sz w:val="18"/>
              </w:rPr>
              <w:t>114.1</w:t>
            </w:r>
          </w:p>
        </w:tc>
        <w:tc>
          <w:tcPr>
            <w:tcW w:type="dxa" w:w="1045"/>
          </w:tcPr>
          <w:p>
            <w:r>
              <w:rPr>
                <w:rFonts w:ascii="Meiryo UI" w:hAnsi="Meiryo UI"/>
                <w:sz w:val="18"/>
              </w:rPr>
              <w:t>55</w:t>
            </w:r>
          </w:p>
        </w:tc>
        <w:tc>
          <w:tcPr>
            <w:tcW w:type="dxa" w:w="1045"/>
          </w:tcPr>
          <w:p>
            <w:r>
              <w:rPr>
                <w:rFonts w:ascii="Meiryo UI" w:hAnsi="Meiryo UI"/>
                <w:sz w:val="18"/>
              </w:rPr>
              <w:t>90</w:t>
            </w:r>
          </w:p>
        </w:tc>
        <w:tc>
          <w:tcPr>
            <w:tcW w:type="dxa" w:w="1045"/>
          </w:tcPr>
          <w:p>
            <w:r>
              <w:rPr>
                <w:rFonts w:ascii="Meiryo UI" w:hAnsi="Meiryo UI"/>
                <w:sz w:val="18"/>
              </w:rPr>
              <w:t>79.1</w:t>
            </w:r>
          </w:p>
        </w:tc>
        <w:tc>
          <w:tcPr>
            <w:tcW w:type="dxa" w:w="1045"/>
          </w:tcPr>
          <w:p>
            <w:r>
              <w:rPr>
                <w:rFonts w:ascii="Meiryo UI" w:hAnsi="Meiryo UI"/>
                <w:sz w:val="18"/>
              </w:rPr>
              <w:t>0.828</w:t>
            </w:r>
          </w:p>
        </w:tc>
        <w:tc>
          <w:tcPr>
            <w:tcW w:type="dxa" w:w="1045"/>
          </w:tcPr>
          <w:p>
            <w:r>
              <w:rPr>
                <w:rFonts w:ascii="Meiryo UI" w:hAnsi="Meiryo UI"/>
                <w:sz w:val="18"/>
              </w:rPr>
              <w:t>65.5</w:t>
            </w:r>
          </w:p>
        </w:tc>
      </w:tr>
      <w:tr>
        <w:tc>
          <w:tcPr>
            <w:tcW w:type="dxa" w:w="1045"/>
            <w:shd w:val="clear" w:color="auto" w:fill="DDEBF7"/>
          </w:tcPr>
          <w:p>
            <w:r>
              <w:rPr>
                <w:rFonts w:ascii="Meiryo UI" w:hAnsi="Meiryo UI"/>
                <w:sz w:val="18"/>
              </w:rPr>
              <w:t>FY2029E</w:t>
            </w:r>
          </w:p>
        </w:tc>
        <w:tc>
          <w:tcPr>
            <w:tcW w:type="dxa" w:w="1045"/>
            <w:shd w:val="clear" w:color="auto" w:fill="DDEBF7"/>
          </w:tcPr>
          <w:p>
            <w:r>
              <w:rPr>
                <w:rFonts w:ascii="Meiryo UI" w:hAnsi="Meiryo UI"/>
                <w:sz w:val="18"/>
              </w:rPr>
              <w:t>1,350</w:t>
            </w:r>
          </w:p>
        </w:tc>
        <w:tc>
          <w:tcPr>
            <w:tcW w:type="dxa" w:w="1045"/>
            <w:shd w:val="clear" w:color="auto" w:fill="DDEBF7"/>
          </w:tcPr>
          <w:p>
            <w:r>
              <w:rPr>
                <w:rFonts w:ascii="Meiryo UI" w:hAnsi="Meiryo UI"/>
                <w:sz w:val="18"/>
              </w:rPr>
              <w:t>175</w:t>
            </w:r>
          </w:p>
        </w:tc>
        <w:tc>
          <w:tcPr>
            <w:tcW w:type="dxa" w:w="1045"/>
            <w:shd w:val="clear" w:color="auto" w:fill="DDEBF7"/>
          </w:tcPr>
          <w:p>
            <w:r>
              <w:rPr>
                <w:rFonts w:ascii="Meiryo UI" w:hAnsi="Meiryo UI"/>
                <w:sz w:val="18"/>
              </w:rPr>
              <w:t>122.5</w:t>
            </w:r>
          </w:p>
        </w:tc>
        <w:tc>
          <w:tcPr>
            <w:tcW w:type="dxa" w:w="1045"/>
            <w:shd w:val="clear" w:color="auto" w:fill="DDEBF7"/>
          </w:tcPr>
          <w:p>
            <w:r>
              <w:rPr>
                <w:rFonts w:ascii="Meiryo UI" w:hAnsi="Meiryo UI"/>
                <w:sz w:val="18"/>
              </w:rPr>
              <w:t>55</w:t>
            </w:r>
          </w:p>
        </w:tc>
        <w:tc>
          <w:tcPr>
            <w:tcW w:type="dxa" w:w="1045"/>
            <w:shd w:val="clear" w:color="auto" w:fill="DDEBF7"/>
          </w:tcPr>
          <w:p>
            <w:r>
              <w:rPr>
                <w:rFonts w:ascii="Meiryo UI" w:hAnsi="Meiryo UI"/>
                <w:sz w:val="18"/>
              </w:rPr>
              <w:t>90</w:t>
            </w:r>
          </w:p>
        </w:tc>
        <w:tc>
          <w:tcPr>
            <w:tcW w:type="dxa" w:w="1045"/>
            <w:shd w:val="clear" w:color="auto" w:fill="DDEBF7"/>
          </w:tcPr>
          <w:p>
            <w:r>
              <w:rPr>
                <w:rFonts w:ascii="Meiryo UI" w:hAnsi="Meiryo UI"/>
                <w:sz w:val="18"/>
              </w:rPr>
              <w:t>87.5</w:t>
            </w:r>
          </w:p>
        </w:tc>
        <w:tc>
          <w:tcPr>
            <w:tcW w:type="dxa" w:w="1045"/>
            <w:shd w:val="clear" w:color="auto" w:fill="DDEBF7"/>
          </w:tcPr>
          <w:p>
            <w:r>
              <w:rPr>
                <w:rFonts w:ascii="Meiryo UI" w:hAnsi="Meiryo UI"/>
                <w:sz w:val="18"/>
              </w:rPr>
              <w:t>0.777</w:t>
            </w:r>
          </w:p>
        </w:tc>
        <w:tc>
          <w:tcPr>
            <w:tcW w:type="dxa" w:w="1045"/>
            <w:shd w:val="clear" w:color="auto" w:fill="DDEBF7"/>
          </w:tcPr>
          <w:p>
            <w:r>
              <w:rPr>
                <w:rFonts w:ascii="Meiryo UI" w:hAnsi="Meiryo UI"/>
                <w:sz w:val="18"/>
              </w:rPr>
              <w:t>68.0</w:t>
            </w:r>
          </w:p>
        </w:tc>
      </w:tr>
      <w:tr>
        <w:tc>
          <w:tcPr>
            <w:tcW w:type="dxa" w:w="1045"/>
          </w:tcPr>
          <w:p>
            <w:r>
              <w:rPr>
                <w:rFonts w:ascii="Meiryo UI" w:hAnsi="Meiryo UI"/>
                <w:sz w:val="18"/>
              </w:rPr>
              <w:t>FY2030E</w:t>
            </w:r>
          </w:p>
        </w:tc>
        <w:tc>
          <w:tcPr>
            <w:tcW w:type="dxa" w:w="1045"/>
          </w:tcPr>
          <w:p>
            <w:r>
              <w:rPr>
                <w:rFonts w:ascii="Meiryo UI" w:hAnsi="Meiryo UI"/>
                <w:sz w:val="18"/>
              </w:rPr>
              <w:t>1,400</w:t>
            </w:r>
          </w:p>
        </w:tc>
        <w:tc>
          <w:tcPr>
            <w:tcW w:type="dxa" w:w="1045"/>
          </w:tcPr>
          <w:p>
            <w:r>
              <w:rPr>
                <w:rFonts w:ascii="Meiryo UI" w:hAnsi="Meiryo UI"/>
                <w:sz w:val="18"/>
              </w:rPr>
              <w:t>196</w:t>
            </w:r>
          </w:p>
        </w:tc>
        <w:tc>
          <w:tcPr>
            <w:tcW w:type="dxa" w:w="1045"/>
          </w:tcPr>
          <w:p>
            <w:r>
              <w:rPr>
                <w:rFonts w:ascii="Meiryo UI" w:hAnsi="Meiryo UI"/>
                <w:sz w:val="18"/>
              </w:rPr>
              <w:t>137.2</w:t>
            </w:r>
          </w:p>
        </w:tc>
        <w:tc>
          <w:tcPr>
            <w:tcW w:type="dxa" w:w="1045"/>
          </w:tcPr>
          <w:p>
            <w:r>
              <w:rPr>
                <w:rFonts w:ascii="Meiryo UI" w:hAnsi="Meiryo UI"/>
                <w:sz w:val="18"/>
              </w:rPr>
              <w:t>60</w:t>
            </w:r>
          </w:p>
        </w:tc>
        <w:tc>
          <w:tcPr>
            <w:tcW w:type="dxa" w:w="1045"/>
          </w:tcPr>
          <w:p>
            <w:r>
              <w:rPr>
                <w:rFonts w:ascii="Meiryo UI" w:hAnsi="Meiryo UI"/>
                <w:sz w:val="18"/>
              </w:rPr>
              <w:t>90</w:t>
            </w:r>
          </w:p>
        </w:tc>
        <w:tc>
          <w:tcPr>
            <w:tcW w:type="dxa" w:w="1045"/>
          </w:tcPr>
          <w:p>
            <w:r>
              <w:rPr>
                <w:rFonts w:ascii="Meiryo UI" w:hAnsi="Meiryo UI"/>
                <w:sz w:val="18"/>
              </w:rPr>
              <w:t>107.2</w:t>
            </w:r>
          </w:p>
        </w:tc>
        <w:tc>
          <w:tcPr>
            <w:tcW w:type="dxa" w:w="1045"/>
          </w:tcPr>
          <w:p>
            <w:r>
              <w:rPr>
                <w:rFonts w:ascii="Meiryo UI" w:hAnsi="Meiryo UI"/>
                <w:sz w:val="18"/>
              </w:rPr>
              <w:t>0.730</w:t>
            </w:r>
          </w:p>
        </w:tc>
        <w:tc>
          <w:tcPr>
            <w:tcW w:type="dxa" w:w="1045"/>
          </w:tcPr>
          <w:p>
            <w:r>
              <w:rPr>
                <w:rFonts w:ascii="Meiryo UI" w:hAnsi="Meiryo UI"/>
                <w:sz w:val="18"/>
              </w:rPr>
              <w:t>78.3</w:t>
            </w:r>
          </w:p>
        </w:tc>
      </w:tr>
      <w:tr>
        <w:tc>
          <w:tcPr>
            <w:tcW w:type="dxa" w:w="1045"/>
            <w:shd w:val="clear" w:color="auto" w:fill="DDEBF7"/>
          </w:tcPr>
          <w:p>
            <w:r>
              <w:rPr>
                <w:rFonts w:ascii="Meiryo UI" w:hAnsi="Meiryo UI"/>
                <w:sz w:val="18"/>
              </w:rPr>
              <w:t>FY2031E</w:t>
            </w:r>
          </w:p>
        </w:tc>
        <w:tc>
          <w:tcPr>
            <w:tcW w:type="dxa" w:w="1045"/>
            <w:shd w:val="clear" w:color="auto" w:fill="DDEBF7"/>
          </w:tcPr>
          <w:p>
            <w:r>
              <w:rPr>
                <w:rFonts w:ascii="Meiryo UI" w:hAnsi="Meiryo UI"/>
                <w:sz w:val="18"/>
              </w:rPr>
              <w:t>1,450</w:t>
            </w:r>
          </w:p>
        </w:tc>
        <w:tc>
          <w:tcPr>
            <w:tcW w:type="dxa" w:w="1045"/>
            <w:shd w:val="clear" w:color="auto" w:fill="DDEBF7"/>
          </w:tcPr>
          <w:p>
            <w:r>
              <w:rPr>
                <w:rFonts w:ascii="Meiryo UI" w:hAnsi="Meiryo UI"/>
                <w:sz w:val="18"/>
              </w:rPr>
              <w:t>218</w:t>
            </w:r>
          </w:p>
        </w:tc>
        <w:tc>
          <w:tcPr>
            <w:tcW w:type="dxa" w:w="1045"/>
            <w:shd w:val="clear" w:color="auto" w:fill="DDEBF7"/>
          </w:tcPr>
          <w:p>
            <w:r>
              <w:rPr>
                <w:rFonts w:ascii="Meiryo UI" w:hAnsi="Meiryo UI"/>
                <w:sz w:val="18"/>
              </w:rPr>
              <w:t>152.6</w:t>
            </w:r>
          </w:p>
        </w:tc>
        <w:tc>
          <w:tcPr>
            <w:tcW w:type="dxa" w:w="1045"/>
            <w:shd w:val="clear" w:color="auto" w:fill="DDEBF7"/>
          </w:tcPr>
          <w:p>
            <w:r>
              <w:rPr>
                <w:rFonts w:ascii="Meiryo UI" w:hAnsi="Meiryo UI"/>
                <w:sz w:val="18"/>
              </w:rPr>
              <w:t>60</w:t>
            </w:r>
          </w:p>
        </w:tc>
        <w:tc>
          <w:tcPr>
            <w:tcW w:type="dxa" w:w="1045"/>
            <w:shd w:val="clear" w:color="auto" w:fill="DDEBF7"/>
          </w:tcPr>
          <w:p>
            <w:r>
              <w:rPr>
                <w:rFonts w:ascii="Meiryo UI" w:hAnsi="Meiryo UI"/>
                <w:sz w:val="18"/>
              </w:rPr>
              <w:t>85</w:t>
            </w:r>
          </w:p>
        </w:tc>
        <w:tc>
          <w:tcPr>
            <w:tcW w:type="dxa" w:w="1045"/>
            <w:shd w:val="clear" w:color="auto" w:fill="DDEBF7"/>
          </w:tcPr>
          <w:p>
            <w:r>
              <w:rPr>
                <w:rFonts w:ascii="Meiryo UI" w:hAnsi="Meiryo UI"/>
                <w:sz w:val="18"/>
              </w:rPr>
              <w:t>127.6</w:t>
            </w:r>
          </w:p>
        </w:tc>
        <w:tc>
          <w:tcPr>
            <w:tcW w:type="dxa" w:w="1045"/>
            <w:shd w:val="clear" w:color="auto" w:fill="DDEBF7"/>
          </w:tcPr>
          <w:p>
            <w:r>
              <w:rPr>
                <w:rFonts w:ascii="Meiryo UI" w:hAnsi="Meiryo UI"/>
                <w:sz w:val="18"/>
              </w:rPr>
              <w:t>0.685</w:t>
            </w:r>
          </w:p>
        </w:tc>
        <w:tc>
          <w:tcPr>
            <w:tcW w:type="dxa" w:w="1045"/>
            <w:shd w:val="clear" w:color="auto" w:fill="DDEBF7"/>
          </w:tcPr>
          <w:p>
            <w:r>
              <w:rPr>
                <w:rFonts w:ascii="Meiryo UI" w:hAnsi="Meiryo UI"/>
                <w:sz w:val="18"/>
              </w:rPr>
              <w:t>87.4</w:t>
            </w:r>
          </w:p>
        </w:tc>
      </w:tr>
      <w:tr>
        <w:tc>
          <w:tcPr>
            <w:tcW w:type="dxa" w:w="1045"/>
          </w:tcPr>
          <w:p>
            <w:r>
              <w:rPr>
                <w:rFonts w:ascii="Meiryo UI" w:hAnsi="Meiryo UI"/>
                <w:sz w:val="18"/>
              </w:rPr>
              <w:t>FCF合計PV</w:t>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r>
          </w:p>
        </w:tc>
        <w:tc>
          <w:tcPr>
            <w:tcW w:type="dxa" w:w="1045"/>
          </w:tcPr>
          <w:p>
            <w:r>
              <w:rPr>
                <w:rFonts w:ascii="Meiryo UI" w:hAnsi="Meiryo UI"/>
                <w:sz w:val="18"/>
              </w:rPr>
              <w:t>388.1</w:t>
            </w:r>
          </w:p>
        </w:tc>
      </w:tr>
    </w:tbl>
    <w:p/>
    <w:p>
      <w:r>
        <w:rPr>
          <w:rFonts w:ascii="Meiryo UI" w:hAnsi="Meiryo UI"/>
          <w:sz w:val="20"/>
        </w:rPr>
        <w:t>ターミナルバリュー（g = 1.5%）:</w:t>
      </w:r>
    </w:p>
    <w:p>
      <w:r>
        <w:rPr>
          <w:rFonts w:ascii="Meiryo UI" w:hAnsi="Meiryo UI"/>
          <w:sz w:val="20"/>
        </w:rPr>
        <w:t>TV = FCF2031 × (1+g) / (WACC - g) = 127.6億 × 1.015 / (0.065 - 0.015) = 129.5億 / 0.05 = 2,590億</w:t>
      </w:r>
    </w:p>
    <w:p/>
    <w:p>
      <w:r>
        <w:rPr>
          <w:rFonts w:ascii="Meiryo UI" w:hAnsi="Meiryo UI"/>
          <w:sz w:val="20"/>
        </w:rPr>
        <w:t>PV(TV) = 2,590億 × 0.685 = 1,774億</w:t>
      </w:r>
    </w:p>
    <w:p/>
    <w:p>
      <w:pPr>
        <w:pStyle w:val="Heading3"/>
      </w:pPr>
      <w:r>
        <w:rPr>
          <w:rFonts w:ascii="Meiryo UI" w:hAnsi="Meiryo UI"/>
          <w:color w:val="2E74B5"/>
        </w:rPr>
        <w:t>4-3. Enterprise Value → 株主価値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PV（FCF合計）</w:t>
            </w:r>
          </w:p>
        </w:tc>
        <w:tc>
          <w:tcPr>
            <w:tcW w:type="dxa" w:w="3135"/>
          </w:tcPr>
          <w:p>
            <w:r>
              <w:rPr>
                <w:rFonts w:ascii="Meiryo UI" w:hAnsi="Meiryo UI"/>
                <w:sz w:val="18"/>
              </w:rPr>
              <w:t>¥388億</w:t>
            </w:r>
          </w:p>
        </w:tc>
        <w:tc>
          <w:tcPr>
            <w:tcW w:type="dxa" w:w="3135"/>
          </w:tcPr>
          <w:p>
            <w:r>
              <w:rPr>
                <w:rFonts w:ascii="Meiryo UI" w:hAnsi="Meiryo UI"/>
                <w:sz w:val="18"/>
              </w:rPr>
              <w:t>6年間のFCFの現在価値合計</w:t>
            </w:r>
          </w:p>
        </w:tc>
      </w:tr>
      <w:tr>
        <w:tc>
          <w:tcPr>
            <w:tcW w:type="dxa" w:w="3135"/>
            <w:shd w:val="clear" w:color="auto" w:fill="DDEBF7"/>
          </w:tcPr>
          <w:p>
            <w:r>
              <w:rPr>
                <w:rFonts w:ascii="Meiryo UI" w:hAnsi="Meiryo UI"/>
                <w:sz w:val="18"/>
              </w:rPr>
              <w:t>PV（ターミナルバリュー）</w:t>
            </w:r>
          </w:p>
        </w:tc>
        <w:tc>
          <w:tcPr>
            <w:tcW w:type="dxa" w:w="3135"/>
            <w:shd w:val="clear" w:color="auto" w:fill="DDEBF7"/>
          </w:tcPr>
          <w:p>
            <w:r>
              <w:rPr>
                <w:rFonts w:ascii="Meiryo UI" w:hAnsi="Meiryo UI"/>
                <w:sz w:val="18"/>
              </w:rPr>
              <w:t>¥1,774億</w:t>
            </w:r>
          </w:p>
        </w:tc>
        <w:tc>
          <w:tcPr>
            <w:tcW w:type="dxa" w:w="3135"/>
            <w:shd w:val="clear" w:color="auto" w:fill="DDEBF7"/>
          </w:tcPr>
          <w:p>
            <w:r>
              <w:rPr>
                <w:rFonts w:ascii="Meiryo UI" w:hAnsi="Meiryo UI"/>
                <w:sz w:val="18"/>
              </w:rPr>
              <w:t>TV=¥2,590億 × 0.685</w:t>
            </w:r>
          </w:p>
        </w:tc>
      </w:tr>
      <w:tr>
        <w:tc>
          <w:tcPr>
            <w:tcW w:type="dxa" w:w="3135"/>
          </w:tcPr>
          <w:p>
            <w:r>
              <w:rPr>
                <w:rFonts w:ascii="Meiryo UI" w:hAnsi="Meiryo UI"/>
                <w:sz w:val="18"/>
              </w:rPr>
              <w:t>Enterprise Value</w:t>
            </w:r>
          </w:p>
        </w:tc>
        <w:tc>
          <w:tcPr>
            <w:tcW w:type="dxa" w:w="3135"/>
          </w:tcPr>
          <w:p>
            <w:r>
              <w:rPr>
                <w:rFonts w:ascii="Meiryo UI" w:hAnsi="Meiryo UI"/>
                <w:sz w:val="18"/>
              </w:rPr>
              <w:t>¥2,162億</w:t>
            </w:r>
          </w:p>
        </w:tc>
        <w:tc>
          <w:tcPr>
            <w:tcW w:type="dxa" w:w="3135"/>
          </w:tcPr>
          <w:p>
            <w:r>
              <w:rPr>
                <w:rFonts w:ascii="Meiryo UI" w:hAnsi="Meiryo UI"/>
                <w:sz w:val="18"/>
              </w:rPr>
              <w:t>上記合計</w:t>
            </w:r>
          </w:p>
        </w:tc>
      </w:tr>
      <w:tr>
        <w:tc>
          <w:tcPr>
            <w:tcW w:type="dxa" w:w="3135"/>
            <w:shd w:val="clear" w:color="auto" w:fill="DDEBF7"/>
          </w:tcPr>
          <w:p>
            <w:r>
              <w:rPr>
                <w:rFonts w:ascii="Meiryo UI" w:hAnsi="Meiryo UI"/>
                <w:sz w:val="18"/>
              </w:rPr>
              <w:t>推定純有利子負債</w:t>
            </w:r>
          </w:p>
        </w:tc>
        <w:tc>
          <w:tcPr>
            <w:tcW w:type="dxa" w:w="3135"/>
            <w:shd w:val="clear" w:color="auto" w:fill="DDEBF7"/>
          </w:tcPr>
          <w:p>
            <w:r>
              <w:rPr>
                <w:rFonts w:ascii="Meiryo UI" w:hAnsi="Meiryo UI"/>
                <w:sz w:val="18"/>
              </w:rPr>
              <w:t>▲¥200億</w:t>
            </w:r>
          </w:p>
        </w:tc>
        <w:tc>
          <w:tcPr>
            <w:tcW w:type="dxa" w:w="3135"/>
            <w:shd w:val="clear" w:color="auto" w:fill="DDEBF7"/>
          </w:tcPr>
          <w:p>
            <w:r>
              <w:rPr>
                <w:rFonts w:ascii="Meiryo UI" w:hAnsi="Meiryo UI"/>
                <w:sz w:val="18"/>
              </w:rPr>
              <w:t>自己資本比率53.6%・総資産¥1,330億推定。有利子負債¥400〜500億からキャッシュ控除後</w:t>
            </w:r>
          </w:p>
        </w:tc>
      </w:tr>
      <w:tr>
        <w:tc>
          <w:tcPr>
            <w:tcW w:type="dxa" w:w="3135"/>
          </w:tcPr>
          <w:p>
            <w:r>
              <w:rPr>
                <w:rFonts w:ascii="Meiryo UI" w:hAnsi="Meiryo UI"/>
                <w:sz w:val="18"/>
              </w:rPr>
              <w:t>Equity Value</w:t>
            </w:r>
          </w:p>
        </w:tc>
        <w:tc>
          <w:tcPr>
            <w:tcW w:type="dxa" w:w="3135"/>
          </w:tcPr>
          <w:p>
            <w:r>
              <w:rPr>
                <w:rFonts w:ascii="Meiryo UI" w:hAnsi="Meiryo UI"/>
                <w:sz w:val="18"/>
              </w:rPr>
              <w:t>¥1,962億</w:t>
            </w:r>
          </w:p>
        </w:tc>
        <w:tc>
          <w:tcPr>
            <w:tcW w:type="dxa" w:w="3135"/>
          </w:tcPr>
          <w:p>
            <w:r>
              <w:rPr>
                <w:rFonts w:ascii="Meiryo UI" w:hAnsi="Meiryo UI"/>
                <w:sz w:val="18"/>
              </w:rPr>
              <w:t>EV - 純有利子負債</w:t>
            </w:r>
          </w:p>
        </w:tc>
      </w:tr>
      <w:tr>
        <w:tc>
          <w:tcPr>
            <w:tcW w:type="dxa" w:w="3135"/>
            <w:shd w:val="clear" w:color="auto" w:fill="DDEBF7"/>
          </w:tcPr>
          <w:p>
            <w:r>
              <w:rPr>
                <w:rFonts w:ascii="Meiryo UI" w:hAnsi="Meiryo UI"/>
                <w:sz w:val="18"/>
              </w:rPr>
              <w:t>発行済株式数（実効）</w:t>
            </w:r>
          </w:p>
        </w:tc>
        <w:tc>
          <w:tcPr>
            <w:tcW w:type="dxa" w:w="3135"/>
            <w:shd w:val="clear" w:color="auto" w:fill="DDEBF7"/>
          </w:tcPr>
          <w:p>
            <w:r>
              <w:rPr>
                <w:rFonts w:ascii="Meiryo UI" w:hAnsi="Meiryo UI"/>
                <w:sz w:val="18"/>
              </w:rPr>
              <w:t>3,574万株</w:t>
            </w:r>
          </w:p>
        </w:tc>
        <w:tc>
          <w:tcPr>
            <w:tcW w:type="dxa" w:w="3135"/>
            <w:shd w:val="clear" w:color="auto" w:fill="DDEBF7"/>
          </w:tcPr>
          <w:p>
            <w:r>
              <w:rPr>
                <w:rFonts w:ascii="Meiryo UI" w:hAnsi="Meiryo UI"/>
                <w:sz w:val="18"/>
              </w:rPr>
              <w:t>純利益¥78億 ÷ EPS¥218.2</w:t>
            </w:r>
          </w:p>
        </w:tc>
      </w:tr>
      <w:tr>
        <w:tc>
          <w:tcPr>
            <w:tcW w:type="dxa" w:w="3135"/>
          </w:tcPr>
          <w:p>
            <w:r>
              <w:rPr>
                <w:rFonts w:ascii="Meiryo UI" w:hAnsi="Meiryo UI"/>
                <w:sz w:val="18"/>
              </w:rPr>
              <w:t>DCF Fair Value per share</w:t>
            </w:r>
          </w:p>
        </w:tc>
        <w:tc>
          <w:tcPr>
            <w:tcW w:type="dxa" w:w="3135"/>
          </w:tcPr>
          <w:p>
            <w:r>
              <w:rPr>
                <w:rFonts w:ascii="Meiryo UI" w:hAnsi="Meiryo UI"/>
                <w:sz w:val="18"/>
              </w:rPr>
              <w:t>¥4,327</w:t>
            </w:r>
          </w:p>
        </w:tc>
        <w:tc>
          <w:tcPr>
            <w:tcW w:type="dxa" w:w="3135"/>
          </w:tcPr>
          <w:p>
            <w:r>
              <w:rPr>
                <w:rFonts w:ascii="Meiryo UI" w:hAnsi="Meiryo UI"/>
                <w:sz w:val="18"/>
              </w:rPr>
              <w:t>¥1,962億 ÷ 3,574万株</w:t>
            </w:r>
          </w:p>
        </w:tc>
      </w:tr>
    </w:tbl>
    <w:p/>
    <w:p>
      <w:pPr>
        <w:pStyle w:val="Heading3"/>
      </w:pPr>
      <w:r>
        <w:rPr>
          <w:rFonts w:ascii="Meiryo UI" w:hAnsi="Meiryo UI"/>
          <w:color w:val="2E74B5"/>
        </w:rPr>
        <w:t>4-4. Margin of Safety分析</w:t>
      </w:r>
    </w:p>
    <w:p/>
    <w:p>
      <w:r>
        <w:rPr>
          <w:rFonts w:ascii="Meiryo UI" w:hAnsi="Meiryo UI"/>
          <w:sz w:val="20"/>
        </w:rPr>
        <w:t>30% MoS Entry = ¥4,327 × 0.70 = ¥3,029</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DCF FV</w:t>
            </w:r>
          </w:p>
        </w:tc>
        <w:tc>
          <w:tcPr>
            <w:tcW w:type="dxa" w:w="1881"/>
            <w:shd w:val="clear" w:color="auto" w:fill="2E74B5"/>
          </w:tcPr>
          <w:p>
            <w:r>
              <w:rPr>
                <w:rFonts w:ascii="Meiryo UI" w:hAnsi="Meiryo UI"/>
                <w:b/>
                <w:color w:val="FFFFFF"/>
                <w:sz w:val="18"/>
              </w:rPr>
              <w:t>乖離率</w:t>
            </w:r>
          </w:p>
        </w:tc>
        <w:tc>
          <w:tcPr>
            <w:tcW w:type="dxa" w:w="1881"/>
            <w:shd w:val="clear" w:color="auto" w:fill="2E74B5"/>
          </w:tcPr>
          <w:p>
            <w:r>
              <w:rPr>
                <w:rFonts w:ascii="Meiryo UI" w:hAnsi="Meiryo UI"/>
                <w:b/>
                <w:color w:val="FFFFFF"/>
                <w:sz w:val="18"/>
              </w:rPr>
              <w:t>MoS Entry（30%）</w:t>
            </w:r>
          </w:p>
        </w:tc>
        <w:tc>
          <w:tcPr>
            <w:tcW w:type="dxa" w:w="1881"/>
            <w:shd w:val="clear" w:color="auto" w:fill="2E74B5"/>
          </w:tcPr>
          <w:p>
            <w:r>
              <w:rPr>
                <w:rFonts w:ascii="Meiryo UI" w:hAnsi="Meiryo UI"/>
                <w:b/>
                <w:color w:val="FFFFFF"/>
                <w:sz w:val="18"/>
              </w:rPr>
              <w:t>現値はMoS圏内？</w:t>
            </w:r>
          </w:p>
        </w:tc>
      </w:tr>
      <w:tr>
        <w:tc>
          <w:tcPr>
            <w:tcW w:type="dxa" w:w="1881"/>
          </w:tcPr>
          <w:p>
            <w:r>
              <w:rPr>
                <w:rFonts w:ascii="Meiryo UI" w:hAnsi="Meiryo UI"/>
                <w:sz w:val="18"/>
              </w:rPr>
              <w:t>¥2,913</w:t>
            </w:r>
          </w:p>
        </w:tc>
        <w:tc>
          <w:tcPr>
            <w:tcW w:type="dxa" w:w="1881"/>
          </w:tcPr>
          <w:p>
            <w:r>
              <w:rPr>
                <w:rFonts w:ascii="Meiryo UI" w:hAnsi="Meiryo UI"/>
                <w:sz w:val="18"/>
              </w:rPr>
              <w:t>¥4,327</w:t>
            </w:r>
          </w:p>
        </w:tc>
        <w:tc>
          <w:tcPr>
            <w:tcW w:type="dxa" w:w="1881"/>
          </w:tcPr>
          <w:p>
            <w:r>
              <w:rPr>
                <w:rFonts w:ascii="Meiryo UI" w:hAnsi="Meiryo UI"/>
                <w:sz w:val="18"/>
              </w:rPr>
              <w:t>+48.6%</w:t>
            </w:r>
          </w:p>
        </w:tc>
        <w:tc>
          <w:tcPr>
            <w:tcW w:type="dxa" w:w="1881"/>
          </w:tcPr>
          <w:p>
            <w:r>
              <w:rPr>
                <w:rFonts w:ascii="Meiryo UI" w:hAnsi="Meiryo UI"/>
                <w:sz w:val="18"/>
              </w:rPr>
              <w:t>¥3,029</w:t>
            </w:r>
          </w:p>
        </w:tc>
        <w:tc>
          <w:tcPr>
            <w:tcW w:type="dxa" w:w="1881"/>
          </w:tcPr>
          <w:p>
            <w:r>
              <w:rPr>
                <w:rFonts w:ascii="Meiryo UI" w:hAnsi="Meiryo UI"/>
                <w:sz w:val="18"/>
              </w:rPr>
              <w:t>条件付きYES（¥116の安全域）</w:t>
            </w:r>
          </w:p>
        </w:tc>
      </w:tr>
    </w:tbl>
    <w:p/>
    <w:p>
      <w:pPr>
        <w:pStyle w:val="Heading3"/>
      </w:pPr>
      <w:r>
        <w:rPr>
          <w:rFonts w:ascii="Meiryo UI" w:hAnsi="Meiryo UI"/>
          <w:color w:val="2E74B5"/>
        </w:rPr>
        <w:t>4-5. シナリオ分析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w:t>
            </w:r>
          </w:p>
        </w:tc>
        <w:tc>
          <w:tcPr>
            <w:tcW w:type="dxa" w:w="1881"/>
            <w:shd w:val="clear" w:color="auto" w:fill="2E74B5"/>
          </w:tcPr>
          <w:p>
            <w:r>
              <w:rPr>
                <w:rFonts w:ascii="Meiryo UI" w:hAnsi="Meiryo UI"/>
                <w:b/>
                <w:color w:val="FFFFFF"/>
                <w:sz w:val="18"/>
              </w:rPr>
              <w:t>DCF FV</w:t>
            </w:r>
          </w:p>
        </w:tc>
        <w:tc>
          <w:tcPr>
            <w:tcW w:type="dxa" w:w="1881"/>
            <w:shd w:val="clear" w:color="auto" w:fill="2E74B5"/>
          </w:tcPr>
          <w:p>
            <w:r>
              <w:rPr>
                <w:rFonts w:ascii="Meiryo UI" w:hAnsi="Meiryo UI"/>
                <w:b/>
                <w:color w:val="FFFFFF"/>
                <w:sz w:val="18"/>
              </w:rPr>
              <w:t>現値比</w:t>
            </w:r>
          </w:p>
        </w:tc>
        <w:tc>
          <w:tcPr>
            <w:tcW w:type="dxa" w:w="1881"/>
            <w:shd w:val="clear" w:color="auto" w:fill="2E74B5"/>
          </w:tcPr>
          <w:p>
            <w:r>
              <w:rPr>
                <w:rFonts w:ascii="Meiryo UI" w:hAnsi="Meiryo UI"/>
                <w:b/>
                <w:color w:val="FFFFFF"/>
                <w:sz w:val="18"/>
              </w:rPr>
              <w:t>12M TP</w:t>
            </w:r>
          </w:p>
        </w:tc>
      </w:tr>
      <w:tr>
        <w:tc>
          <w:tcPr>
            <w:tcW w:type="dxa" w:w="1881"/>
          </w:tcPr>
          <w:p>
            <w:r>
              <w:rPr>
                <w:rFonts w:ascii="Meiryo UI" w:hAnsi="Meiryo UI"/>
                <w:sz w:val="18"/>
              </w:rPr>
              <w:t>Bear（Hormuz長期化）</w:t>
            </w:r>
          </w:p>
        </w:tc>
        <w:tc>
          <w:tcPr>
            <w:tcW w:type="dxa" w:w="1881"/>
          </w:tcPr>
          <w:p>
            <w:r>
              <w:rPr>
                <w:rFonts w:ascii="Meiryo UI" w:hAnsi="Meiryo UI"/>
                <w:sz w:val="18"/>
              </w:rPr>
              <w:t>ナフサ¥110,000+継続。OP¥80〜90億</w:t>
            </w:r>
          </w:p>
        </w:tc>
        <w:tc>
          <w:tcPr>
            <w:tcW w:type="dxa" w:w="1881"/>
          </w:tcPr>
          <w:p>
            <w:r>
              <w:rPr>
                <w:rFonts w:ascii="Meiryo UI" w:hAnsi="Meiryo UI"/>
                <w:sz w:val="18"/>
              </w:rPr>
              <w:t>¥2,500〜2,800</w:t>
            </w:r>
          </w:p>
        </w:tc>
        <w:tc>
          <w:tcPr>
            <w:tcW w:type="dxa" w:w="1881"/>
          </w:tcPr>
          <w:p>
            <w:r>
              <w:rPr>
                <w:rFonts w:ascii="Meiryo UI" w:hAnsi="Meiryo UI"/>
                <w:sz w:val="18"/>
              </w:rPr>
              <w:t>▲4〜▲14%</w:t>
            </w:r>
          </w:p>
        </w:tc>
        <w:tc>
          <w:tcPr>
            <w:tcW w:type="dxa" w:w="1881"/>
          </w:tcPr>
          <w:p>
            <w:r>
              <w:rPr>
                <w:rFonts w:ascii="Meiryo UI" w:hAnsi="Meiryo UI"/>
                <w:sz w:val="18"/>
              </w:rPr>
              <w:t>¥2,500</w:t>
            </w:r>
          </w:p>
        </w:tc>
      </w:tr>
      <w:tr>
        <w:tc>
          <w:tcPr>
            <w:tcW w:type="dxa" w:w="1881"/>
            <w:shd w:val="clear" w:color="auto" w:fill="DDEBF7"/>
          </w:tcPr>
          <w:p>
            <w:r>
              <w:rPr>
                <w:rFonts w:ascii="Meiryo UI" w:hAnsi="Meiryo UI"/>
                <w:sz w:val="18"/>
              </w:rPr>
              <w:t>Base（部分解決）</w:t>
            </w:r>
          </w:p>
        </w:tc>
        <w:tc>
          <w:tcPr>
            <w:tcW w:type="dxa" w:w="1881"/>
            <w:shd w:val="clear" w:color="auto" w:fill="DDEBF7"/>
          </w:tcPr>
          <w:p>
            <w:r>
              <w:rPr>
                <w:rFonts w:ascii="Meiryo UI" w:hAnsi="Meiryo UI"/>
                <w:sz w:val="18"/>
              </w:rPr>
              <w:t>ナフサ¥85,000/KL平均。OP¥110億</w:t>
            </w:r>
          </w:p>
        </w:tc>
        <w:tc>
          <w:tcPr>
            <w:tcW w:type="dxa" w:w="1881"/>
            <w:shd w:val="clear" w:color="auto" w:fill="DDEBF7"/>
          </w:tcPr>
          <w:p>
            <w:r>
              <w:rPr>
                <w:rFonts w:ascii="Meiryo UI" w:hAnsi="Meiryo UI"/>
                <w:sz w:val="18"/>
              </w:rPr>
              <w:t>¥4,327</w:t>
            </w:r>
          </w:p>
        </w:tc>
        <w:tc>
          <w:tcPr>
            <w:tcW w:type="dxa" w:w="1881"/>
            <w:shd w:val="clear" w:color="auto" w:fill="DDEBF7"/>
          </w:tcPr>
          <w:p>
            <w:r>
              <w:rPr>
                <w:rFonts w:ascii="Meiryo UI" w:hAnsi="Meiryo UI"/>
                <w:sz w:val="18"/>
              </w:rPr>
              <w:t>+48.6%</w:t>
            </w:r>
          </w:p>
        </w:tc>
        <w:tc>
          <w:tcPr>
            <w:tcW w:type="dxa" w:w="1881"/>
            <w:shd w:val="clear" w:color="auto" w:fill="DDEBF7"/>
          </w:tcPr>
          <w:p>
            <w:r>
              <w:rPr>
                <w:rFonts w:ascii="Meiryo UI" w:hAnsi="Meiryo UI"/>
                <w:sz w:val="18"/>
              </w:rPr>
              <w:t>¥3,300</w:t>
            </w:r>
          </w:p>
        </w:tc>
      </w:tr>
      <w:tr>
        <w:tc>
          <w:tcPr>
            <w:tcW w:type="dxa" w:w="1881"/>
          </w:tcPr>
          <w:p>
            <w:r>
              <w:rPr>
                <w:rFonts w:ascii="Meiryo UI" w:hAnsi="Meiryo UI"/>
                <w:sz w:val="18"/>
              </w:rPr>
              <w:t>Bull（完全停戦）</w:t>
            </w:r>
          </w:p>
        </w:tc>
        <w:tc>
          <w:tcPr>
            <w:tcW w:type="dxa" w:w="1881"/>
          </w:tcPr>
          <w:p>
            <w:r>
              <w:rPr>
                <w:rFonts w:ascii="Meiryo UI" w:hAnsi="Meiryo UI"/>
                <w:sz w:val="18"/>
              </w:rPr>
              <w:t>ナフサ正常化¥70,000/KL。OP¥135億達成</w:t>
            </w:r>
          </w:p>
        </w:tc>
        <w:tc>
          <w:tcPr>
            <w:tcW w:type="dxa" w:w="1881"/>
          </w:tcPr>
          <w:p>
            <w:r>
              <w:rPr>
                <w:rFonts w:ascii="Meiryo UI" w:hAnsi="Meiryo UI"/>
                <w:sz w:val="18"/>
              </w:rPr>
              <w:t>¥5,000以上</w:t>
            </w:r>
          </w:p>
        </w:tc>
        <w:tc>
          <w:tcPr>
            <w:tcW w:type="dxa" w:w="1881"/>
          </w:tcPr>
          <w:p>
            <w:r>
              <w:rPr>
                <w:rFonts w:ascii="Meiryo UI" w:hAnsi="Meiryo UI"/>
                <w:sz w:val="18"/>
              </w:rPr>
              <w:t>+71%以上</w:t>
            </w:r>
          </w:p>
        </w:tc>
        <w:tc>
          <w:tcPr>
            <w:tcW w:type="dxa" w:w="1881"/>
          </w:tcPr>
          <w:p>
            <w:r>
              <w:rPr>
                <w:rFonts w:ascii="Meiryo UI" w:hAnsi="Meiryo UI"/>
                <w:sz w:val="18"/>
              </w:rPr>
              <w:t>¥4,000</w:t>
            </w:r>
          </w:p>
        </w:tc>
      </w:tr>
    </w:tbl>
    <w:p/>
    <w:p>
      <w:r>
        <w:t>──────────────────────────────────────────────────</w:t>
      </w:r>
    </w:p>
    <w:p/>
    <w:p>
      <w:pPr>
        <w:pStyle w:val="Heading2"/>
      </w:pPr>
      <w:r>
        <w:rPr>
          <w:rFonts w:ascii="Meiryo UI" w:hAnsi="Meiryo UI"/>
          <w:color w:val="2E74B5"/>
        </w:rPr>
        <w:t>5. リスクシナリオ考察（SOP Rule①）</w:t>
      </w:r>
    </w:p>
    <w:p/>
    <w:p>
      <w:pPr>
        <w:pStyle w:val="Heading3"/>
      </w:pPr>
      <w:r>
        <w:rPr>
          <w:rFonts w:ascii="Meiryo UI" w:hAnsi="Meiryo UI"/>
          <w:color w:val="2E74B5"/>
        </w:rPr>
        <w:t>5-1. リスク要因の網羅リスト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分類</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利益インパクト</w:t>
            </w:r>
          </w:p>
        </w:tc>
        <w:tc>
          <w:tcPr>
            <w:tcW w:type="dxa" w:w="1881"/>
            <w:shd w:val="clear" w:color="auto" w:fill="2E74B5"/>
          </w:tcPr>
          <w:p>
            <w:r>
              <w:rPr>
                <w:rFonts w:ascii="Meiryo UI" w:hAnsi="Meiryo UI"/>
                <w:b/>
                <w:color w:val="FFFFFF"/>
                <w:sz w:val="18"/>
              </w:rPr>
              <w:t>転嫁力</w:t>
            </w:r>
          </w:p>
        </w:tc>
      </w:tr>
      <w:tr>
        <w:tc>
          <w:tcPr>
            <w:tcW w:type="dxa" w:w="1881"/>
          </w:tcPr>
          <w:p>
            <w:r>
              <w:rPr>
                <w:rFonts w:ascii="Meiryo UI" w:hAnsi="Meiryo UI"/>
                <w:sz w:val="18"/>
              </w:rPr>
              <w:t>ナフサ高騰（Hormuz継続）</w:t>
            </w:r>
          </w:p>
        </w:tc>
        <w:tc>
          <w:tcPr>
            <w:tcW w:type="dxa" w:w="1881"/>
          </w:tcPr>
          <w:p>
            <w:r>
              <w:rPr>
                <w:rFonts w:ascii="Meiryo UI" w:hAnsi="Meiryo UI"/>
                <w:sz w:val="18"/>
              </w:rPr>
              <w:t>外部・地政学</w:t>
            </w:r>
          </w:p>
        </w:tc>
        <w:tc>
          <w:tcPr>
            <w:tcW w:type="dxa" w:w="1881"/>
          </w:tcPr>
          <w:p>
            <w:r>
              <w:rPr>
                <w:rFonts w:ascii="Meiryo UI" w:hAnsi="Meiryo UI"/>
                <w:sz w:val="18"/>
              </w:rPr>
              <w:t>30〜40%</w:t>
            </w:r>
          </w:p>
        </w:tc>
        <w:tc>
          <w:tcPr>
            <w:tcW w:type="dxa" w:w="1881"/>
          </w:tcPr>
          <w:p>
            <w:r>
              <w:rPr>
                <w:rFonts w:ascii="Meiryo UI" w:hAnsi="Meiryo UI"/>
                <w:sz w:val="18"/>
              </w:rPr>
              <w:t>▲¥30〜50億OP</w:t>
            </w:r>
          </w:p>
        </w:tc>
        <w:tc>
          <w:tcPr>
            <w:tcW w:type="dxa" w:w="1881"/>
          </w:tcPr>
          <w:p>
            <w:r>
              <w:rPr>
                <w:rFonts w:ascii="Meiryo UI" w:hAnsi="Meiryo UI"/>
                <w:sz w:val="18"/>
              </w:rPr>
              <w:t>中（3〜6ヶ月ラグで60%転嫁）</w:t>
            </w:r>
          </w:p>
        </w:tc>
      </w:tr>
      <w:tr>
        <w:tc>
          <w:tcPr>
            <w:tcW w:type="dxa" w:w="1881"/>
            <w:shd w:val="clear" w:color="auto" w:fill="DDEBF7"/>
          </w:tcPr>
          <w:p>
            <w:r>
              <w:rPr>
                <w:rFonts w:ascii="Meiryo UI" w:hAnsi="Meiryo UI"/>
                <w:sz w:val="18"/>
              </w:rPr>
              <w:t>エアコン需要低迷継続</w:t>
            </w:r>
          </w:p>
        </w:tc>
        <w:tc>
          <w:tcPr>
            <w:tcW w:type="dxa" w:w="1881"/>
            <w:shd w:val="clear" w:color="auto" w:fill="DDEBF7"/>
          </w:tcPr>
          <w:p>
            <w:r>
              <w:rPr>
                <w:rFonts w:ascii="Meiryo UI" w:hAnsi="Meiryo UI"/>
                <w:sz w:val="18"/>
              </w:rPr>
              <w:t>外部・需要</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▲¥10〜15億OP</w:t>
            </w:r>
          </w:p>
        </w:tc>
        <w:tc>
          <w:tcPr>
            <w:tcW w:type="dxa" w:w="1881"/>
            <w:shd w:val="clear" w:color="auto" w:fill="DDEBF7"/>
          </w:tcPr>
          <w:p>
            <w:r>
              <w:rPr>
                <w:rFonts w:ascii="Meiryo UI" w:hAnsi="Meiryo UI"/>
                <w:sz w:val="18"/>
              </w:rPr>
              <w:t>低（市場価格連動）</w:t>
            </w:r>
          </w:p>
        </w:tc>
      </w:tr>
      <w:tr>
        <w:tc>
          <w:tcPr>
            <w:tcW w:type="dxa" w:w="1881"/>
          </w:tcPr>
          <w:p>
            <w:r>
              <w:rPr>
                <w:rFonts w:ascii="Meiryo UI" w:hAnsi="Meiryo UI"/>
                <w:sz w:val="18"/>
              </w:rPr>
              <w:t>NMP価格下落（中国過剰供給）</w:t>
            </w:r>
          </w:p>
        </w:tc>
        <w:tc>
          <w:tcPr>
            <w:tcW w:type="dxa" w:w="1881"/>
          </w:tcPr>
          <w:p>
            <w:r>
              <w:rPr>
                <w:rFonts w:ascii="Meiryo UI" w:hAnsi="Meiryo UI"/>
                <w:sz w:val="18"/>
              </w:rPr>
              <w:t>外部・競合</w:t>
            </w:r>
          </w:p>
        </w:tc>
        <w:tc>
          <w:tcPr>
            <w:tcW w:type="dxa" w:w="1881"/>
          </w:tcPr>
          <w:p>
            <w:r>
              <w:rPr>
                <w:rFonts w:ascii="Meiryo UI" w:hAnsi="Meiryo UI"/>
                <w:sz w:val="18"/>
              </w:rPr>
              <w:t>40%</w:t>
            </w:r>
          </w:p>
        </w:tc>
        <w:tc>
          <w:tcPr>
            <w:tcW w:type="dxa" w:w="1881"/>
          </w:tcPr>
          <w:p>
            <w:r>
              <w:rPr>
                <w:rFonts w:ascii="Meiryo UI" w:hAnsi="Meiryo UI"/>
                <w:sz w:val="18"/>
              </w:rPr>
              <w:t>▲¥5〜10億OP</w:t>
            </w:r>
          </w:p>
        </w:tc>
        <w:tc>
          <w:tcPr>
            <w:tcW w:type="dxa" w:w="1881"/>
          </w:tcPr>
          <w:p>
            <w:r>
              <w:rPr>
                <w:rFonts w:ascii="Meiryo UI" w:hAnsi="Meiryo UI"/>
                <w:sz w:val="18"/>
              </w:rPr>
              <w:t>低（中国製コモディティ化）</w:t>
            </w:r>
          </w:p>
        </w:tc>
      </w:tr>
      <w:tr>
        <w:tc>
          <w:tcPr>
            <w:tcW w:type="dxa" w:w="1881"/>
            <w:shd w:val="clear" w:color="auto" w:fill="DDEBF7"/>
          </w:tcPr>
          <w:p>
            <w:r>
              <w:rPr>
                <w:rFonts w:ascii="Meiryo UI" w:hAnsi="Meiryo UI"/>
                <w:sz w:val="18"/>
              </w:rPr>
              <w:t>ガイダンス3度目の下方修正</w:t>
            </w:r>
          </w:p>
        </w:tc>
        <w:tc>
          <w:tcPr>
            <w:tcW w:type="dxa" w:w="1881"/>
            <w:shd w:val="clear" w:color="auto" w:fill="DDEBF7"/>
          </w:tcPr>
          <w:p>
            <w:r>
              <w:rPr>
                <w:rFonts w:ascii="Meiryo UI" w:hAnsi="Meiryo UI"/>
                <w:sz w:val="18"/>
              </w:rPr>
              <w:t>内部・経営</w:t>
            </w:r>
          </w:p>
        </w:tc>
        <w:tc>
          <w:tcPr>
            <w:tcW w:type="dxa" w:w="1881"/>
            <w:shd w:val="clear" w:color="auto" w:fill="DDEBF7"/>
          </w:tcPr>
          <w:p>
            <w:r>
              <w:rPr>
                <w:rFonts w:ascii="Meiryo UI" w:hAnsi="Meiryo UI"/>
                <w:sz w:val="18"/>
              </w:rPr>
              <w:t>35%</w:t>
            </w:r>
          </w:p>
        </w:tc>
        <w:tc>
          <w:tcPr>
            <w:tcW w:type="dxa" w:w="1881"/>
            <w:shd w:val="clear" w:color="auto" w:fill="DDEBF7"/>
          </w:tcPr>
          <w:p>
            <w:r>
              <w:rPr>
                <w:rFonts w:ascii="Meiryo UI" w:hAnsi="Meiryo UI"/>
                <w:sz w:val="18"/>
              </w:rPr>
              <w:t>信頼性毀損→P/Eレートダウン</w:t>
            </w:r>
          </w:p>
        </w:tc>
        <w:tc>
          <w:tcPr>
            <w:tcW w:type="dxa" w:w="1881"/>
            <w:shd w:val="clear" w:color="auto" w:fill="DDEBF7"/>
          </w:tcPr>
          <w:p>
            <w:r>
              <w:rPr>
                <w:rFonts w:ascii="Meiryo UI" w:hAnsi="Meiryo UI"/>
                <w:sz w:val="18"/>
              </w:rPr>
              <w:t>低</w:t>
            </w:r>
          </w:p>
        </w:tc>
      </w:tr>
      <w:tr>
        <w:tc>
          <w:tcPr>
            <w:tcW w:type="dxa" w:w="1881"/>
          </w:tcPr>
          <w:p>
            <w:r>
              <w:rPr>
                <w:rFonts w:ascii="Meiryo UI" w:hAnsi="Meiryo UI"/>
                <w:sz w:val="18"/>
              </w:rPr>
              <w:t>円高（150円→140円）</w:t>
            </w:r>
          </w:p>
        </w:tc>
        <w:tc>
          <w:tcPr>
            <w:tcW w:type="dxa" w:w="1881"/>
          </w:tcPr>
          <w:p>
            <w:r>
              <w:rPr>
                <w:rFonts w:ascii="Meiryo UI" w:hAnsi="Meiryo UI"/>
                <w:sz w:val="18"/>
              </w:rPr>
              <w:t>外部・為替</w:t>
            </w:r>
          </w:p>
        </w:tc>
        <w:tc>
          <w:tcPr>
            <w:tcW w:type="dxa" w:w="1881"/>
          </w:tcPr>
          <w:p>
            <w:r>
              <w:rPr>
                <w:rFonts w:ascii="Meiryo UI" w:hAnsi="Meiryo UI"/>
                <w:sz w:val="18"/>
              </w:rPr>
              <w:t>30%</w:t>
            </w:r>
          </w:p>
        </w:tc>
        <w:tc>
          <w:tcPr>
            <w:tcW w:type="dxa" w:w="1881"/>
          </w:tcPr>
          <w:p>
            <w:r>
              <w:rPr>
                <w:rFonts w:ascii="Meiryo UI" w:hAnsi="Meiryo UI"/>
                <w:sz w:val="18"/>
              </w:rPr>
              <w:t>輸出採算悪化・外貨建て売上減</w:t>
            </w:r>
          </w:p>
        </w:tc>
        <w:tc>
          <w:tcPr>
            <w:tcW w:type="dxa" w:w="1881"/>
          </w:tcPr>
          <w:p>
            <w:r>
              <w:rPr>
                <w:rFonts w:ascii="Meiryo UI" w:hAnsi="Meiryo UI"/>
                <w:sz w:val="18"/>
              </w:rPr>
              <w:t>中（多通貨調達でオフセット）</w:t>
            </w:r>
          </w:p>
        </w:tc>
      </w:tr>
      <w:tr>
        <w:tc>
          <w:tcPr>
            <w:tcW w:type="dxa" w:w="1881"/>
            <w:shd w:val="clear" w:color="auto" w:fill="DDEBF7"/>
          </w:tcPr>
          <w:p>
            <w:r>
              <w:rPr>
                <w:rFonts w:ascii="Meiryo UI" w:hAnsi="Meiryo UI"/>
                <w:sz w:val="18"/>
              </w:rPr>
              <w:t>米・イラン停戦合意</w:t>
            </w:r>
          </w:p>
        </w:tc>
        <w:tc>
          <w:tcPr>
            <w:tcW w:type="dxa" w:w="1881"/>
            <w:shd w:val="clear" w:color="auto" w:fill="DDEBF7"/>
          </w:tcPr>
          <w:p>
            <w:r>
              <w:rPr>
                <w:rFonts w:ascii="Meiryo UI" w:hAnsi="Meiryo UI"/>
                <w:sz w:val="18"/>
              </w:rPr>
              <w:t>外部・地政学</w:t>
            </w:r>
          </w:p>
        </w:tc>
        <w:tc>
          <w:tcPr>
            <w:tcW w:type="dxa" w:w="1881"/>
            <w:shd w:val="clear" w:color="auto" w:fill="DDEBF7"/>
          </w:tcPr>
          <w:p>
            <w:r>
              <w:rPr>
                <w:rFonts w:ascii="Meiryo UI" w:hAnsi="Meiryo UI"/>
                <w:sz w:val="18"/>
              </w:rPr>
              <w:t>30〜40%</w:t>
            </w:r>
          </w:p>
        </w:tc>
        <w:tc>
          <w:tcPr>
            <w:tcW w:type="dxa" w:w="1881"/>
            <w:shd w:val="clear" w:color="auto" w:fill="DDEBF7"/>
          </w:tcPr>
          <w:p>
            <w:r>
              <w:rPr>
                <w:rFonts w:ascii="Meiryo UI" w:hAnsi="Meiryo UI"/>
                <w:sz w:val="18"/>
              </w:rPr>
              <w:t>+¥20〜30億OP（原料費正常化）</w:t>
            </w:r>
          </w:p>
        </w:tc>
        <w:tc>
          <w:tcPr>
            <w:tcW w:type="dxa" w:w="1881"/>
            <w:shd w:val="clear" w:color="auto" w:fill="DDEBF7"/>
          </w:tcPr>
          <w:p>
            <w:r>
              <w:rPr>
                <w:rFonts w:ascii="Meiryo UI" w:hAnsi="Meiryo UI"/>
                <w:sz w:val="18"/>
              </w:rPr>
              <w:t>N/A（コスト削減）</w:t>
            </w:r>
          </w:p>
        </w:tc>
      </w:tr>
    </w:tbl>
    <w:p/>
    <w:p>
      <w:pPr>
        <w:pStyle w:val="Heading3"/>
      </w:pPr>
      <w:r>
        <w:rPr>
          <w:rFonts w:ascii="Meiryo UI" w:hAnsi="Meiryo UI"/>
          <w:color w:val="2E74B5"/>
        </w:rPr>
        <w:t>5-2. 複合ストレステスト（最悪シナリオ）</w:t>
      </w:r>
    </w:p>
    <w:p/>
    <w:p>
      <w:r>
        <w:rPr>
          <w:rFonts w:ascii="Meiryo UI" w:hAnsi="Meiryo UI"/>
          <w:sz w:val="20"/>
        </w:rPr>
        <w:t>「ナフサ¥110,000/KL固定」×「エアコン需要低迷」×「NMP価格下落」の3点同時発生：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Base case</w:t>
            </w:r>
          </w:p>
        </w:tc>
        <w:tc>
          <w:tcPr>
            <w:tcW w:type="dxa" w:w="3135"/>
            <w:shd w:val="clear" w:color="auto" w:fill="2E74B5"/>
          </w:tcPr>
          <w:p>
            <w:r>
              <w:rPr>
                <w:rFonts w:ascii="Meiryo UI" w:hAnsi="Meiryo UI"/>
                <w:b/>
                <w:color w:val="FFFFFF"/>
                <w:sz w:val="18"/>
              </w:rPr>
              <w:t>複合ストレス</w:t>
            </w:r>
          </w:p>
        </w:tc>
      </w:tr>
      <w:tr>
        <w:tc>
          <w:tcPr>
            <w:tcW w:type="dxa" w:w="3135"/>
          </w:tcPr>
          <w:p>
            <w:r>
              <w:rPr>
                <w:rFonts w:ascii="Meiryo UI" w:hAnsi="Meiryo UI"/>
                <w:sz w:val="18"/>
              </w:rPr>
              <w:t>FY2026 Revenue</w:t>
            </w:r>
          </w:p>
        </w:tc>
        <w:tc>
          <w:tcPr>
            <w:tcW w:type="dxa" w:w="3135"/>
          </w:tcPr>
          <w:p>
            <w:r>
              <w:rPr>
                <w:rFonts w:ascii="Meiryo UI" w:hAnsi="Meiryo UI"/>
                <w:sz w:val="18"/>
              </w:rPr>
              <w:t>¥1,200億</w:t>
            </w:r>
          </w:p>
        </w:tc>
        <w:tc>
          <w:tcPr>
            <w:tcW w:type="dxa" w:w="3135"/>
          </w:tcPr>
          <w:p>
            <w:r>
              <w:rPr>
                <w:rFonts w:ascii="Meiryo UI" w:hAnsi="Meiryo UI"/>
                <w:sz w:val="18"/>
              </w:rPr>
              <w:t>¥1,080億（▲¥120億）</w:t>
            </w:r>
          </w:p>
        </w:tc>
      </w:tr>
      <w:tr>
        <w:tc>
          <w:tcPr>
            <w:tcW w:type="dxa" w:w="3135"/>
            <w:shd w:val="clear" w:color="auto" w:fill="DDEBF7"/>
          </w:tcPr>
          <w:p>
            <w:r>
              <w:rPr>
                <w:rFonts w:ascii="Meiryo UI" w:hAnsi="Meiryo UI"/>
                <w:sz w:val="18"/>
              </w:rPr>
              <w:t>FY2026 OP</w:t>
            </w:r>
          </w:p>
        </w:tc>
        <w:tc>
          <w:tcPr>
            <w:tcW w:type="dxa" w:w="3135"/>
            <w:shd w:val="clear" w:color="auto" w:fill="DDEBF7"/>
          </w:tcPr>
          <w:p>
            <w:r>
              <w:rPr>
                <w:rFonts w:ascii="Meiryo UI" w:hAnsi="Meiryo UI"/>
                <w:sz w:val="18"/>
              </w:rPr>
              <w:t>¥110億</w:t>
            </w:r>
          </w:p>
        </w:tc>
        <w:tc>
          <w:tcPr>
            <w:tcW w:type="dxa" w:w="3135"/>
            <w:shd w:val="clear" w:color="auto" w:fill="DDEBF7"/>
          </w:tcPr>
          <w:p>
            <w:r>
              <w:rPr>
                <w:rFonts w:ascii="Meiryo UI" w:hAnsi="Meiryo UI"/>
                <w:sz w:val="18"/>
              </w:rPr>
              <w:t>¥65億（▲¥45億）</w:t>
            </w:r>
          </w:p>
        </w:tc>
      </w:tr>
      <w:tr>
        <w:tc>
          <w:tcPr>
            <w:tcW w:type="dxa" w:w="3135"/>
          </w:tcPr>
          <w:p>
            <w:r>
              <w:rPr>
                <w:rFonts w:ascii="Meiryo UI" w:hAnsi="Meiryo UI"/>
                <w:sz w:val="18"/>
              </w:rPr>
              <w:t>EPS FY2026</w:t>
            </w:r>
          </w:p>
        </w:tc>
        <w:tc>
          <w:tcPr>
            <w:tcW w:type="dxa" w:w="3135"/>
          </w:tcPr>
          <w:p>
            <w:r>
              <w:rPr>
                <w:rFonts w:ascii="Meiryo UI" w:hAnsi="Meiryo UI"/>
                <w:sz w:val="18"/>
              </w:rPr>
              <w:t>¥215</w:t>
            </w:r>
          </w:p>
        </w:tc>
        <w:tc>
          <w:tcPr>
            <w:tcW w:type="dxa" w:w="3135"/>
          </w:tcPr>
          <w:p>
            <w:r>
              <w:rPr>
                <w:rFonts w:ascii="Meiryo UI" w:hAnsi="Meiryo UI"/>
                <w:sz w:val="18"/>
              </w:rPr>
              <w:t>¥127</w:t>
            </w:r>
          </w:p>
        </w:tc>
      </w:tr>
      <w:tr>
        <w:tc>
          <w:tcPr>
            <w:tcW w:type="dxa" w:w="3135"/>
            <w:shd w:val="clear" w:color="auto" w:fill="DDEBF7"/>
          </w:tcPr>
          <w:p>
            <w:r>
              <w:rPr>
                <w:rFonts w:ascii="Meiryo UI" w:hAnsi="Meiryo UI"/>
                <w:sz w:val="18"/>
              </w:rPr>
              <w:t>PER（12x想定）</w:t>
            </w:r>
          </w:p>
        </w:tc>
        <w:tc>
          <w:tcPr>
            <w:tcW w:type="dxa" w:w="3135"/>
            <w:shd w:val="clear" w:color="auto" w:fill="DDEBF7"/>
          </w:tcPr>
          <w:p>
            <w:r>
              <w:rPr>
                <w:rFonts w:ascii="Meiryo UI" w:hAnsi="Meiryo UI"/>
                <w:sz w:val="18"/>
              </w:rPr>
              <w:t>¥2,580</w:t>
            </w:r>
          </w:p>
        </w:tc>
        <w:tc>
          <w:tcPr>
            <w:tcW w:type="dxa" w:w="3135"/>
            <w:shd w:val="clear" w:color="auto" w:fill="DDEBF7"/>
          </w:tcPr>
          <w:p>
            <w:r>
              <w:rPr>
                <w:rFonts w:ascii="Meiryo UI" w:hAnsi="Meiryo UI"/>
                <w:sz w:val="18"/>
              </w:rPr>
              <w:t>¥1,524</w:t>
            </w:r>
          </w:p>
        </w:tc>
      </w:tr>
    </w:tbl>
    <w:p/>
    <w:p>
      <w:r>
        <w:rPr>
          <w:rFonts w:ascii="Meiryo UI" w:hAnsi="Meiryo UI"/>
          <w:sz w:val="20"/>
        </w:rPr>
        <w:t>複合ストレスFV ¥1,524 vs 現値¥2,913 → 最悪ケースでは大幅な下値リスクあり。4047と異なり「下値硬直性」は低い点に注意。ただしこのシナリオはナフサ超高騰＋需要急減の二重苦を前提とした極端ケース。</w:t>
      </w:r>
    </w:p>
    <w:p/>
    <w:p>
      <w:r>
        <w:t>──────────────────────────────────────────────────</w:t>
      </w:r>
    </w:p>
    <w:p/>
    <w:p>
      <w:pPr>
        <w:pStyle w:val="Heading2"/>
      </w:pPr>
      <w:r>
        <w:rPr>
          <w:rFonts w:ascii="Meiryo UI" w:hAnsi="Meiryo UI"/>
          <w:color w:val="2E74B5"/>
        </w:rPr>
        <w:t>6. Q-1定性変化考察（SOP Rule②）</w:t>
      </w:r>
    </w:p>
    <w:p/>
    <w:p>
      <w:pPr>
        <w:pStyle w:val="Heading3"/>
      </w:pPr>
      <w:r>
        <w:rPr>
          <w:rFonts w:ascii="Meiryo UI" w:hAnsi="Meiryo UI"/>
          <w:color w:val="2E74B5"/>
        </w:rPr>
        <w:t>Q3 FY2025（〜2025年9月）vs Q4 FY2025（〜2025年12月）比較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観点</w:t>
            </w:r>
          </w:p>
        </w:tc>
        <w:tc>
          <w:tcPr>
            <w:tcW w:type="dxa" w:w="2351"/>
            <w:shd w:val="clear" w:color="auto" w:fill="2E74B5"/>
          </w:tcPr>
          <w:p>
            <w:r>
              <w:rPr>
                <w:rFonts w:ascii="Meiryo UI" w:hAnsi="Meiryo UI"/>
                <w:b/>
                <w:color w:val="FFFFFF"/>
                <w:sz w:val="18"/>
              </w:rPr>
              <w:t>Q3（3Q累計）</w:t>
            </w:r>
          </w:p>
        </w:tc>
        <w:tc>
          <w:tcPr>
            <w:tcW w:type="dxa" w:w="2351"/>
            <w:shd w:val="clear" w:color="auto" w:fill="2E74B5"/>
          </w:tcPr>
          <w:p>
            <w:r>
              <w:rPr>
                <w:rFonts w:ascii="Meiryo UI" w:hAnsi="Meiryo UI"/>
                <w:b/>
                <w:color w:val="FFFFFF"/>
                <w:sz w:val="18"/>
              </w:rPr>
              <w:t>Q4単体（推計）</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経常利益</w:t>
            </w:r>
          </w:p>
        </w:tc>
        <w:tc>
          <w:tcPr>
            <w:tcW w:type="dxa" w:w="2351"/>
          </w:tcPr>
          <w:p>
            <w:r>
              <w:rPr>
                <w:rFonts w:ascii="Meiryo UI" w:hAnsi="Meiryo UI"/>
                <w:sz w:val="18"/>
              </w:rPr>
              <w:t>3Q累計¥82.6億</w:t>
            </w:r>
          </w:p>
        </w:tc>
        <w:tc>
          <w:tcPr>
            <w:tcW w:type="dxa" w:w="2351"/>
          </w:tcPr>
          <w:p>
            <w:r>
              <w:rPr>
                <w:rFonts w:ascii="Meiryo UI" w:hAnsi="Meiryo UI"/>
                <w:sz w:val="18"/>
              </w:rPr>
              <w:t>Q4単体¥25.3億</w:t>
            </w:r>
          </w:p>
        </w:tc>
        <w:tc>
          <w:tcPr>
            <w:tcW w:type="dxa" w:w="2351"/>
          </w:tcPr>
          <w:p>
            <w:r>
              <w:rPr>
                <w:rFonts w:ascii="Meiryo UI" w:hAnsi="Meiryo UI"/>
                <w:sz w:val="18"/>
              </w:rPr>
              <w:t>Q4が最強四半期（通年の23.5%）。下期回復を確認</w:t>
            </w:r>
          </w:p>
        </w:tc>
      </w:tr>
      <w:tr>
        <w:tc>
          <w:tcPr>
            <w:tcW w:type="dxa" w:w="2351"/>
            <w:shd w:val="clear" w:color="auto" w:fill="DDEBF7"/>
          </w:tcPr>
          <w:p>
            <w:r>
              <w:rPr>
                <w:rFonts w:ascii="Meiryo UI" w:hAnsi="Meiryo UI"/>
                <w:sz w:val="18"/>
              </w:rPr>
              <w:t>冷凍機油原料</w:t>
            </w:r>
          </w:p>
        </w:tc>
        <w:tc>
          <w:tcPr>
            <w:tcW w:type="dxa" w:w="2351"/>
            <w:shd w:val="clear" w:color="auto" w:fill="DDEBF7"/>
          </w:tcPr>
          <w:p>
            <w:r>
              <w:rPr>
                <w:rFonts w:ascii="Meiryo UI" w:hAnsi="Meiryo UI"/>
                <w:sz w:val="18"/>
              </w:rPr>
              <w:t>在庫調整長期化で低迷</w:t>
            </w:r>
          </w:p>
        </w:tc>
        <w:tc>
          <w:tcPr>
            <w:tcW w:type="dxa" w:w="2351"/>
            <w:shd w:val="clear" w:color="auto" w:fill="DDEBF7"/>
          </w:tcPr>
          <w:p>
            <w:r>
              <w:rPr>
                <w:rFonts w:ascii="Meiryo UI" w:hAnsi="Meiryo UI"/>
                <w:sz w:val="18"/>
              </w:rPr>
              <w:t>経営陣「年後半の冷凍機油販売が下振れ」</w:t>
            </w:r>
          </w:p>
        </w:tc>
        <w:tc>
          <w:tcPr>
            <w:tcW w:type="dxa" w:w="2351"/>
            <w:shd w:val="clear" w:color="auto" w:fill="DDEBF7"/>
          </w:tcPr>
          <w:p>
            <w:r>
              <w:rPr>
                <w:rFonts w:ascii="Meiryo UI" w:hAnsi="Meiryo UI"/>
                <w:sz w:val="18"/>
              </w:rPr>
              <w:t>在庫調整は2025年内で終了していない可能性</w:t>
            </w:r>
          </w:p>
        </w:tc>
      </w:tr>
      <w:tr>
        <w:tc>
          <w:tcPr>
            <w:tcW w:type="dxa" w:w="2351"/>
          </w:tcPr>
          <w:p>
            <w:r>
              <w:rPr>
                <w:rFonts w:ascii="Meiryo UI" w:hAnsi="Meiryo UI"/>
                <w:sz w:val="18"/>
              </w:rPr>
              <w:t>機能性材料</w:t>
            </w:r>
          </w:p>
        </w:tc>
        <w:tc>
          <w:tcPr>
            <w:tcW w:type="dxa" w:w="2351"/>
          </w:tcPr>
          <w:p>
            <w:r>
              <w:rPr>
                <w:rFonts w:ascii="Meiryo UI" w:hAnsi="Meiryo UI"/>
                <w:sz w:val="18"/>
              </w:rPr>
              <w:t>米国規制駆け込み反動</w:t>
            </w:r>
          </w:p>
        </w:tc>
        <w:tc>
          <w:tcPr>
            <w:tcW w:type="dxa" w:w="2351"/>
          </w:tcPr>
          <w:p>
            <w:r>
              <w:rPr>
                <w:rFonts w:ascii="Meiryo UI" w:hAnsi="Meiryo UI"/>
                <w:sz w:val="18"/>
              </w:rPr>
              <w:t>エアコン需要が一時減速後に改善兆候</w:t>
            </w:r>
          </w:p>
        </w:tc>
        <w:tc>
          <w:tcPr>
            <w:tcW w:type="dxa" w:w="2351"/>
          </w:tcPr>
          <w:p>
            <w:r>
              <w:rPr>
                <w:rFonts w:ascii="Meiryo UI" w:hAnsi="Meiryo UI"/>
                <w:sz w:val="18"/>
              </w:rPr>
              <w:t>2026年に向けて回復軌道への転換期</w:t>
            </w:r>
          </w:p>
        </w:tc>
      </w:tr>
      <w:tr>
        <w:tc>
          <w:tcPr>
            <w:tcW w:type="dxa" w:w="2351"/>
            <w:shd w:val="clear" w:color="auto" w:fill="DDEBF7"/>
          </w:tcPr>
          <w:p>
            <w:r>
              <w:rPr>
                <w:rFonts w:ascii="Meiryo UI" w:hAnsi="Meiryo UI"/>
                <w:sz w:val="18"/>
              </w:rPr>
              <w:t>基礎化学品</w:t>
            </w:r>
          </w:p>
        </w:tc>
        <w:tc>
          <w:tcPr>
            <w:tcW w:type="dxa" w:w="2351"/>
            <w:shd w:val="clear" w:color="auto" w:fill="DDEBF7"/>
          </w:tcPr>
          <w:p>
            <w:r>
              <w:rPr>
                <w:rFonts w:ascii="Meiryo UI" w:hAnsi="Meiryo UI"/>
                <w:sz w:val="18"/>
              </w:rPr>
              <w:t>中国安値品流入で苦戦</w:t>
            </w:r>
          </w:p>
        </w:tc>
        <w:tc>
          <w:tcPr>
            <w:tcW w:type="dxa" w:w="2351"/>
            <w:shd w:val="clear" w:color="auto" w:fill="DDEBF7"/>
          </w:tcPr>
          <w:p>
            <w:r>
              <w:rPr>
                <w:rFonts w:ascii="Meiryo UI" w:hAnsi="Meiryo UI"/>
                <w:sz w:val="18"/>
              </w:rPr>
              <w:t>構造的問題として継続</w:t>
            </w:r>
          </w:p>
        </w:tc>
        <w:tc>
          <w:tcPr>
            <w:tcW w:type="dxa" w:w="2351"/>
            <w:shd w:val="clear" w:color="auto" w:fill="DDEBF7"/>
          </w:tcPr>
          <w:p>
            <w:r>
              <w:rPr>
                <w:rFonts w:ascii="Meiryo UI" w:hAnsi="Meiryo UI"/>
                <w:sz w:val="18"/>
              </w:rPr>
              <w:t>改善なし</w:t>
            </w:r>
          </w:p>
        </w:tc>
      </w:tr>
      <w:tr>
        <w:tc>
          <w:tcPr>
            <w:tcW w:type="dxa" w:w="2351"/>
          </w:tcPr>
          <w:p>
            <w:r>
              <w:rPr>
                <w:rFonts w:ascii="Meiryo UI" w:hAnsi="Meiryo UI"/>
                <w:sz w:val="18"/>
              </w:rPr>
              <w:t>経営陣トーン</w:t>
            </w:r>
          </w:p>
        </w:tc>
        <w:tc>
          <w:tcPr>
            <w:tcW w:type="dxa" w:w="2351"/>
          </w:tcPr>
          <w:p>
            <w:r>
              <w:rPr>
                <w:rFonts w:ascii="Meiryo UI" w:hAnsi="Meiryo UI"/>
                <w:sz w:val="18"/>
              </w:rPr>
              <w:t>「在庫調整の長期化」懸念</w:t>
            </w:r>
          </w:p>
        </w:tc>
        <w:tc>
          <w:tcPr>
            <w:tcW w:type="dxa" w:w="2351"/>
          </w:tcPr>
          <w:p>
            <w:r>
              <w:rPr>
                <w:rFonts w:ascii="Meiryo UI" w:hAnsi="Meiryo UI"/>
                <w:sz w:val="18"/>
              </w:rPr>
              <w:t>FY2026で「+20%OP増」を発表。自信示す</w:t>
            </w:r>
          </w:p>
        </w:tc>
        <w:tc>
          <w:tcPr>
            <w:tcW w:type="dxa" w:w="2351"/>
          </w:tcPr>
          <w:p>
            <w:r>
              <w:rPr>
                <w:rFonts w:ascii="Meiryo UI" w:hAnsi="Meiryo UI"/>
                <w:sz w:val="18"/>
              </w:rPr>
              <w:t>強気転換（ただしナフサリスクは反映不十分）</w:t>
            </w:r>
          </w:p>
        </w:tc>
      </w:tr>
    </w:tbl>
    <w:p/>
    <w:p>
      <w:pPr>
        <w:pStyle w:val="Heading3"/>
      </w:pPr>
      <w:r>
        <w:rPr>
          <w:rFonts w:ascii="Meiryo UI" w:hAnsi="Meiryo UI"/>
          <w:color w:val="2E74B5"/>
        </w:rPr>
        <w:t>FY2025通期の定性変化総括</w:t>
      </w:r>
    </w:p>
    <w:p/>
    <w:p>
      <w:r>
        <w:rPr>
          <w:rFonts w:ascii="Meiryo UI" w:hAnsi="Meiryo UI"/>
          <w:sz w:val="20"/>
        </w:rPr>
        <w:t>FY2025は「初回強気ガイダンス → 中間下方修正 → さらに下方修正」の2段階下振れを経験。特に後半の冷凍機油原料の在庫調整長期化は経営陣の市場読みの甘さを示す。ただしQ4単体では¥25.3億の経常利益を確保しており、2026年に向けた「底打ち確認」は取れている。</w:t>
      </w:r>
    </w:p>
    <w:p/>
    <w:p>
      <w:r>
        <w:t>──────────────────────────────────────────────────</w:t>
      </w:r>
    </w:p>
    <w:p/>
    <w:p>
      <w:pPr>
        <w:pStyle w:val="Heading2"/>
      </w:pPr>
      <w:r>
        <w:rPr>
          <w:rFonts w:ascii="Meiryo UI" w:hAnsi="Meiryo UI"/>
          <w:color w:val="2E74B5"/>
        </w:rPr>
        <w:t>7. ガイダンス考察（SOP Rule③）</w:t>
      </w:r>
    </w:p>
    <w:p/>
    <w:p>
      <w:pPr>
        <w:pStyle w:val="Heading3"/>
      </w:pPr>
      <w:r>
        <w:rPr>
          <w:rFonts w:ascii="Meiryo UI" w:hAnsi="Meiryo UI"/>
          <w:color w:val="2E74B5"/>
        </w:rPr>
        <w:t>FY2026 ガイダンスの「保守性/積極性」判定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FY2026予想</w:t>
            </w:r>
          </w:p>
        </w:tc>
        <w:tc>
          <w:tcPr>
            <w:tcW w:type="dxa" w:w="2351"/>
            <w:shd w:val="clear" w:color="auto" w:fill="2E74B5"/>
          </w:tcPr>
          <w:p>
            <w:r>
              <w:rPr>
                <w:rFonts w:ascii="Meiryo UI" w:hAnsi="Meiryo UI"/>
                <w:b/>
                <w:color w:val="FFFFFF"/>
                <w:sz w:val="18"/>
              </w:rPr>
              <w:t>FY2025比</w:t>
            </w:r>
          </w:p>
        </w:tc>
        <w:tc>
          <w:tcPr>
            <w:tcW w:type="dxa" w:w="2351"/>
            <w:shd w:val="clear" w:color="auto" w:fill="2E74B5"/>
          </w:tcPr>
          <w:p>
            <w:r>
              <w:rPr>
                <w:rFonts w:ascii="Meiryo UI" w:hAnsi="Meiryo UI"/>
                <w:b/>
                <w:color w:val="FFFFFF"/>
                <w:sz w:val="18"/>
              </w:rPr>
              <w:t>ガイダンス信頼性判定</w:t>
            </w:r>
          </w:p>
        </w:tc>
      </w:tr>
      <w:tr>
        <w:tc>
          <w:tcPr>
            <w:tcW w:type="dxa" w:w="2351"/>
          </w:tcPr>
          <w:p>
            <w:r>
              <w:rPr>
                <w:rFonts w:ascii="Meiryo UI" w:hAnsi="Meiryo UI"/>
                <w:sz w:val="18"/>
              </w:rPr>
              <w:t>売上高</w:t>
            </w:r>
          </w:p>
        </w:tc>
        <w:tc>
          <w:tcPr>
            <w:tcW w:type="dxa" w:w="2351"/>
          </w:tcPr>
          <w:p>
            <w:r>
              <w:rPr>
                <w:rFonts w:ascii="Meiryo UI" w:hAnsi="Meiryo UI"/>
                <w:sz w:val="18"/>
              </w:rPr>
              <w:t>¥1,140億</w:t>
            </w:r>
          </w:p>
        </w:tc>
        <w:tc>
          <w:tcPr>
            <w:tcW w:type="dxa" w:w="2351"/>
          </w:tcPr>
          <w:p>
            <w:r>
              <w:rPr>
                <w:rFonts w:ascii="Meiryo UI" w:hAnsi="Meiryo UI"/>
                <w:sz w:val="18"/>
              </w:rPr>
              <w:t>▲1.0%</w:t>
            </w:r>
          </w:p>
        </w:tc>
        <w:tc>
          <w:tcPr>
            <w:tcW w:type="dxa" w:w="2351"/>
          </w:tcPr>
          <w:p>
            <w:r>
              <w:rPr>
                <w:rFonts w:ascii="Meiryo UI" w:hAnsi="Meiryo UI"/>
                <w:sz w:val="18"/>
              </w:rPr>
              <w:t>保守的（=下振れリスク小）</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¥135億</w:t>
            </w:r>
          </w:p>
        </w:tc>
        <w:tc>
          <w:tcPr>
            <w:tcW w:type="dxa" w:w="2351"/>
            <w:shd w:val="clear" w:color="auto" w:fill="DDEBF7"/>
          </w:tcPr>
          <w:p>
            <w:r>
              <w:rPr>
                <w:rFonts w:ascii="Meiryo UI" w:hAnsi="Meiryo UI"/>
                <w:sz w:val="18"/>
              </w:rPr>
              <w:t>+20.0%</w:t>
            </w:r>
          </w:p>
        </w:tc>
        <w:tc>
          <w:tcPr>
            <w:tcW w:type="dxa" w:w="2351"/>
            <w:shd w:val="clear" w:color="auto" w:fill="DDEBF7"/>
          </w:tcPr>
          <w:p>
            <w:r>
              <w:rPr>
                <w:rFonts w:ascii="Meiryo UI" w:hAnsi="Meiryo UI"/>
                <w:sz w:val="18"/>
              </w:rPr>
              <w:t>積極的→ナフサ前提次第で達成困難</w:t>
            </w:r>
          </w:p>
        </w:tc>
      </w:tr>
      <w:tr>
        <w:tc>
          <w:tcPr>
            <w:tcW w:type="dxa" w:w="2351"/>
          </w:tcPr>
          <w:p>
            <w:r>
              <w:rPr>
                <w:rFonts w:ascii="Meiryo UI" w:hAnsi="Meiryo UI"/>
                <w:sz w:val="18"/>
              </w:rPr>
              <w:t>配当</w:t>
            </w:r>
          </w:p>
        </w:tc>
        <w:tc>
          <w:tcPr>
            <w:tcW w:type="dxa" w:w="2351"/>
          </w:tcPr>
          <w:p>
            <w:r>
              <w:rPr>
                <w:rFonts w:ascii="Meiryo UI" w:hAnsi="Meiryo UI"/>
                <w:sz w:val="18"/>
              </w:rPr>
              <w:t>¥110</w:t>
            </w:r>
          </w:p>
        </w:tc>
        <w:tc>
          <w:tcPr>
            <w:tcW w:type="dxa" w:w="2351"/>
          </w:tcPr>
          <w:p>
            <w:r>
              <w:rPr>
                <w:rFonts w:ascii="Meiryo UI" w:hAnsi="Meiryo UI"/>
                <w:sz w:val="18"/>
              </w:rPr>
              <w:t>+¥5</w:t>
            </w:r>
          </w:p>
        </w:tc>
        <w:tc>
          <w:tcPr>
            <w:tcW w:type="dxa" w:w="2351"/>
          </w:tcPr>
          <w:p>
            <w:r>
              <w:rPr>
                <w:rFonts w:ascii="Meiryo UI" w:hAnsi="Meiryo UI"/>
                <w:sz w:val="18"/>
              </w:rPr>
              <w:t>高信頼度（配当方針継続。自己資本比率53.6%で支払い能力十分）</w:t>
            </w:r>
          </w:p>
        </w:tc>
      </w:tr>
    </w:tbl>
    <w:p/>
    <w:p>
      <w:r>
        <w:rPr>
          <w:rFonts w:ascii="Meiryo UI" w:hAnsi="Meiryo UI"/>
          <w:sz w:val="20"/>
        </w:rPr>
        <w:t>FY2026ガイダンス「+20%OP増」の達成条件分解:</w:t>
      </w:r>
    </w:p>
    <w:p/>
    <w:p>
      <w:pPr>
        <w:pStyle w:val="ListNumber"/>
      </w:pPr>
      <w:r>
        <w:rPr>
          <w:rFonts w:ascii="Meiryo UI" w:hAnsi="Meiryo UI"/>
          <w:sz w:val="20"/>
        </w:rPr>
        <w:t>冷凍機油原料の在庫調整終了と需要回復（+¥10〜15億寄与想定）</w:t>
      </w:r>
    </w:p>
    <w:p>
      <w:pPr>
        <w:pStyle w:val="ListNumber"/>
      </w:pPr>
      <w:r>
        <w:rPr>
          <w:rFonts w:ascii="Meiryo UI" w:hAnsi="Meiryo UI"/>
          <w:sz w:val="20"/>
        </w:rPr>
        <w:t>化粧品原料インバウンド継続（+¥5〜8億）</w:t>
      </w:r>
    </w:p>
    <w:p>
      <w:pPr>
        <w:pStyle w:val="ListNumber"/>
      </w:pPr>
      <w:r>
        <w:rPr>
          <w:rFonts w:ascii="Meiryo UI" w:hAnsi="Meiryo UI"/>
          <w:sz w:val="20"/>
        </w:rPr>
        <w:t>NMP・電子材料の半導体向け増販（+¥3〜5億）</w:t>
      </w:r>
    </w:p>
    <w:p>
      <w:pPr>
        <w:pStyle w:val="ListNumber"/>
      </w:pPr>
      <w:r>
        <w:rPr>
          <w:rFonts w:ascii="Meiryo UI" w:hAnsi="Meiryo UI"/>
          <w:sz w:val="20"/>
        </w:rPr>
        <w:t>基礎化学品の製品価格転嫁による赤字縮小（+¥5〜7億）</w:t>
      </w:r>
    </w:p>
    <w:p>
      <w:pPr>
        <w:pStyle w:val="ListNumber"/>
      </w:pPr>
      <w:r>
        <w:rPr>
          <w:rFonts w:ascii="Meiryo UI" w:hAnsi="Meiryo UI"/>
          <w:sz w:val="20"/>
        </w:rPr>
        <w:t>ナフサ原料費：前年比フラットまたは若干減（ガイダンスの暗黙前提）→ 現在この前提が崩れている</w:t>
      </w:r>
    </w:p>
    <w:p/>
    <w:p>
      <w:r>
        <w:rPr>
          <w:rFonts w:ascii="Meiryo UI" w:hAnsi="Meiryo UI"/>
          <w:sz w:val="20"/>
        </w:rPr>
        <w:t>KHネオケムの「ガイダンス達成率の歴史」:</w:t>
      </w:r>
    </w:p>
    <w:p>
      <w:pPr>
        <w:pStyle w:val="ListBullet"/>
      </w:pPr>
      <w:r>
        <w:rPr>
          <w:rFonts w:ascii="Meiryo UI" w:hAnsi="Meiryo UI"/>
          <w:sz w:val="20"/>
        </w:rPr>
        <w:t>FY2022: 期初¥200億→実績¥125億（▲37.5%）</w:t>
      </w:r>
    </w:p>
    <w:p>
      <w:pPr>
        <w:pStyle w:val="ListBullet"/>
      </w:pPr>
      <w:r>
        <w:rPr>
          <w:rFonts w:ascii="Meiryo UI" w:hAnsi="Meiryo UI"/>
          <w:sz w:val="20"/>
        </w:rPr>
        <w:t>FY2023: 期初¥110億→実績¥99億（▲10%）</w:t>
      </w:r>
    </w:p>
    <w:p>
      <w:pPr>
        <w:pStyle w:val="ListBullet"/>
      </w:pPr>
      <w:r>
        <w:rPr>
          <w:rFonts w:ascii="Meiryo UI" w:hAnsi="Meiryo UI"/>
          <w:sz w:val="20"/>
        </w:rPr>
        <w:t>FY2024: 期初¥130億→実績¥122億（▲6%）</w:t>
      </w:r>
    </w:p>
    <w:p>
      <w:pPr>
        <w:pStyle w:val="ListBullet"/>
      </w:pPr>
      <w:r>
        <w:rPr>
          <w:rFonts w:ascii="Meiryo UI" w:hAnsi="Meiryo UI"/>
          <w:sz w:val="20"/>
        </w:rPr>
        <w:t>FY2025: 期初¥140億→実績¥112億（▲20%）</w:t>
      </w:r>
    </w:p>
    <w:p/>
    <w:p>
      <w:r>
        <w:rPr>
          <w:rFonts w:ascii="Meiryo UI" w:hAnsi="Meiryo UI"/>
          <w:sz w:val="20"/>
        </w:rPr>
        <w:t>過去4年で3回の大幅下方修正。「積極的なFY2026ガイダンス¥135億」は信頼性に疑問符がつく。米・イラン停戦がなければ5回目の下方修正も視野に入る。</w:t>
      </w:r>
    </w:p>
    <w:p/>
    <w:p>
      <w:r>
        <w:t>──────────────────────────────────────────────────</w:t>
      </w:r>
    </w:p>
    <w:p/>
    <w:p>
      <w:pPr>
        <w:pStyle w:val="Heading2"/>
      </w:pPr>
      <w:r>
        <w:rPr>
          <w:rFonts w:ascii="Meiryo UI" w:hAnsi="Meiryo UI"/>
          <w:color w:val="2E74B5"/>
        </w:rPr>
        <w:t>8. 不動産含み益考察</w:t>
      </w:r>
    </w:p>
    <w:p/>
    <w:p>
      <w:pPr>
        <w:pStyle w:val="ListBullet"/>
      </w:pPr>
      <w:r>
        <w:rPr>
          <w:rFonts w:ascii="Meiryo UI" w:hAnsi="Meiryo UI"/>
          <w:sz w:val="20"/>
        </w:rPr>
        <w:t>KHネオケムは大阪府堺市・三重県四日市市の化学工場を中心とする製造業特化企業</w:t>
      </w:r>
    </w:p>
    <w:p>
      <w:pPr>
        <w:pStyle w:val="ListBullet"/>
      </w:pPr>
      <w:r>
        <w:rPr>
          <w:rFonts w:ascii="Meiryo UI" w:hAnsi="Meiryo UI"/>
          <w:sz w:val="20"/>
        </w:rPr>
        <w:t>不動産含み益は工業地帯立地のため流動性・時価上昇は限定的</w:t>
      </w:r>
    </w:p>
    <w:p>
      <w:pPr>
        <w:pStyle w:val="ListBullet"/>
      </w:pPr>
      <w:r>
        <w:rPr>
          <w:rFonts w:ascii="Meiryo UI" w:hAnsi="Meiryo UI"/>
          <w:sz w:val="20"/>
        </w:rPr>
        <w:t>NAV算出対象外と判断: 不動産含み益が投資判断を変える水準にない</w:t>
      </w:r>
    </w:p>
    <w:p/>
    <w:p>
      <w:r>
        <w:t>──────────────────────────────────────────────────</w:t>
      </w:r>
    </w:p>
    <w:p/>
    <w:p>
      <w:pPr>
        <w:pStyle w:val="Heading2"/>
      </w:pPr>
      <w:r>
        <w:rPr>
          <w:rFonts w:ascii="Meiryo UI" w:hAnsi="Meiryo UI"/>
          <w:color w:val="2E74B5"/>
        </w:rPr>
        <w:t>9. 最終的な投資判断</w:t>
      </w:r>
    </w:p>
    <w:p/>
    <w:p>
      <w:pPr>
        <w:shd w:val="clear" w:color="auto" w:fill="F2F2F2"/>
      </w:pPr>
      <w:r>
        <w:rPr>
          <w:rFonts w:ascii="Courier New" w:hAnsi="Courier New"/>
          <w:sz w:val="16"/>
        </w:rPr>
        <w:t>投資判断：HOLD（停戦確認でBUYに即格上げ）</w:t>
        <w:br/>
        <w:t>12M Target Price：¥3,300（+13.3% upside）</w:t>
        <w:br/>
        <w:t>DCF Fair Value：¥4,327（Base case）</w:t>
        <w:br/>
        <w:t>エントリー推奨水準：停戦確認後 ¥2,800〜3,000</w:t>
      </w:r>
    </w:p>
    <w:p/>
    <w:p>
      <w:r>
        <w:rPr>
          <w:rFonts w:ascii="Meiryo UI" w:hAnsi="Meiryo UI"/>
          <w:sz w:val="20"/>
        </w:rPr>
        <w:t>HOLDとする3理由</w:t>
      </w:r>
    </w:p>
    <w:p/>
    <w:p>
      <w:pPr>
        <w:pStyle w:val="ListNumber"/>
      </w:pPr>
      <w:r>
        <w:rPr>
          <w:rFonts w:ascii="Meiryo UI" w:hAnsi="Meiryo UI"/>
          <w:sz w:val="20"/>
        </w:rPr>
        <w:t>FY2026ガイダンスのナフサ前提リスク: +20%OP増の前提となるナフサ水準が現実と乖離している可能性が高い。4月〜6月の原料コスト状況が判明するまでは「ガイダンスの持続可能性」が不透明。現在株価¥2,913はガイダンス達成を相当程度折り込んでいる。</w:t>
      </w:r>
    </w:p>
    <w:p/>
    <w:p>
      <w:pPr>
        <w:pStyle w:val="ListNumber"/>
      </w:pPr>
      <w:r>
        <w:rPr>
          <w:rFonts w:ascii="Meiryo UI" w:hAnsi="Meiryo UI"/>
          <w:sz w:val="20"/>
        </w:rPr>
        <w:t>過去の下方修正の常習性: 4年中3回の大幅ガイダンス未達は「経営陣の見通し精度」に構造的問題がある可能性を示す。強気ガイダンスをそのまま信頼することはできない。</w:t>
      </w:r>
    </w:p>
    <w:p/>
    <w:p>
      <w:pPr>
        <w:pStyle w:val="ListNumber"/>
      </w:pPr>
      <w:r>
        <w:rPr>
          <w:rFonts w:ascii="Meiryo UI" w:hAnsi="Meiryo UI"/>
          <w:sz w:val="20"/>
        </w:rPr>
        <w:t>Bear caseに下値リスクあり（4047と異なる点）: Hormuz継続×エアコン低迷×NMP安の三重苦で株価¥1,500〜2,000も排除できない。安全余裕が4047より低い。</w:t>
      </w:r>
    </w:p>
    <w:p/>
    <w:p>
      <w:r>
        <w:rPr>
          <w:rFonts w:ascii="Meiryo UI" w:hAnsi="Meiryo UI"/>
          <w:sz w:val="20"/>
        </w:rPr>
        <w:t>BUYにしない理由: DCF FV¥4,327は魅力的だが、Terminal Valueへの依存度が高すぎ（TBV/EV = 82%）。近接の業績可視性が低い現状では割安感を確信できない。</w:t>
      </w:r>
    </w:p>
    <w:p/>
    <w:p>
      <w:r>
        <w:rPr>
          <w:rFonts w:ascii="Meiryo UI" w:hAnsi="Meiryo UI"/>
          <w:sz w:val="20"/>
        </w:rPr>
        <w:t>即日BUYに格上げする条件: ①米・イラン停戦合意の確認（4/12協議後）②Q1 FY2026（1〜3月）決算でナフサ高騰影響の開示と通期修正幅の確認（5月発表予定）③冷凍機油原料の季節需要回復（夏季エアコン立ち上がり確認）</w:t>
      </w:r>
    </w:p>
    <w:p/>
    <w:p>
      <w:r>
        <w:rPr>
          <w:rFonts w:ascii="Meiryo UI" w:hAnsi="Meiryo UI"/>
          <w:sz w:val="20"/>
        </w:rPr>
        <w:t>本レポートはSOP Rule①〜④（リスク定量化・Q-1定性変化・ガイダンス考察・全数値根拠明記）に完全準拠。</w:t>
      </w:r>
    </w:p>
    <w:p/>
    <w:p>
      <w:r>
        <w:rPr>
          <w:rFonts w:ascii="Meiryo UI" w:hAnsi="Meiryo UI"/>
          <w:sz w:val="20"/>
        </w:rPr>
        <w:t>参考情報源: KHネオケム IRページ・Yahoo!ファイナンス・Kabutan業績推移・三協化学シンナー不足解説・東京新聞ホルムズ封鎖製造業影響記事・日経電子版KHネオケム決算記事</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