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[4394] エクスモーション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[4394] エクスモーション</w:t>
      </w:r>
    </w:p>
    <w:p>
      <w:r>
        <w:rPr>
          <w:rFonts w:ascii="Meiryo UI" w:hAnsi="Meiryo UI"/>
          <w:sz w:val="20"/>
        </w:rPr>
        <w:t>作成日: 2026-04-04  |  アナリスト: 深井  |  分類: BUY</w:t>
      </w:r>
    </w:p>
    <w:p>
      <w:r>
        <w:rPr>
          <w:rFonts w:ascii="Meiryo UI" w:hAnsi="Meiryo UI"/>
          <w:sz w:val="20"/>
        </w:rPr>
        <w:t>浅井スコア: +78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エクスモーション（4394）— 株式分割・増配トリガー分析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作成者: 深井（竹村トレードカンパニー アナリスト）</w:t>
      </w:r>
    </w:p>
    <w:p>
      <w:r>
        <w:rPr>
          <w:rFonts w:ascii="Meiryo UI" w:hAnsi="Meiryo UI"/>
          <w:sz w:val="20"/>
        </w:rPr>
        <w:t>分析日: 2026年4月4日</w:t>
      </w:r>
    </w:p>
    <w:p>
      <w:r>
        <w:rPr>
          <w:rFonts w:ascii="Meiryo UI" w:hAnsi="Meiryo UI"/>
          <w:sz w:val="20"/>
        </w:rPr>
        <w:t>浅井速報スコア: +78 / BUY</w:t>
      </w:r>
    </w:p>
    <w:p>
      <w:r>
        <w:rPr>
          <w:rFonts w:ascii="Meiryo UI" w:hAnsi="Meiryo UI"/>
          <w:sz w:val="20"/>
        </w:rPr>
        <w:t>レポートステータス: 初版・機密</w:t>
      </w:r>
    </w:p>
    <w:p/>
    <w:p>
      <w:r>
        <w:rPr>
          <w:rFonts w:ascii="Meiryo UI" w:hAnsi="Meiryo UI"/>
          <w:sz w:val="20"/>
        </w:rPr>
        <w:t>&gt; ⚠️ 免責事項: 本レポートは公開情報および業界知識に基づく推定を含む。DCF前提は深井の独立試算であり、実際の業績と乖離する場合がある。投資判断は最終的に自己責任で行うこと。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[企業概要・事業分析](#1-企業概要事業分析)</w:t>
      </w:r>
    </w:p>
    <w:p>
      <w:pPr>
        <w:pStyle w:val="ListNumber"/>
      </w:pPr>
      <w:r>
        <w:rPr>
          <w:rFonts w:ascii="Meiryo UI" w:hAnsi="Meiryo UI"/>
          <w:sz w:val="20"/>
        </w:rPr>
        <w:t>[財務ハイライト](#2-財務ハイライト)</w:t>
      </w:r>
    </w:p>
    <w:p>
      <w:pPr>
        <w:pStyle w:val="ListNumber"/>
      </w:pPr>
      <w:r>
        <w:rPr>
          <w:rFonts w:ascii="Meiryo UI" w:hAnsi="Meiryo UI"/>
          <w:sz w:val="20"/>
        </w:rPr>
        <w:t>[DCFバリュエーション](#3-dcfバリュエーション)</w:t>
      </w:r>
    </w:p>
    <w:p>
      <w:pPr>
        <w:pStyle w:val="ListNumber"/>
      </w:pPr>
      <w:r>
        <w:rPr>
          <w:rFonts w:ascii="Meiryo UI" w:hAnsi="Meiryo UI"/>
          <w:sz w:val="20"/>
        </w:rPr>
        <w:t>[理論株価と投資判断](#4-理論株価と投資判断)</w:t>
      </w:r>
    </w:p>
    <w:p>
      <w:pPr>
        <w:pStyle w:val="ListNumber"/>
      </w:pPr>
      <w:r>
        <w:rPr>
          <w:rFonts w:ascii="Meiryo UI" w:hAnsi="Meiryo UI"/>
          <w:sz w:val="20"/>
        </w:rPr>
        <w:t>[メインシナリオ vs リスクシナリオ](#5-メインシナリオ-vs-リスクシナリオ)</w:t>
      </w:r>
    </w:p>
    <w:p>
      <w:pPr>
        <w:pStyle w:val="ListNumber"/>
      </w:pPr>
      <w:r>
        <w:rPr>
          <w:rFonts w:ascii="Meiryo UI" w:hAnsi="Meiryo UI"/>
          <w:sz w:val="20"/>
        </w:rPr>
        <w:t>[浅井速報との統合評価](#6-浅井速報との統合評価)</w:t>
      </w:r>
    </w:p>
    <w:p>
      <w:pPr>
        <w:pStyle w:val="ListNumber"/>
      </w:pPr>
      <w:r>
        <w:rPr>
          <w:rFonts w:ascii="Meiryo UI" w:hAnsi="Meiryo UI"/>
          <w:sz w:val="20"/>
        </w:rPr>
        <w:t>[社長への推奨アクション](#7-社長への推奨アクション)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企業プロファイル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銘柄コード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4394（東証グロース）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株式会社エクスモーション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2004年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事業ドメイン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組込みソフトウェア開発支援・エンジニアリングサービス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主要顧客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自動車OEM・Tier1、産業機器メーカー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</w:t>
      </w:r>
    </w:p>
    <w:p/>
    <w:p>
      <w:r>
        <w:rPr>
          <w:rFonts w:ascii="Meiryo UI" w:hAnsi="Meiryo UI"/>
          <w:sz w:val="20"/>
        </w:rPr>
        <w:t>エクスモーションは大きく2軸で事業を展開する。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         エクスモーション事業構成              │</w:t>
        <w:br/>
        <w:t>├─────────────────────┬───────────────────────┤</w:t>
        <w:br/>
        <w:t>│ エンジニアリング     │ ソリューション         │</w:t>
        <w:br/>
        <w:t>│ サービス事業         │ 事業                   │</w:t>
        <w:br/>
        <w:t>│（≒売上60%推定）      │（≒売上40%推定）        │</w:t>
        <w:br/>
        <w:t>│                     │                       │</w:t>
        <w:br/>
        <w:t>│ • 組込みソフト開発   │ • 開発プロセス改善     │</w:t>
        <w:br/>
        <w:t>│   受託・派遣         │   コンサルティング     │</w:t>
        <w:br/>
        <w:t>│ • AUTOSAR関連        │ • ツール・メソドロジー │</w:t>
        <w:br/>
        <w:t>│ • 機能安全（ISO      │   提供（SQiP等）       │</w:t>
        <w:br/>
        <w:t>│   26262）対応        │ • 教育・トレーニング   │</w:t>
        <w:br/>
        <w:t>└─────────────────────┴───────────────────────┘</w:t>
      </w:r>
    </w:p>
    <w:p/>
    <w:p>
      <w:r>
        <w:rPr>
          <w:rFonts w:ascii="Meiryo UI" w:hAnsi="Meiryo UI"/>
          <w:sz w:val="20"/>
        </w:rPr>
        <w:t>深井コメント:</w:t>
      </w:r>
    </w:p>
    <w:p>
      <w:r>
        <w:rPr>
          <w:rFonts w:ascii="Meiryo UI" w:hAnsi="Meiryo UI"/>
          <w:sz w:val="20"/>
        </w:rPr>
        <w:t>ソリューション事業はストック性が高くGM（粗利率）が優位。エンジニアリングサービスは人月ベースでスケールしやすい反面、技術者単価と稼働率が収益のボラティリティを左右する。自動車向け比率が高く、CASE（Connected/Autonomous/Shared/Electric）トレンドが中長期の追い風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競合優位性（5段階評価）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技術特化性（組込み×機能安全）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AUTOSAR/ISO26262の専門家集団。替えが効きにくい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顧客粘着性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自動車開発プロセスへの深い関与でスイッチングコスト高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ブランド・実績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トヨタ系Tier1等への納入実績が参入障壁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スケーラビリティ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人材依存ゆえ急拡大に限界あり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価格競争力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高付加価値ゆえ価格競争には巻き込まれにくいが競合も存在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直近のカタリスト（トリガー開示分析）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【2026年4月 同時発表 3点セット】</w:t>
        <w:br/>
        <w:br/>
        <w:t>① 株式分割（推定 1:2または1:3）</w:t>
        <w:br/>
        <w:t xml:space="preserve">   → 株価水準の引き下げによる個人投資家参入障壁低下</w:t>
        <w:br/>
        <w:t xml:space="preserve">   → 売買単位縮小で流動性改善</w:t>
        <w:br/>
        <w:t xml:space="preserve">   → 東証グロース250指数・その他指数組み入れ審査の</w:t>
        <w:br/>
        <w:t xml:space="preserve">     流動性要件充足に近づく可能性</w:t>
        <w:br/>
        <w:br/>
        <w:t>② 中間配当実施</w:t>
        <w:br/>
        <w:t xml:space="preserve">   → 従来：期末一括配当 → 年2回配当へ移行</w:t>
        <w:br/>
        <w:t xml:space="preserve">   → キャッシュリターンの意識変化を市場に示す</w:t>
        <w:br/>
        <w:br/>
        <w:t>③ 増配</w:t>
        <w:br/>
        <w:t xml:space="preserve">   → 配当性向引き上げシグナル</w:t>
        <w:br/>
        <w:t xml:space="preserve">   → 「成長投資と株主還元の両立」メッセージ発信</w:t>
        <w:br/>
        <w:br/>
        <w:t>★ 深井評価: この3点同時発表は"偶発的"でなく</w:t>
        <w:br/>
        <w:t xml:space="preserve">   経営陣の意図的なIR戦略。中長期での機関投資家</w:t>
        <w:br/>
        <w:t xml:space="preserve">   誘致を意識した布石と解釈する。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財務ハイライト</w:t>
      </w:r>
    </w:p>
    <w:p/>
    <w:p>
      <w:r>
        <w:rPr>
          <w:rFonts w:ascii="Meiryo UI" w:hAnsi="Meiryo UI"/>
          <w:sz w:val="20"/>
        </w:rPr>
        <w:t>&gt; データソース注記: 直近公開の有価証券報告書・決算短信をベースに深井が推定・整理。数値は公開ベースの概算であり、最新開示と若干の差異が生じる場合がある。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2-1. PL サマリー（推定）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～10億円台前半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～12億円前後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～14億円前後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+15%前後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40〜45%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42〜46%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改善傾向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12〜16%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13〜17%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営業+1〜2pt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当期純利益率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10〜14%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📊 営業利益率トレンドイメージ</w:t>
        <w:br/>
        <w:br/>
        <w:t xml:space="preserve">  17% ┤                              ▲（FY2025推定上限）</w:t>
        <w:br/>
        <w:t xml:space="preserve">  15% ┤                    ▲         </w:t>
        <w:br/>
        <w:t xml:space="preserve">  13% ┤          ▲               </w:t>
        <w:br/>
        <w:t xml:space="preserve">  11% ┤  ▲               </w:t>
        <w:br/>
        <w:t xml:space="preserve">   9% ┤</w:t>
        <w:br/>
        <w:t xml:space="preserve">       FY22    FY23    FY24    FY25E</w:t>
        <w:br/>
        <w:t xml:space="preserve">       </w:t>
        <w:br/>
        <w:t>→ 人件費率管理と高単価案件シフトが奏功した場合の</w:t>
        <w:br/>
        <w:t xml:space="preserve">  楽観シナリオ。採用コスト増がリスク要因。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BS・CF ハイライト（推定）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70%超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無借金or低借入。財務健全性◎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現預金残高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数億円程度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小型SaaS系に比し潤沢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10〜18%推定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低レバレッジゆえROEは抑制的だが改善余地大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15〜22%推定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WACC超過で経済的付加価値を創出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営業利益の70〜90%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Capexが軽い（知識集約型）のでFCF転換率高い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8〜14%推定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業界平均比で優位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2-3. 財務の質的評価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【強み】</w:t>
        <w:br/>
        <w:t>✅ 無形資産（技術・ノウハウ）主体で設備投資負担軽微</w:t>
        <w:br/>
        <w:t>✅ 受注から入金までのサイクルが比較的短い</w:t>
        <w:br/>
        <w:t>✅ 増配・分割を実施できる財務余力の存在を経営陣が確認済</w:t>
        <w:br/>
        <w:t>✅ SaaS/サブスクリプション要素（ソリューション事業）で</w:t>
        <w:br/>
        <w:t xml:space="preserve">   収益の予測可能性が向上</w:t>
        <w:br/>
        <w:br/>
        <w:t>【懸念】</w:t>
        <w:br/>
        <w:t>⚠️ 売上規模が小さく（10億円台）、固定費増加時の</w:t>
        <w:br/>
        <w:t xml:space="preserve">   レバレッジが二面的に働く</w:t>
        <w:br/>
        <w:t>⚠️ キーパーソンリスク（少数精鋭ゆえ）</w:t>
        <w:br/>
        <w:t>⚠️ 自動車産業の電動化移行期における案件構成変化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3-1. 前提条件（全明記）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┌──────────────────────────────────────────────┐</w:t>
        <w:br/>
        <w:t>│           DCF 前提パラメータ一覧               │</w:t>
        <w:br/>
        <w:t>├─────────────────────┬────────────────────────┤</w:t>
        <w:br/>
        <w:t>│ リスクフリーレート   │ 1.5%（JGB10Y 現在値）  │</w:t>
        <w:br/>
        <w:t>│ エクイティリスクプレ │ 6.0%                   │</w:t>
        <w:br/>
        <w:t>│ ミアム（ERP）        │ （日本市場標準：5〜7%  │</w:t>
        <w:br/>
        <w:t>│                     │  の中央値を採用）       │</w:t>
        <w:br/>
        <w:t>│ β（ベータ）         │ 1.1                    │</w:t>
        <w:br/>
        <w:t>│                     │ （東証グロース小型株    │</w:t>
        <w:br/>
        <w:t>│                     │  技術系。市場β=1.0に   │</w:t>
        <w:br/>
        <w:t>│                     │  流動性プレミアム加算） │</w:t>
        <w:br/>
        <w:t>│ WACC                │ 1.5% + 1.1×6.0%        │</w:t>
        <w:br/>
        <w:t>│                     │ = 1.5% + 6.6% = 8.1%  │</w:t>
        <w:br/>
        <w:t>│ （負債コスト）       │ ≒0%（実質無借金）      │</w:t>
        <w:br/>
        <w:t>│ ターミナル成長率 g   │ 1.5%                   │</w:t>
        <w:br/>
        <w:t>│                     │ （名目GDP成長率に保守   │</w:t>
        <w:br/>
        <w:t>│                     │  的に合わせる）         │</w:t>
        <w:br/>
        <w:t>│ 予測期間             │ 5年（FY2026〜FY2030）  │</w:t>
        <w:br/>
        <w:t>│ FCF基準値            │ 1.2億円（FY2025推定ベ  │</w:t>
        <w:br/>
        <w:t>│                     │  ースの保守的試算）     │</w:t>
        <w:br/>
        <w:t>│ 発行済株式数         │ 分割前ベースで推定      │</w:t>
        <w:br/>
        <w:t>└─────────────────────┴────────────────────────┘</w:t>
        <w:br/>
        <w:br/>
        <w:t>WACC = 8.1%（実質エクイティ100%のため WACC ≒ Ke）</w:t>
      </w:r>
    </w:p>
    <w:p/>
    <w:p>
      <w:pPr>
        <w:pStyle w:val="Heading3"/>
      </w:pPr>
      <w:r>
        <w:rPr>
          <w:rFonts w:ascii="Meiryo UI" w:hAnsi="Meiryo UI"/>
          <w:color w:val="2E74B5"/>
        </w:rPr>
        <w:t>3-2. FCF 予測（5年間）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FCF推定（億円）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割引係数(8.1%)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0.9251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1.64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0.8558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1.87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0.7917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0.7324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2.31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0.6775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1.56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7.29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FCF成長率の根拠:</w:t>
        <w:br/>
        <w:t>• FY2026-27: CASE需要拡大×増員効果で高成長期</w:t>
        <w:br/>
        <w:t>• FY2028-29: 成長鈍化、採用コスト増を織り込み</w:t>
        <w:br/>
        <w:t>• FY2030: 成熟化を意識し10%に収れん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ターミナルバリュー計算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FCF(2030) × (1 + g) / (WACC - g)</w:t>
        <w:br/>
        <w:t xml:space="preserve">   = 2.31 × 1.015 / (0.081 - 0.015)</w:t>
        <w:br/>
        <w:t xml:space="preserve">   = 2.345 / 0.066</w:t>
        <w:br/>
        <w:t xml:space="preserve">   = 35.53 億円</w:t>
        <w:br/>
        <w:br/>
        <w:t>PV of TV = 35.53 × 0.6775 = 24.07 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3-4. 企業価値・理論株価算出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エンタープライズバリュー計算                   │</w:t>
        <w:br/>
        <w:t>├────────────────────────────┬────────────────┤</w:t>
        <w:br/>
        <w:t>│ FCF予測期間PV合計           │ 7.29 億円      │</w:t>
        <w:br/>
        <w:t>│ ターミナルバリュー PV        │ 24.07 億円     │</w:t>
        <w:br/>
        <w:t>│ 企業価値（EV）合計           │ 31.36 億円     │</w:t>
        <w:br/>
        <w:t>│                            │                │</w:t>
        <w:br/>
        <w:t>│ (+) 現預金・ネットキャッシュ  │ +3.0 億円推定  │</w:t>
        <w:br/>
        <w:t>│ (-) 有利子負債               │ ≒ 0           │</w:t>
        <w:br/>
        <w:t>│ 株主価値（エクイティバリュー）│ 34.36 億円     │</w:t>
        <w:br/>
        <w:t>├────────────────────────────┴────────────────┤</w:t>
        <w:br/>
        <w:t>│ 発行済株式数（分割前推定）    約100〜120万株  │</w:t>
        <w:br/>
        <w:t>│ 理論株価（分割前）           2,860〜3,440円  │</w:t>
        <w:br/>
        <w:t>│                                              │</w:t>
        <w:br/>
        <w:t>│ ★ 分割比率1:2 を想定した場合の調整後理論株価  │</w:t>
        <w:br/>
        <w:t>│   1,430〜1,720 円                            │</w:t>
        <w:br/>
        <w:t>└─────────────────────────────────────────────┘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3-5. シナリオ別理論株価レンジ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FCF基準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理論株価（分割前）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4,200〜4,800円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2,860〜3,440円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1,800〜2,200円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4-1. 投資判断サマリー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╔══════════════════════════════════════════════╗</w:t>
        <w:br/>
        <w:t>║                                              ║</w:t>
        <w:br/>
        <w:t>║   投資判断:  ★ 買い（BUY）★               ║</w:t>
        <w:br/>
        <w:t>║                                              ║</w:t>
        <w:br/>
        <w:t>║   理論株価（Base、分割前）:                  ║</w:t>
        <w:br/>
        <w:t>║   2,860〜3,440 円                            ║</w:t>
        <w:br/>
        <w:t>║                                              ║</w:t>
        <w:br/>
        <w:t>║   分割後調整理論株価（1:2想定）:             ║</w:t>
        <w:br/>
        <w:t>║   1,430〜1,720 円                            ║</w:t>
        <w:br/>
        <w:t>║                                              ║</w:t>
        <w:br/>
        <w:t>║   アップサイド（現在株価対比）:              ║</w:t>
        <w:br/>
        <w:t>║   要確認※ / 推定+15〜35%程度               ║</w:t>
        <w:br/>
        <w:t>║                                              ║</w:t>
        <w:br/>
        <w:t>╚══════════════════════════════════════════════╝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&gt; ※ 分析日時点の実際の株価を確認のうえ、アップサイド/ダウンサイド比率を最終確認すること。</w:t>
      </w:r>
    </w:p>
    <w:p/>
    <w:p>
      <w:pPr>
        <w:pStyle w:val="Heading3"/>
      </w:pPr>
      <w:r>
        <w:rPr>
          <w:rFonts w:ascii="Meiryo UI" w:hAnsi="Meiryo UI"/>
          <w:color w:val="2E74B5"/>
        </w:rPr>
        <w:t>4-2. バリュエーション比較（参考）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エクスモーション推定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同業種小型SaaS系平均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20〜28x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25〜35x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やや割安〜適正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25〜35x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30〜45x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割安圏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P/FCF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20〜30x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28〜40x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4〜7x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適正〜やや割安</w:t>
            </w:r>
          </w:p>
        </w:tc>
      </w:tr>
    </w:tbl>
    <w:p/>
    <w:p>
      <w:r>
        <w:rPr>
          <w:rFonts w:ascii="Meiryo UI" w:hAnsi="Meiryo UI"/>
          <w:sz w:val="20"/>
        </w:rPr>
        <w:t>→ 複数指標でDCF・マルチプル双方とも「割安〜適正」を示唆。分割・増配による需給改善がカタリストとして機能すれば、マルチプル拡張（Re-rating）の余地あり。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メインシナリオ（確率: 55%）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• 自動車CASE需要が継続拡大</w:t>
        <w:br/>
        <w:t>• 採用・育成コストをコントロールしながら技術者数+10〜15%/年</w:t>
        <w:br/>
        <w:t>• ソリューション事業のSaaS/サブスク化が進捗</w:t>
        <w:br/>
        <w:t>• 株式分割で個人投資家層が拡大→出来高改善→機関投資家注目</w:t>
        <w:br/>
        <w:br/>
        <w:t>【業績シナリオ】</w:t>
        <w:br/>
        <w:t>FY2026: 売上+15%、営業利益率15〜17%維持</w:t>
        <w:br/>
        <w:t>FY2027: 売上+13%、ソリューション比率拡大でGM改善</w:t>
        <w:br/>
        <w:t>FY2028: 売上+10〜12%、利益成長率が売上成長率を上回る</w:t>
        <w:br/>
        <w:br/>
        <w:t>【株価インパクト】</w:t>
        <w:br/>
        <w:t>分割発表後1〜3ヶ月: +20〜35%（需給主導）</w:t>
        <w:br/>
        <w:t>12ヶ月後:           +25〜40%（業績+バリュエーション双方）</w:t>
        <w:br/>
        <w:t>理論株価:           3,200〜3,440円（分割前）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強気シナリオ（確率: 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• 海外自動車メーカーへの展開成功</w:t>
        <w:br/>
        <w:t>• 生成AI活用による開発効率化でGM+5pt改善</w:t>
        <w:br/>
        <w:t>• 東証グロース250or他指数への採用</w:t>
        <w:br/>
        <w:br/>
        <w:t>【株価インパクト】</w:t>
        <w:br/>
        <w:t>12ヶ月後: +50〜80%</w:t>
        <w:br/>
        <w:t>理論株価: 4,200〜4,800円（分割前）</w:t>
      </w:r>
    </w:p>
    <w:p/>
    <w:p>
      <w:pPr>
        <w:pStyle w:val="Heading3"/>
      </w:pPr>
      <w:r>
        <w:rPr>
          <w:rFonts w:ascii="Meiryo UI" w:hAnsi="Meiryo UI"/>
          <w:color w:val="2E74B5"/>
        </w:rPr>
        <w:t>5-3. リスクシナリオ（確率: 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【前提・リスク要因】</w:t>
        <w:br/>
        <w:t>⚠️ 自動車産業の投資抑制（EV移行停滞・関税戦争影響）</w:t>
        <w:br/>
        <w:t>⚠️ エンジニア採用競争激化による人件費急騰</w:t>
        <w:br/>
        <w:t>⚠️ キーパーソン離脱</w:t>
        <w:br/>
        <w:t>⚠️ 大手ITベンダーの同領域参入</w:t>
        <w:br/>
        <w:br/>
        <w:t>【業績シナリオ】</w:t>
        <w:br/>
        <w:t>FY2026: 売上+5%止まり、営業利益率10%割れ</w:t>
        <w:br/>
        <w:t>FY2027: 採用コスト先行で一時的減益</w:t>
        <w:br/>
        <w:br/>
        <w:t>【株価インパクト】</w:t>
        <w:br/>
        <w:t>12ヶ月後: -15〜25%</w:t>
        <w:br/>
        <w:t>理論株価: 1,800〜2,200円（分割前）</w:t>
      </w:r>
    </w:p>
    <w:p/>
    <w:p>
      <w:pPr>
        <w:pStyle w:val="Heading3"/>
      </w:pPr>
      <w:r>
        <w:rPr>
          <w:rFonts w:ascii="Meiryo UI" w:hAnsi="Meiryo UI"/>
          <w:color w:val="2E74B5"/>
        </w:rPr>
        <w:t>5-4. 最悪シナリオ（確率: 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• 主要顧客の開発凍結・発注停止</w:t>
        <w:br/>
        <w:t>• 財務上の問題発覚（会計リスク）</w:t>
        <w:br/>
        <w:br/>
        <w:t>【株価インパクト】</w:t>
        <w:br/>
        <w:t>-40%以上。損切りライン到達で即時撤退。</w:t>
      </w:r>
    </w:p>
    <w:p/>
    <w:p>
      <w:pPr>
        <w:pStyle w:val="Heading3"/>
      </w:pPr>
      <w:r>
        <w:rPr>
          <w:rFonts w:ascii="Meiryo UI" w:hAnsi="Meiryo UI"/>
          <w:color w:val="2E74B5"/>
        </w:rPr>
        <w:t>5-5. シナリオ分布まとめ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       ┌──────────────────────────────────────┐</w:t>
        <w:br/>
        <w:t>確率      │                                      │</w:t>
        <w:br/>
        <w:t xml:space="preserve">  55%   ─┼──── メインシナリオ ────────────────── │</w:t>
        <w:br/>
        <w:t xml:space="preserve">  20%   ─┼── 強気 ────                          │</w:t>
        <w:br/>
        <w:t xml:space="preserve">  20%   ─┼──── リスク ──                        │</w:t>
        <w:br/>
        <w:t xml:space="preserve">   5%   ─┼─ 最悪                                │</w:t>
        <w:br/>
        <w:t xml:space="preserve">         └──────────────────────────────────────┘</w:t>
        <w:br/>
        <w:t xml:space="preserve">         -40%  -20%   0%  +20%  +40%  +60%  +80%</w:t>
        <w:br/>
        <w:t xml:space="preserve">                     ↑現在株価</w:t>
        <w:br/>
        <w:br/>
        <w:t>期待値ベース上昇率: 約+18〜22%（加重平均）</w:t>
        <w:br/>
        <w:t>リスクリワード比:   概ね 2:1〜3:1 → 投資適格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6-1. センチメント vs 本源的価値 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┌─────────────────────────────────────────────────┐</w:t>
        <w:br/>
        <w:t>│         センチメント・本源的価値マトリクス          │</w:t>
        <w:br/>
        <w:t>│                                                 │</w:t>
        <w:br/>
        <w:t>│  本源的     高 ┤         ★エクスモーション        │</w:t>
        <w:br/>
        <w:t>│  価値       　 ┤         （基本シナリオ）          │</w:t>
        <w:br/>
        <w:t>│  （DCF）    中 ┤    ●現在地                      │</w:t>
        <w:br/>
        <w:t>│            低 ┤                                 │</w:t>
        <w:br/>
        <w:t>│               └────────────────────────────     │</w:t>
        <w:br/>
        <w:t>│               低      中      高                │</w:t>
        <w:br/>
        <w:t>│                    センチメント（浅井速報スコア）   │</w:t>
        <w:br/>
        <w:t>└─────────────────────────────────────────────────┘</w:t>
        <w:br/>
        <w:br/>
        <w:t>浅井速報スコア: +78（やや強気・BUY）</w:t>
        <w:br/>
        <w:t>深井DCF評価:   買い（本源的価値に対して割安〜適正）</w:t>
        <w:br/>
        <w:br/>
        <w:t>→ センチメントと本源的価値が「同方向」に整合。</w:t>
        <w:br/>
        <w:t xml:space="preserve">  ギャップは小さく、過度な楽観はない。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6-2. 浅井コメント精査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浅井の論点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深井の評価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株式分割で個人投資家の参入障壁低下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同意。小型株では需給インパクト大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整合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需給が大幅改善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同意だが、過度な期待は禁物。流動性改善は段階的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概ね整合（やや慎重）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指数組み入れ期待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流動性基準次第。短期では確実性低い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要慎重（中長期の話）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増配シグナルの強さ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FCF余力から見て持続可能と判断。正当なシグナル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整合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6-3. 統合評価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╔══════════════════════════════════════════════════╗</w:t>
        <w:br/>
        <w:t>║  浅井速報（センチメント）: +78 BUY               ║</w:t>
        <w:br/>
        <w:t>║  深井DCF（本源的価値）:   BUY                    ║</w:t>
        <w:br/>
        <w:t>║                                                  ║</w:t>
        <w:br/>
        <w:t>║  → 統合判断: BUY ★                             ║</w:t>
        <w:br/>
        <w:t>║                                                  ║</w:t>
        <w:br/>
        <w:t>║  両者が同方向でアライン。                         ║</w:t>
        <w:br/>
        <w:t>║  センチメント主導の短期上昇に加え、               ║</w:t>
        <w:br/>
        <w:t>║  DCFが示す本源的割安感が下値支持として機能。      ║</w:t>
        <w:br/>
        <w:t>║                                                  ║</w:t>
        <w:br/>
        <w:t>║  ただし指数組み入れ期待の織り込みには慎重を要す。  ║</w:t>
        <w:br/>
        <w:t>║  短期過熱後の「材料出尽くし」リスクを            ║</w:t>
        <w:br/>
        <w:t>║  エントリータイミングで考慮すること。             ║</w:t>
        <w:br/>
        <w:t>╚══════════════════════════════════════════════════╝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社長への推奨アクション</w:t>
      </w:r>
    </w:p>
    <w:p/>
    <w:p>
      <w:r>
        <w:rPr>
          <w:rFonts w:ascii="Meiryo UI" w:hAnsi="Meiryo UI"/>
          <w:sz w:val="20"/>
        </w:rPr>
        <w:t>&gt; ここでいう「社長」は竹村トレードカンパニーの意思決定者として、エクスモーション株への投資判断を行う主体として記述する。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【推奨アプローチ: 分割建て・段階買い】</w:t>
        <w:br/>
        <w:br/>
        <w:t>■ Phase 1（今すぐ〜1週間以内）: 全体の40%</w:t>
        <w:br/>
        <w:t xml:space="preserve">  • 分割・増配発表直後の初期上昇局面でエントリー</w:t>
        <w:br/>
        <w:t xml:space="preserve">  • 過度な出来高急増時は少し待ち、</w:t>
        <w:br/>
        <w:t xml:space="preserve">    1回目の調整入りを狙う「押し目エントリー」を推奨</w:t>
        <w:br/>
        <w:t xml:space="preserve">  • 目安価格: 現在株価±5%以内</w:t>
        <w:br/>
        <w:br/>
        <w:t>■ Phase 2（2〜4週間後）: 全体の40%</w:t>
        <w:br/>
        <w:t xml:space="preserve">  • 分割後の権利落ち前後の需給安定期に追加</w:t>
        <w:br/>
        <w:t xml:space="preserve">  • 決算発表（1Q or 中間）確認後に業績裏付けを取る</w:t>
        <w:br/>
        <w:t xml:space="preserve">  • 目安価格: Phase1から-5〜-10%の押し目</w:t>
        <w:br/>
        <w:br/>
        <w:t>■ Phase 3（2〜3ヶ月後）: 全体の20%</w:t>
        <w:br/>
        <w:t xml:space="preserve">  • 中間配当の実績確認後、持続的増配の確信度上昇時</w:t>
        <w:br/>
        <w:t xml:space="preserve">  • 業績モメンタムが維持されていれば追加</w:t>
        <w:br/>
        <w:t xml:space="preserve">  • 目安価格: 状況次第（見送りも選択肢）</w:t>
        <w:br/>
        <w:br/>
        <w:t>【ポジションサイズ推奨】</w:t>
        <w:br/>
        <w:t>• 小型グロース株（流動性リスクあり）ゆえ</w:t>
        <w:br/>
        <w:t xml:space="preserve">  ポートフォリオの3〜5%程度を上限目安に</w:t>
      </w:r>
    </w:p>
    <w:p/>
    <w:p>
      <w:pPr>
        <w:pStyle w:val="Heading3"/>
      </w:pPr>
      <w:r>
        <w:rPr>
          <w:rFonts w:ascii="Meiryo UI" w:hAnsi="Meiryo UI"/>
          <w:color w:val="2E74B5"/>
        </w:rPr>
        <w:t>7-2. 損切りライン（ストップロス）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【損切りライン設定】</w:t>
        <w:br/>
        <w:br/>
        <w:t>ハードストップ（絶対撤退ライン）:</w:t>
        <w:br/>
        <w:t xml:space="preserve">  エントリー価格から -20%</w:t>
        <w:br/>
        <w:br/>
        <w:t>ソフトアラート（再評価トリガー）:</w:t>
        <w:br/>
        <w:t xml:space="preserve">  エントリー価格から -12%</w:t>
        <w:br/>
        <w:t xml:space="preserve">  → ポジション縮小 or ホールド継続を再判断</w:t>
        <w:br/>
        <w:br/>
        <w:t>損切り発動条件（価格以外）:</w:t>
        <w:br/>
        <w:t xml:space="preserve">  ① 業績予想の大幅下方修正（-15%以上）</w:t>
        <w:br/>
        <w:t xml:space="preserve">  ② キーパーソン（創業者・技術責任者）の突然の退任</w:t>
        <w:br/>
        <w:t xml:space="preserve">  ③ 主要顧客（自動車OEM）との取引停止・大幅縮小</w:t>
        <w:br/>
        <w:t xml:space="preserve">  ④ 増配撤回・配当方針の逆転</w:t>
        <w:br/>
        <w:t xml:space="preserve">  ⑤ 不適切会計の疑義報道</w:t>
      </w:r>
    </w:p>
    <w:p/>
    <w:p>
      <w:pPr>
        <w:pStyle w:val="Heading3"/>
      </w:pPr>
      <w:r>
        <w:rPr>
          <w:rFonts w:ascii="Meiryo UI" w:hAnsi="Meiryo UI"/>
          <w:color w:val="2E74B5"/>
        </w:rPr>
        <w:t>7-3. 利益確定（テイクプロフィット）戦略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【段階的利益確定】</w:t>
        <w:br/>
        <w:br/>
        <w:t>TP1: エントリー価格 +20% → ポジションの30%を売却</w:t>
        <w:br/>
        <w:t xml:space="preserve">     （分割後の短期需給インパクト享受）</w:t>
        <w:br/>
        <w:br/>
        <w:t>TP2: エントリー価格 +35% → ポジションの30%を売却</w:t>
        <w:br/>
        <w:t xml:space="preserve">     （DCF Base理論株価圏内での一部利確）</w:t>
        <w:br/>
        <w:br/>
        <w:t>TP3: エントリー価格 +50%以上 → 状況次第</w:t>
        <w:br/>
        <w:t xml:space="preserve">     強気シナリオ進行中なら残りをホールド</w:t>
        <w:br/>
        <w:t xml:space="preserve">     業績モメンタム鈍化なら全部売却を検討</w:t>
        <w:br/>
        <w:br/>
        <w:t>残りポジション: 中長期保有（12ヶ月超）</w:t>
        <w:br/>
        <w:t xml:space="preserve">     ソリューション比率拡大・指数組み入れ実現時に</w:t>
        <w:br/>
        <w:t xml:space="preserve">     Bull Case理論株価へのアップサイドを狙う</w:t>
      </w:r>
    </w:p>
    <w:p/>
    <w:p>
      <w:pPr>
        <w:pStyle w:val="Heading3"/>
      </w:pPr>
      <w:r>
        <w:rPr>
          <w:rFonts w:ascii="Meiryo UI" w:hAnsi="Meiryo UI"/>
          <w:color w:val="2E74B5"/>
        </w:rPr>
        <w:t>7-4. モニタリング項目（定期チェックリスト）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【月次チェック】</w:t>
        <w:br/>
        <w:t>□ 株価・出来高トレンド（流動性改善の進捗）</w:t>
        <w:br/>
        <w:t>□ 東証グロース250の構成銘柄見直し情報</w:t>
        <w:br/>
        <w:t>□ 自動車産業の設備投資動向（主要顧客の健全性）</w:t>
        <w:br/>
        <w:br/>
        <w:t>【四半期チェック（決算時）】</w:t>
        <w:br/>
        <w:t>□ 売上成長率（+10%以上をキープできているか）</w:t>
        <w:br/>
        <w:t>□ 営業利益率（13%以上を維持できているか）</w:t>
        <w:br/>
        <w:t>□ FCF創出（営業利益の70%以上転換できているか）</w:t>
        <w:br/>
        <w:t>□ 配当方針の継続確認</w:t>
        <w:br/>
        <w:t>□ 受注残・パイプラインのコメント確認</w:t>
        <w:br/>
        <w:br/>
        <w:t>【イベント時】</w:t>
        <w:br/>
        <w:t>□ 人事異動・役員変更リリース（キーパーソンリスク）</w:t>
        <w:br/>
        <w:t>□ 大株主変動（大量保有報告書）</w:t>
        <w:br/>
        <w:t>□ 競合他社の同領域参入ニュース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