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強化版レポート — [4394] エクスモーション 上方修正「Why」深掘り完全版</w:t>
      </w:r>
    </w:p>
    <w:p/>
    <w:p/>
    <w:p>
      <w:pPr>
        <w:jc w:val="center"/>
      </w:pPr>
      <w:r>
        <w:rPr>
          <w:rFonts w:ascii="Meiryo UI" w:hAnsi="Meiryo UI"/>
          <w:sz w:val="24"/>
        </w:rPr>
        <w:t>アナリスト：深井</w:t>
      </w:r>
    </w:p>
    <w:p>
      <w:pPr>
        <w:jc w:val="center"/>
      </w:pPr>
      <w:r>
        <w:rPr>
          <w:rFonts w:ascii="Meiryo UI" w:hAnsi="Meiryo UI"/>
          <w:sz w:val="24"/>
        </w:rPr>
        <w:t>分析日：2026年04月04日</w:t>
      </w:r>
    </w:p>
    <w:p>
      <w:r>
        <w:br w:type="page"/>
      </w:r>
    </w:p>
    <w:p>
      <w:pPr>
        <w:pStyle w:val="Heading1"/>
      </w:pPr>
      <w:r>
        <w:rPr>
          <w:rFonts w:ascii="Meiryo UI" w:hAnsi="Meiryo UI"/>
          <w:color w:val="1F3864"/>
        </w:rPr>
        <w:t>深井 強化版レポート — [4394] エクスモーション 上方修正「Why」深掘り完全版</w:t>
      </w:r>
    </w:p>
    <w:p>
      <w:r>
        <w:rPr>
          <w:rFonts w:ascii="Meiryo UI" w:hAnsi="Meiryo UI"/>
          <w:sz w:val="20"/>
        </w:rPr>
        <w:t>作成日時: 2026年04月04日  |  アナリスト: 深井  |  版: 強化版v2（上方修正Why分析追加）</w:t>
      </w:r>
    </w:p>
    <w:p/>
    <w:p>
      <w:r>
        <w:t>──────────────────────────────────────────────────</w:t>
      </w:r>
    </w:p>
    <w:p/>
    <w:p>
      <w:r>
        <w:rPr>
          <w:rFonts w:ascii="Meiryo UI" w:hAnsi="Meiryo UI"/>
          <w:sz w:val="20"/>
        </w:rPr>
        <w:t>&gt; 免責事項: 本レポートは竹村トレードカンパニー内部使用を目的とした投資調査資料です。本レポートに記載された情報・分析・推奨は、公開情報および推定・分析に基づくものであり、投資助言を構成するものではありません。投資判断は各自の責任においてなされるべきものです。</w:t>
      </w:r>
    </w:p>
    <w:p/>
    <w:p>
      <w:r>
        <w:t>──────────────────────────────────────────────────</w:t>
      </w:r>
    </w:p>
    <w:p/>
    <w:p>
      <w:pPr>
        <w:pStyle w:val="Heading2"/>
      </w:pPr>
      <w:r>
        <w:rPr>
          <w:rFonts w:ascii="Meiryo UI" w:hAnsi="Meiryo UI"/>
          <w:color w:val="2E74B5"/>
        </w:rPr>
        <w:t>目次</w:t>
      </w:r>
    </w:p>
    <w:p/>
    <w:p>
      <w:pPr>
        <w:pStyle w:val="ListNumber"/>
      </w:pPr>
      <w:r>
        <w:rPr>
          <w:rFonts w:ascii="Meiryo UI" w:hAnsi="Meiryo UI"/>
          <w:sz w:val="20"/>
        </w:rPr>
        <w:t>エグゼクティブサマリー</w:t>
      </w:r>
    </w:p>
    <w:p>
      <w:pPr>
        <w:pStyle w:val="ListNumber"/>
      </w:pPr>
      <w:r>
        <w:rPr>
          <w:rFonts w:ascii="Meiryo UI" w:hAnsi="Meiryo UI"/>
          <w:sz w:val="20"/>
        </w:rPr>
        <w:t>【★最重要】上方修正の「Why」徹底解剖</w:t>
      </w:r>
    </w:p>
    <w:p>
      <w:pPr>
        <w:pStyle w:val="ListNumber"/>
      </w:pPr>
      <w:r>
        <w:rPr>
          <w:rFonts w:ascii="Meiryo UI" w:hAnsi="Meiryo UI"/>
          <w:sz w:val="20"/>
        </w:rPr>
        <w:t>1Q実績詳細分析</w:t>
      </w:r>
    </w:p>
    <w:p>
      <w:pPr>
        <w:pStyle w:val="ListNumber"/>
      </w:pPr>
      <w:r>
        <w:rPr>
          <w:rFonts w:ascii="Meiryo UI" w:hAnsi="Meiryo UI"/>
          <w:sz w:val="20"/>
        </w:rPr>
        <w:t>株式分割＋増配統合評価</w:t>
      </w:r>
    </w:p>
    <w:p>
      <w:pPr>
        <w:pStyle w:val="ListNumber"/>
      </w:pPr>
      <w:r>
        <w:rPr>
          <w:rFonts w:ascii="Meiryo UI" w:hAnsi="Meiryo UI"/>
          <w:sz w:val="20"/>
        </w:rPr>
        <w:t>ビジネスモデル深掘り</w:t>
      </w:r>
    </w:p>
    <w:p>
      <w:pPr>
        <w:pStyle w:val="ListNumber"/>
      </w:pPr>
      <w:r>
        <w:rPr>
          <w:rFonts w:ascii="Meiryo UI" w:hAnsi="Meiryo UI"/>
          <w:sz w:val="20"/>
        </w:rPr>
        <w:t>DCFバリュエーション</w:t>
      </w:r>
    </w:p>
    <w:p>
      <w:pPr>
        <w:pStyle w:val="ListNumber"/>
      </w:pPr>
      <w:r>
        <w:rPr>
          <w:rFonts w:ascii="Meiryo UI" w:hAnsi="Meiryo UI"/>
          <w:sz w:val="20"/>
        </w:rPr>
        <w:t>リスクシナリオ分析</w:t>
      </w:r>
    </w:p>
    <w:p>
      <w:pPr>
        <w:pStyle w:val="ListNumber"/>
      </w:pPr>
      <w:r>
        <w:rPr>
          <w:rFonts w:ascii="Meiryo UI" w:hAnsi="Meiryo UI"/>
          <w:sz w:val="20"/>
        </w:rPr>
        <w:t>社長への推奨アクション</w:t>
      </w:r>
    </w:p>
    <w:p>
      <w:pPr>
        <w:pStyle w:val="ListNumber"/>
      </w:pPr>
      <w:r>
        <w:rPr>
          <w:rFonts w:ascii="Meiryo UI" w:hAnsi="Meiryo UI"/>
          <w:sz w:val="20"/>
        </w:rPr>
        <w:t>投資判断サマリー</w:t>
      </w:r>
    </w:p>
    <w:p/>
    <w:p>
      <w:r>
        <w:t>──────────────────────────────────────────────────</w:t>
      </w:r>
    </w:p>
    <w:p/>
    <w:p>
      <w:pPr>
        <w:pStyle w:val="Heading2"/>
      </w:pPr>
      <w:r>
        <w:rPr>
          <w:rFonts w:ascii="Meiryo UI" w:hAnsi="Meiryo UI"/>
          <w:color w:val="2E74B5"/>
        </w:rPr>
        <w:t>1. エグゼクティブサマリー</w:t>
      </w:r>
    </w:p>
    <w:p/>
    <w:p>
      <w:pPr>
        <w:pStyle w:val="Heading3"/>
      </w:pPr>
      <w:r>
        <w:rPr>
          <w:rFonts w:ascii="Meiryo UI" w:hAnsi="Meiryo UI"/>
          <w:color w:val="2E74B5"/>
        </w:rPr>
        <w:t>投資判断・理論株価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理論株価（分割後）</w:t>
            </w:r>
          </w:p>
        </w:tc>
        <w:tc>
          <w:tcPr>
            <w:tcW w:type="dxa" w:w="2351"/>
            <w:shd w:val="clear" w:color="auto" w:fill="2E74B5"/>
          </w:tcPr>
          <w:p>
            <w:r>
              <w:rPr>
                <w:rFonts w:ascii="Meiryo UI" w:hAnsi="Meiryo UI"/>
                <w:b/>
                <w:color w:val="FFFFFF"/>
                <w:sz w:val="18"/>
              </w:rPr>
              <w:t>前版比</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ベースケース</w:t>
            </w:r>
          </w:p>
        </w:tc>
        <w:tc>
          <w:tcPr>
            <w:tcW w:type="dxa" w:w="2351"/>
          </w:tcPr>
          <w:p>
            <w:r>
              <w:rPr>
                <w:rFonts w:ascii="Meiryo UI" w:hAnsi="Meiryo UI"/>
                <w:sz w:val="18"/>
              </w:rPr>
              <w:t>¥784</w:t>
            </w:r>
          </w:p>
        </w:tc>
        <w:tc>
          <w:tcPr>
            <w:tcW w:type="dxa" w:w="2351"/>
          </w:tcPr>
          <w:p>
            <w:r>
              <w:rPr>
                <w:rFonts w:ascii="Meiryo UI" w:hAnsi="Meiryo UI"/>
                <w:sz w:val="18"/>
              </w:rPr>
              <w:t>＋</w:t>
            </w:r>
          </w:p>
        </w:tc>
        <w:tc>
          <w:tcPr>
            <w:tcW w:type="dxa" w:w="2351"/>
          </w:tcPr>
          <w:p>
            <w:r>
              <w:rPr>
                <w:rFonts w:ascii="Meiryo UI" w:hAnsi="Meiryo UI"/>
                <w:sz w:val="18"/>
              </w:rPr>
              <w:t>構造的利益改善を織り込み</w:t>
            </w:r>
          </w:p>
        </w:tc>
      </w:tr>
      <w:tr>
        <w:tc>
          <w:tcPr>
            <w:tcW w:type="dxa" w:w="2351"/>
            <w:shd w:val="clear" w:color="auto" w:fill="DDEBF7"/>
          </w:tcPr>
          <w:p>
            <w:r>
              <w:rPr>
                <w:rFonts w:ascii="Meiryo UI" w:hAnsi="Meiryo UI"/>
                <w:sz w:val="18"/>
              </w:rPr>
              <w:t>ブルケース</w:t>
            </w:r>
          </w:p>
        </w:tc>
        <w:tc>
          <w:tcPr>
            <w:tcW w:type="dxa" w:w="2351"/>
            <w:shd w:val="clear" w:color="auto" w:fill="DDEBF7"/>
          </w:tcPr>
          <w:p>
            <w:r>
              <w:rPr>
                <w:rFonts w:ascii="Meiryo UI" w:hAnsi="Meiryo UI"/>
                <w:sz w:val="18"/>
              </w:rPr>
              <w:t>¥1,025</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FY OP ¥240M以上達成時</w:t>
            </w:r>
          </w:p>
        </w:tc>
      </w:tr>
      <w:tr>
        <w:tc>
          <w:tcPr>
            <w:tcW w:type="dxa" w:w="2351"/>
          </w:tcPr>
          <w:p>
            <w:r>
              <w:rPr>
                <w:rFonts w:ascii="Meiryo UI" w:hAnsi="Meiryo UI"/>
                <w:sz w:val="18"/>
              </w:rPr>
              <w:t>ベアケース</w:t>
            </w:r>
          </w:p>
        </w:tc>
        <w:tc>
          <w:tcPr>
            <w:tcW w:type="dxa" w:w="2351"/>
          </w:tcPr>
          <w:p>
            <w:r>
              <w:rPr>
                <w:rFonts w:ascii="Meiryo UI" w:hAnsi="Meiryo UI"/>
                <w:sz w:val="18"/>
              </w:rPr>
              <w:t>¥520</w:t>
            </w:r>
          </w:p>
        </w:tc>
        <w:tc>
          <w:tcPr>
            <w:tcW w:type="dxa" w:w="2351"/>
          </w:tcPr>
          <w:p>
            <w:r>
              <w:rPr>
                <w:rFonts w:ascii="Meiryo UI" w:hAnsi="Meiryo UI"/>
                <w:sz w:val="18"/>
              </w:rPr>
              <w:t>—</w:t>
            </w:r>
          </w:p>
        </w:tc>
        <w:tc>
          <w:tcPr>
            <w:tcW w:type="dxa" w:w="2351"/>
          </w:tcPr>
          <w:p>
            <w:r>
              <w:rPr>
                <w:rFonts w:ascii="Meiryo UI" w:hAnsi="Meiryo UI"/>
                <w:sz w:val="18"/>
              </w:rPr>
              <w:t>上方修正の一過性判明時</w:t>
            </w:r>
          </w:p>
        </w:tc>
      </w:tr>
    </w:tbl>
    <w:p/>
    <w:p>
      <w:r>
        <w:rPr>
          <w:rFonts w:ascii="Meiryo UI" w:hAnsi="Meiryo UI"/>
          <w:sz w:val="20"/>
        </w:rPr>
        <w:t>&gt; 分割前換算: ベースケース ¥1,568、ブルケース ¥2,050、ベアケース ¥1,040</w:t>
      </w:r>
    </w:p>
    <w:p/>
    <w:p>
      <w:pPr>
        <w:pStyle w:val="Heading3"/>
      </w:pPr>
      <w:r>
        <w:rPr>
          <w:rFonts w:ascii="Meiryo UI" w:hAnsi="Meiryo UI"/>
          <w:color w:val="2E74B5"/>
        </w:rPr>
        <w:t>核心メッセージ（3行サマリー）</w:t>
      </w:r>
    </w:p>
    <w:p/>
    <w:p>
      <w:pPr>
        <w:pStyle w:val="ListNumber"/>
      </w:pPr>
      <w:r>
        <w:rPr>
          <w:rFonts w:ascii="Meiryo UI" w:hAnsi="Meiryo UI"/>
          <w:sz w:val="20"/>
        </w:rPr>
        <w:t>2026年4月3日発表の1Q実績は「驚愕」の一言：営業利益¥57M（+54.9% YoY）、営業利益率15.9%（前年10.8%）は、会社期初ガイダンスを大幅に超える水準であり、単純進捗率27.9%は通期ペースを大きく先行する。</w:t>
      </w:r>
    </w:p>
    <w:p/>
    <w:p>
      <w:pPr>
        <w:pStyle w:val="ListNumber"/>
      </w:pPr>
      <w:r>
        <w:rPr>
          <w:rFonts w:ascii="Meiryo UI" w:hAnsi="Meiryo UI"/>
          <w:sz w:val="20"/>
        </w:rPr>
        <w:t>上方修正の本質は「構造的（70%）＋一過性（30%）」：サブスクリプション比率の改善による営業レバレッジ効果が主因。クラウドコスト削減・大型案件前倒しは副次的要因。通期の「真の」OP推計は¥220-230M（ガイダンス¥204M比+8-13%）と判断する。</w:t>
      </w:r>
    </w:p>
    <w:p/>
    <w:p>
      <w:pPr>
        <w:pStyle w:val="ListNumber"/>
      </w:pPr>
      <w:r>
        <w:rPr>
          <w:rFonts w:ascii="Meiryo UI" w:hAnsi="Meiryo UI"/>
          <w:sz w:val="20"/>
        </w:rPr>
        <w:t>株式分割＋増配は株主価値最大化の明確なシグナル：分割後配当¥15（年間）は前年¥20の実質+50%増配。流動性改善と個人投資家層の拡大は中長期的な株価プレミアムを正当化する。</w:t>
      </w:r>
    </w:p>
    <w:p/>
    <w:p>
      <w:pPr>
        <w:pStyle w:val="Heading3"/>
      </w:pPr>
      <w:r>
        <w:rPr>
          <w:rFonts w:ascii="Meiryo UI" w:hAnsi="Meiryo UI"/>
          <w:color w:val="2E74B5"/>
        </w:rPr>
        <w:t>アクションサマリー</w:t>
      </w:r>
    </w:p>
    <w:p/>
    <w:p>
      <w:pPr>
        <w:shd w:val="clear" w:color="auto" w:fill="F2F2F2"/>
      </w:pPr>
      <w:r>
        <w:rPr>
          <w:rFonts w:ascii="Courier New" w:hAnsi="Courier New"/>
          <w:sz w:val="16"/>
        </w:rPr>
        <w:t>推奨アクション: BUY（積極買い推奨）</w:t>
        <w:br/>
        <w:t>目標株価（分割後）: ¥784（12ヶ月）</w:t>
        <w:br/>
        <w:t>ストップロス（分割後）: ¥580</w:t>
        <w:br/>
        <w:t>保有期間目安: 12〜18ヶ月</w:t>
        <w:br/>
        <w:t>ポジションサイズ: 中〜大（コア銘柄として検討）</w:t>
      </w:r>
    </w:p>
    <w:p/>
    <w:p>
      <w:r>
        <w:t>──────────────────────────────────────────────────</w:t>
      </w:r>
    </w:p>
    <w:p/>
    <w:p>
      <w:pPr>
        <w:pStyle w:val="Heading2"/>
      </w:pPr>
      <w:r>
        <w:rPr>
          <w:rFonts w:ascii="Meiryo UI" w:hAnsi="Meiryo UI"/>
          <w:color w:val="2E74B5"/>
        </w:rPr>
        <w:t>2. 【★最重要】上方修正の「Why」徹底解剖</w:t>
      </w:r>
    </w:p>
    <w:p/>
    <w:p>
      <w:pPr>
        <w:pStyle w:val="Heading3"/>
      </w:pPr>
      <w:r>
        <w:rPr>
          <w:rFonts w:ascii="Meiryo UI" w:hAnsi="Meiryo UI"/>
          <w:color w:val="2E74B5"/>
        </w:rPr>
        <w:t>2-0. はじめに — この分析が「なぜ」重要か</w:t>
      </w:r>
    </w:p>
    <w:p/>
    <w:p>
      <w:r>
        <w:rPr>
          <w:rFonts w:ascii="Meiryo UI" w:hAnsi="Meiryo UI"/>
          <w:sz w:val="20"/>
        </w:rPr>
        <w:t>市場参加者の多くは「上方修正 → 株価上昇」という単純反応をする。しかし、真のアルファは「その上方修正が持続するか否か」を見極めることにある。一過性の特需や原価の偶発的な低下によるものであれば、株価の上昇余地は限定的だ。逆に、ビジネスモデルの構造的改善が背景にあるならば、アナリスト全体の来期以降の推計修正は時間差で発生し、先行して織り込んだ投資家に超過リターンをもたらす。</w:t>
      </w:r>
    </w:p>
    <w:p/>
    <w:p>
      <w:r>
        <w:rPr>
          <w:rFonts w:ascii="Meiryo UI" w:hAnsi="Meiryo UI"/>
          <w:sz w:val="20"/>
        </w:rPr>
        <w:t>本章では以下の3ステップで「Why」を徹底解剖する：</w:t>
      </w:r>
    </w:p>
    <w:p/>
    <w:p>
      <w:pPr>
        <w:pStyle w:val="ListBullet"/>
      </w:pPr>
      <w:r>
        <w:rPr>
          <w:rFonts w:ascii="Meiryo UI" w:hAnsi="Meiryo UI"/>
          <w:sz w:val="20"/>
        </w:rPr>
        <w:t>Step 1: 3ヶ月前（期初ガイダンス時点）との定量比較</w:t>
      </w:r>
    </w:p>
    <w:p>
      <w:pPr>
        <w:pStyle w:val="ListBullet"/>
      </w:pPr>
      <w:r>
        <w:rPr>
          <w:rFonts w:ascii="Meiryo UI" w:hAnsi="Meiryo UI"/>
          <w:sz w:val="20"/>
        </w:rPr>
        <w:t>Step 2: 改善要因の3分解（具体的数値付き）</w:t>
      </w:r>
    </w:p>
    <w:p>
      <w:pPr>
        <w:pStyle w:val="ListBullet"/>
      </w:pPr>
      <w:r>
        <w:rPr>
          <w:rFonts w:ascii="Meiryo UI" w:hAnsi="Meiryo UI"/>
          <w:sz w:val="20"/>
        </w:rPr>
        <w:t>Step 3: 「一過性」か「構造的」かの最終判定</w:t>
      </w:r>
    </w:p>
    <w:p/>
    <w:p>
      <w:r>
        <w:t>──────────────────────────────────────────────────</w:t>
      </w:r>
    </w:p>
    <w:p/>
    <w:p>
      <w:pPr>
        <w:pStyle w:val="Heading3"/>
      </w:pPr>
      <w:r>
        <w:rPr>
          <w:rFonts w:ascii="Meiryo UI" w:hAnsi="Meiryo UI"/>
          <w:color w:val="2E74B5"/>
        </w:rPr>
        <w:t>2-1. Step 1: 3ヶ月前（期初ガイダンス）との定量比較</w:t>
      </w:r>
    </w:p>
    <w:p/>
    <w:p>
      <w:pPr>
        <w:pStyle w:val="Heading4"/>
      </w:pPr>
      <w:r>
        <w:rPr>
          <w:rFonts w:ascii="Meiryo UI" w:hAnsi="Meiryo UI"/>
          <w:color w:val="2E74B5"/>
        </w:rPr>
        <w:t>タイムライン整理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時点</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主要数値</w:t>
            </w:r>
          </w:p>
        </w:tc>
      </w:tr>
      <w:tr>
        <w:tc>
          <w:tcPr>
            <w:tcW w:type="dxa" w:w="3135"/>
          </w:tcPr>
          <w:p>
            <w:r>
              <w:rPr>
                <w:rFonts w:ascii="Meiryo UI" w:hAnsi="Meiryo UI"/>
                <w:sz w:val="18"/>
              </w:rPr>
              <w:t>2025年12月初旬</w:t>
            </w:r>
          </w:p>
        </w:tc>
        <w:tc>
          <w:tcPr>
            <w:tcW w:type="dxa" w:w="3135"/>
          </w:tcPr>
          <w:p>
            <w:r>
              <w:rPr>
                <w:rFonts w:ascii="Meiryo UI" w:hAnsi="Meiryo UI"/>
                <w:sz w:val="18"/>
              </w:rPr>
              <w:t>FY2026（11月期）期初ガイダンス発表</w:t>
            </w:r>
          </w:p>
        </w:tc>
        <w:tc>
          <w:tcPr>
            <w:tcW w:type="dxa" w:w="3135"/>
          </w:tcPr>
          <w:p>
            <w:r>
              <w:rPr>
                <w:rFonts w:ascii="Meiryo UI" w:hAnsi="Meiryo UI"/>
                <w:sz w:val="18"/>
              </w:rPr>
              <w:t>通期OP ¥204M</w:t>
            </w:r>
          </w:p>
        </w:tc>
      </w:tr>
      <w:tr>
        <w:tc>
          <w:tcPr>
            <w:tcW w:type="dxa" w:w="3135"/>
            <w:shd w:val="clear" w:color="auto" w:fill="DDEBF7"/>
          </w:tcPr>
          <w:p>
            <w:r>
              <w:rPr>
                <w:rFonts w:ascii="Meiryo UI" w:hAnsi="Meiryo UI"/>
                <w:sz w:val="18"/>
              </w:rPr>
              <w:t>2026年1月〜3月</w:t>
            </w:r>
          </w:p>
        </w:tc>
        <w:tc>
          <w:tcPr>
            <w:tcW w:type="dxa" w:w="3135"/>
            <w:shd w:val="clear" w:color="auto" w:fill="DDEBF7"/>
          </w:tcPr>
          <w:p>
            <w:r>
              <w:rPr>
                <w:rFonts w:ascii="Meiryo UI" w:hAnsi="Meiryo UI"/>
                <w:sz w:val="18"/>
              </w:rPr>
              <w:t>Q1（2025年12月〜2026年2月）営業活動期間</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2026年4月3日</w:t>
            </w:r>
          </w:p>
        </w:tc>
        <w:tc>
          <w:tcPr>
            <w:tcW w:type="dxa" w:w="3135"/>
          </w:tcPr>
          <w:p>
            <w:r>
              <w:rPr>
                <w:rFonts w:ascii="Meiryo UI" w:hAnsi="Meiryo UI"/>
                <w:sz w:val="18"/>
              </w:rPr>
              <w:t>Q1決算発表（TDnet）</w:t>
            </w:r>
          </w:p>
        </w:tc>
        <w:tc>
          <w:tcPr>
            <w:tcW w:type="dxa" w:w="3135"/>
          </w:tcPr>
          <w:p>
            <w:r>
              <w:rPr>
                <w:rFonts w:ascii="Meiryo UI" w:hAnsi="Meiryo UI"/>
                <w:sz w:val="18"/>
              </w:rPr>
              <w:t>Q1 OP ¥57M（進捗率27.9%）</w:t>
            </w:r>
          </w:p>
        </w:tc>
      </w:tr>
    </w:tbl>
    <w:p/>
    <w:p>
      <w:pPr>
        <w:pStyle w:val="Heading4"/>
      </w:pPr>
      <w:r>
        <w:rPr>
          <w:rFonts w:ascii="Meiryo UI" w:hAnsi="Meiryo UI"/>
          <w:color w:val="2E74B5"/>
        </w:rPr>
        <w:t>期初「内部的な四半期ペース」との比較</w:t>
      </w:r>
    </w:p>
    <w:p/>
    <w:p>
      <w:r>
        <w:rPr>
          <w:rFonts w:ascii="Meiryo UI" w:hAnsi="Meiryo UI"/>
          <w:sz w:val="20"/>
        </w:rPr>
        <w:t>期初通期ガイダンス¥204Mは、季節性を考慮しない単純均等分割であれば、Q1期待値は以下のとおりとなる：</w:t>
      </w:r>
    </w:p>
    <w:p/>
    <w:p>
      <w:pPr>
        <w:shd w:val="clear" w:color="auto" w:fill="F2F2F2"/>
      </w:pPr>
      <w:r>
        <w:rPr>
          <w:rFonts w:ascii="Courier New" w:hAnsi="Courier New"/>
          <w:sz w:val="16"/>
        </w:rPr>
        <w:t>期初ガイダンス ÷ 4 = ¥204M ÷ 4 = ¥51M（Q1暗示的ペース）</w:t>
      </w:r>
    </w:p>
    <w:p/>
    <w:p>
      <w:r>
        <w:rPr>
          <w:rFonts w:ascii="Meiryo UI" w:hAnsi="Meiryo UI"/>
          <w:sz w:val="20"/>
        </w:rPr>
        <w:t>&gt; ただし重要な補足： エクスモーションは典型的なSaaS/ソフトウェア企業のパターンとして、Q4（8月〜11月）に大型案件計上が集中する傾向がある。そのため厳密には、Q1の「想定ペース」は25%未満（例: 20-22%程度）が自然な姿かもしれない。それでも今回の27.9%は「期待を確実に上回った」と解釈できる。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期初暗示 Q1</w:t>
            </w:r>
          </w:p>
        </w:tc>
        <w:tc>
          <w:tcPr>
            <w:tcW w:type="dxa" w:w="1881"/>
            <w:shd w:val="clear" w:color="auto" w:fill="2E74B5"/>
          </w:tcPr>
          <w:p>
            <w:r>
              <w:rPr>
                <w:rFonts w:ascii="Meiryo UI" w:hAnsi="Meiryo UI"/>
                <w:b/>
                <w:color w:val="FFFFFF"/>
                <w:sz w:val="18"/>
              </w:rPr>
              <w:t>実績 Q1</w:t>
            </w:r>
          </w:p>
        </w:tc>
        <w:tc>
          <w:tcPr>
            <w:tcW w:type="dxa" w:w="1881"/>
            <w:shd w:val="clear" w:color="auto" w:fill="2E74B5"/>
          </w:tcPr>
          <w:p>
            <w:r>
              <w:rPr>
                <w:rFonts w:ascii="Meiryo UI" w:hAnsi="Meiryo UI"/>
                <w:b/>
                <w:color w:val="FFFFFF"/>
                <w:sz w:val="18"/>
              </w:rPr>
              <w:t>超過幅</w:t>
            </w:r>
          </w:p>
        </w:tc>
        <w:tc>
          <w:tcPr>
            <w:tcW w:type="dxa" w:w="1881"/>
            <w:shd w:val="clear" w:color="auto" w:fill="2E74B5"/>
          </w:tcPr>
          <w:p>
            <w:r>
              <w:rPr>
                <w:rFonts w:ascii="Meiryo UI" w:hAnsi="Meiryo UI"/>
                <w:b/>
                <w:color w:val="FFFFFF"/>
                <w:sz w:val="18"/>
              </w:rPr>
              <w:t>超過率</w:t>
            </w:r>
          </w:p>
        </w:tc>
      </w:tr>
      <w:tr>
        <w:tc>
          <w:tcPr>
            <w:tcW w:type="dxa" w:w="1881"/>
          </w:tcPr>
          <w:p>
            <w:r>
              <w:rPr>
                <w:rFonts w:ascii="Meiryo UI" w:hAnsi="Meiryo UI"/>
                <w:sz w:val="18"/>
              </w:rPr>
              <w:t>売上高</w:t>
            </w:r>
          </w:p>
        </w:tc>
        <w:tc>
          <w:tcPr>
            <w:tcW w:type="dxa" w:w="1881"/>
          </w:tcPr>
          <w:p>
            <w:r>
              <w:rPr>
                <w:rFonts w:ascii="Meiryo UI" w:hAnsi="Meiryo UI"/>
                <w:sz w:val="18"/>
              </w:rPr>
              <w:t>~¥330M</w:t>
            </w:r>
          </w:p>
        </w:tc>
        <w:tc>
          <w:tcPr>
            <w:tcW w:type="dxa" w:w="1881"/>
          </w:tcPr>
          <w:p>
            <w:r>
              <w:rPr>
                <w:rFonts w:ascii="Meiryo UI" w:hAnsi="Meiryo UI"/>
                <w:sz w:val="18"/>
              </w:rPr>
              <w:t>¥358M</w:t>
            </w:r>
          </w:p>
        </w:tc>
        <w:tc>
          <w:tcPr>
            <w:tcW w:type="dxa" w:w="1881"/>
          </w:tcPr>
          <w:p>
            <w:r>
              <w:rPr>
                <w:rFonts w:ascii="Meiryo UI" w:hAnsi="Meiryo UI"/>
                <w:sz w:val="18"/>
              </w:rPr>
              <w:t>+¥28M</w:t>
            </w:r>
          </w:p>
        </w:tc>
        <w:tc>
          <w:tcPr>
            <w:tcW w:type="dxa" w:w="1881"/>
          </w:tcPr>
          <w:p>
            <w:r>
              <w:rPr>
                <w:rFonts w:ascii="Meiryo UI" w:hAnsi="Meiryo UI"/>
                <w:sz w:val="18"/>
              </w:rPr>
              <w:t>+8.5%</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~¥51M</w:t>
            </w:r>
          </w:p>
        </w:tc>
        <w:tc>
          <w:tcPr>
            <w:tcW w:type="dxa" w:w="1881"/>
            <w:shd w:val="clear" w:color="auto" w:fill="DDEBF7"/>
          </w:tcPr>
          <w:p>
            <w:r>
              <w:rPr>
                <w:rFonts w:ascii="Meiryo UI" w:hAnsi="Meiryo UI"/>
                <w:sz w:val="18"/>
              </w:rPr>
              <w:t>¥57M</w:t>
            </w:r>
          </w:p>
        </w:tc>
        <w:tc>
          <w:tcPr>
            <w:tcW w:type="dxa" w:w="1881"/>
            <w:shd w:val="clear" w:color="auto" w:fill="DDEBF7"/>
          </w:tcPr>
          <w:p>
            <w:r>
              <w:rPr>
                <w:rFonts w:ascii="Meiryo UI" w:hAnsi="Meiryo UI"/>
                <w:sz w:val="18"/>
              </w:rPr>
              <w:t>+¥6M</w:t>
            </w:r>
          </w:p>
        </w:tc>
        <w:tc>
          <w:tcPr>
            <w:tcW w:type="dxa" w:w="1881"/>
            <w:shd w:val="clear" w:color="auto" w:fill="DDEBF7"/>
          </w:tcPr>
          <w:p>
            <w:r>
              <w:rPr>
                <w:rFonts w:ascii="Meiryo UI" w:hAnsi="Meiryo UI"/>
                <w:sz w:val="18"/>
              </w:rPr>
              <w:t>+11.8%</w:t>
            </w:r>
          </w:p>
        </w:tc>
      </w:tr>
      <w:tr>
        <w:tc>
          <w:tcPr>
            <w:tcW w:type="dxa" w:w="1881"/>
          </w:tcPr>
          <w:p>
            <w:r>
              <w:rPr>
                <w:rFonts w:ascii="Meiryo UI" w:hAnsi="Meiryo UI"/>
                <w:sz w:val="18"/>
              </w:rPr>
              <w:t>営業利益率</w:t>
            </w:r>
          </w:p>
        </w:tc>
        <w:tc>
          <w:tcPr>
            <w:tcW w:type="dxa" w:w="1881"/>
          </w:tcPr>
          <w:p>
            <w:r>
              <w:rPr>
                <w:rFonts w:ascii="Meiryo UI" w:hAnsi="Meiryo UI"/>
                <w:sz w:val="18"/>
              </w:rPr>
              <w:t>~14.1%（通期ガイダンスレベル）</w:t>
            </w:r>
          </w:p>
        </w:tc>
        <w:tc>
          <w:tcPr>
            <w:tcW w:type="dxa" w:w="1881"/>
          </w:tcPr>
          <w:p>
            <w:r>
              <w:rPr>
                <w:rFonts w:ascii="Meiryo UI" w:hAnsi="Meiryo UI"/>
                <w:sz w:val="18"/>
              </w:rPr>
              <w:t>15.9%</w:t>
            </w:r>
          </w:p>
        </w:tc>
        <w:tc>
          <w:tcPr>
            <w:tcW w:type="dxa" w:w="1881"/>
          </w:tcPr>
          <w:p>
            <w:r>
              <w:rPr>
                <w:rFonts w:ascii="Meiryo UI" w:hAnsi="Meiryo UI"/>
                <w:sz w:val="18"/>
              </w:rPr>
              <w:t>+1.8pp</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~¥32M</w:t>
            </w:r>
          </w:p>
        </w:tc>
        <w:tc>
          <w:tcPr>
            <w:tcW w:type="dxa" w:w="1881"/>
            <w:shd w:val="clear" w:color="auto" w:fill="DDEBF7"/>
          </w:tcPr>
          <w:p>
            <w:r>
              <w:rPr>
                <w:rFonts w:ascii="Meiryo UI" w:hAnsi="Meiryo UI"/>
                <w:sz w:val="18"/>
              </w:rPr>
              <w:t>¥38M</w:t>
            </w:r>
          </w:p>
        </w:tc>
        <w:tc>
          <w:tcPr>
            <w:tcW w:type="dxa" w:w="1881"/>
            <w:shd w:val="clear" w:color="auto" w:fill="DDEBF7"/>
          </w:tcPr>
          <w:p>
            <w:r>
              <w:rPr>
                <w:rFonts w:ascii="Meiryo UI" w:hAnsi="Meiryo UI"/>
                <w:sz w:val="18"/>
              </w:rPr>
              <w:t>+¥6M</w:t>
            </w:r>
          </w:p>
        </w:tc>
        <w:tc>
          <w:tcPr>
            <w:tcW w:type="dxa" w:w="1881"/>
            <w:shd w:val="clear" w:color="auto" w:fill="DDEBF7"/>
          </w:tcPr>
          <w:p>
            <w:r>
              <w:rPr>
                <w:rFonts w:ascii="Meiryo UI" w:hAnsi="Meiryo UI"/>
                <w:sz w:val="18"/>
              </w:rPr>
              <w:t>+18.8%</w:t>
            </w:r>
          </w:p>
        </w:tc>
      </w:tr>
    </w:tbl>
    <w:p/>
    <w:p>
      <w:r>
        <w:rPr>
          <w:rFonts w:ascii="Meiryo UI" w:hAnsi="Meiryo UI"/>
          <w:sz w:val="20"/>
        </w:rPr>
        <w:t>&gt; 深井コメント: 最も重要な「サプライズ」は利益率の+1.8pp乖離だ。売上高の超過（+8.5%）は「案件の前倒し」で説明できるが、利益率が+1.8ppも改善したことは、コスト構造そのものの改善が起きていることを示唆する。</w:t>
      </w:r>
    </w:p>
    <w:p/>
    <w:p>
      <w:pPr>
        <w:pStyle w:val="Heading4"/>
      </w:pPr>
      <w:r>
        <w:rPr>
          <w:rFonts w:ascii="Meiryo UI" w:hAnsi="Meiryo UI"/>
          <w:color w:val="2E74B5"/>
        </w:rPr>
        <w:t>コンセンサスとの比較（アナリスト予想推計）</w:t>
      </w:r>
    </w:p>
    <w:p/>
    <w:p>
      <w:r>
        <w:rPr>
          <w:rFonts w:ascii="Meiryo UI" w:hAnsi="Meiryo UI"/>
          <w:sz w:val="20"/>
        </w:rPr>
        <w:t>エクスモーション（4394）は時価総額規模の観点から大手証券アナリストのカバレッジが限定的だが、IR情報と市場期待値を踏まえた推計コンセンサスは以下の通り：</w:t>
      </w:r>
    </w:p>
    <w:p/>
    <w:p>
      <w:pPr>
        <w:shd w:val="clear" w:color="auto" w:fill="F2F2F2"/>
      </w:pPr>
      <w:r>
        <w:rPr>
          <w:rFonts w:ascii="Courier New" w:hAnsi="Courier New"/>
          <w:sz w:val="16"/>
        </w:rPr>
        <w:t>市場暗示 Q1 OP コンセンサス: ¥45-52M（中央値 ~¥48M）</w:t>
        <w:br/>
        <w:t>実績:                         ¥57M</w:t>
        <w:br/>
        <w:t>対コンセンサス乖離:            +¥9M〜+¥12M（+18%〜+25%のポジティブサプライズ）</w:t>
      </w:r>
    </w:p>
    <w:p/>
    <w:p>
      <w:r>
        <w:t>──────────────────────────────────────────────────</w:t>
      </w:r>
    </w:p>
    <w:p/>
    <w:p>
      <w:pPr>
        <w:pStyle w:val="Heading3"/>
      </w:pPr>
      <w:r>
        <w:rPr>
          <w:rFonts w:ascii="Meiryo UI" w:hAnsi="Meiryo UI"/>
          <w:color w:val="2E74B5"/>
        </w:rPr>
        <w:t>2-2. Step 2: 「何が想定外に改善したのか」— 3要因徹底解剖</w:t>
      </w:r>
    </w:p>
    <w:p/>
    <w:p>
      <w:pPr>
        <w:pStyle w:val="Heading4"/>
      </w:pPr>
      <w:r>
        <w:rPr>
          <w:rFonts w:ascii="Meiryo UI" w:hAnsi="Meiryo UI"/>
          <w:color w:val="2E74B5"/>
        </w:rPr>
        <w:t>要因1: サブスクリプション比率の構造的改善（最重要・最大寄与）</w:t>
      </w:r>
    </w:p>
    <w:p/>
    <w:p>
      <w:r>
        <w:rPr>
          <w:rFonts w:ascii="Meiryo UI" w:hAnsi="Meiryo UI"/>
          <w:sz w:val="20"/>
        </w:rPr>
        <w:t>背景と定量的インパクト</w:t>
      </w:r>
    </w:p>
    <w:p/>
    <w:p>
      <w:r>
        <w:rPr>
          <w:rFonts w:ascii="Meiryo UI" w:hAnsi="Meiryo UI"/>
          <w:sz w:val="20"/>
        </w:rPr>
        <w:t>エクスモーションのビジネスモデルは、製造業向けAI/IoTソフトウェアのライセンス販売から、サポート・保守契約のサブスクリプション型（SaaS的）収益への移行を進めてきた。</w:t>
      </w:r>
    </w:p>
    <w:p/>
    <w:p>
      <w:pPr>
        <w:shd w:val="clear" w:color="auto" w:fill="F2F2F2"/>
      </w:pPr>
      <w:r>
        <w:rPr>
          <w:rFonts w:ascii="Courier New" w:hAnsi="Courier New"/>
          <w:sz w:val="16"/>
        </w:rPr>
        <w:t>【営業レバレッジの仕組み】</w:t>
        <w:br/>
        <w:br/>
        <w:t>エクスモーションの固定費構造（推計）:</w:t>
        <w:br/>
        <w:t>- 研究開発費:  約¥40-50M/年（人件費中心、売上変動に連動しにくい）</w:t>
        <w:br/>
        <w:t>- 一般管理費:  約¥30-35M/年（上場コスト含む固定費）</w:t>
        <w:br/>
        <w:t>- 合計固定費:  約¥70-85M/年</w:t>
        <w:br/>
        <w:br/>
        <w:t>→ 固定費はほぼ一定</w:t>
        <w:br/>
        <w:t>→ 増分売上の60-70%以上が営業利益に流れる（限界利益率の高さ）</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 Q1（推計）</w:t>
            </w:r>
          </w:p>
        </w:tc>
        <w:tc>
          <w:tcPr>
            <w:tcW w:type="dxa" w:w="2351"/>
            <w:shd w:val="clear" w:color="auto" w:fill="2E74B5"/>
          </w:tcPr>
          <w:p>
            <w:r>
              <w:rPr>
                <w:rFonts w:ascii="Meiryo UI" w:hAnsi="Meiryo UI"/>
                <w:b/>
                <w:color w:val="FFFFFF"/>
                <w:sz w:val="18"/>
              </w:rPr>
              <w:t>FY2025 Q1（実績）</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推計サブスク比率</w:t>
            </w:r>
          </w:p>
        </w:tc>
        <w:tc>
          <w:tcPr>
            <w:tcW w:type="dxa" w:w="2351"/>
          </w:tcPr>
          <w:p>
            <w:r>
              <w:rPr>
                <w:rFonts w:ascii="Meiryo UI" w:hAnsi="Meiryo UI"/>
                <w:sz w:val="18"/>
              </w:rPr>
              <w:t>~55-60%</w:t>
            </w:r>
          </w:p>
        </w:tc>
        <w:tc>
          <w:tcPr>
            <w:tcW w:type="dxa" w:w="2351"/>
          </w:tcPr>
          <w:p>
            <w:r>
              <w:rPr>
                <w:rFonts w:ascii="Meiryo UI" w:hAnsi="Meiryo UI"/>
                <w:sz w:val="18"/>
              </w:rPr>
              <w:t>~65-70%</w:t>
            </w:r>
          </w:p>
        </w:tc>
        <w:tc>
          <w:tcPr>
            <w:tcW w:type="dxa" w:w="2351"/>
          </w:tcPr>
          <w:p>
            <w:r>
              <w:rPr>
                <w:rFonts w:ascii="Meiryo UI" w:hAnsi="Meiryo UI"/>
                <w:sz w:val="18"/>
              </w:rPr>
              <w:t>+10pp</w:t>
            </w:r>
          </w:p>
        </w:tc>
      </w:tr>
      <w:tr>
        <w:tc>
          <w:tcPr>
            <w:tcW w:type="dxa" w:w="2351"/>
            <w:shd w:val="clear" w:color="auto" w:fill="DDEBF7"/>
          </w:tcPr>
          <w:p>
            <w:r>
              <w:rPr>
                <w:rFonts w:ascii="Meiryo UI" w:hAnsi="Meiryo UI"/>
                <w:sz w:val="18"/>
              </w:rPr>
              <w:t>推計サブスク収益</w:t>
            </w:r>
          </w:p>
        </w:tc>
        <w:tc>
          <w:tcPr>
            <w:tcW w:type="dxa" w:w="2351"/>
            <w:shd w:val="clear" w:color="auto" w:fill="DDEBF7"/>
          </w:tcPr>
          <w:p>
            <w:r>
              <w:rPr>
                <w:rFonts w:ascii="Meiryo UI" w:hAnsi="Meiryo UI"/>
                <w:sz w:val="18"/>
              </w:rPr>
              <w:t>~¥190-205M相当</w:t>
            </w:r>
          </w:p>
        </w:tc>
        <w:tc>
          <w:tcPr>
            <w:tcW w:type="dxa" w:w="2351"/>
            <w:shd w:val="clear" w:color="auto" w:fill="DDEBF7"/>
          </w:tcPr>
          <w:p>
            <w:r>
              <w:rPr>
                <w:rFonts w:ascii="Meiryo UI" w:hAnsi="Meiryo UI"/>
                <w:sz w:val="18"/>
              </w:rPr>
              <w:t>~¥233-250M相当</w:t>
            </w:r>
          </w:p>
        </w:tc>
        <w:tc>
          <w:tcPr>
            <w:tcW w:type="dxa" w:w="2351"/>
            <w:shd w:val="clear" w:color="auto" w:fill="DDEBF7"/>
          </w:tcPr>
          <w:p>
            <w:r>
              <w:rPr>
                <w:rFonts w:ascii="Meiryo UI" w:hAnsi="Meiryo UI"/>
                <w:sz w:val="18"/>
              </w:rPr>
              <w:t>+¥28-45M</w:t>
            </w:r>
          </w:p>
        </w:tc>
      </w:tr>
      <w:tr>
        <w:tc>
          <w:tcPr>
            <w:tcW w:type="dxa" w:w="2351"/>
          </w:tcPr>
          <w:p>
            <w:r>
              <w:rPr>
                <w:rFonts w:ascii="Meiryo UI" w:hAnsi="Meiryo UI"/>
                <w:sz w:val="18"/>
              </w:rPr>
              <w:t>固定費（推計）</w:t>
            </w:r>
          </w:p>
        </w:tc>
        <w:tc>
          <w:tcPr>
            <w:tcW w:type="dxa" w:w="2351"/>
          </w:tcPr>
          <w:p>
            <w:r>
              <w:rPr>
                <w:rFonts w:ascii="Meiryo UI" w:hAnsi="Meiryo UI"/>
                <w:sz w:val="18"/>
              </w:rPr>
              <w:t>~¥20M/Q</w:t>
            </w:r>
          </w:p>
        </w:tc>
        <w:tc>
          <w:tcPr>
            <w:tcW w:type="dxa" w:w="2351"/>
          </w:tcPr>
          <w:p>
            <w:r>
              <w:rPr>
                <w:rFonts w:ascii="Meiryo UI" w:hAnsi="Meiryo UI"/>
                <w:sz w:val="18"/>
              </w:rPr>
              <w:t>~¥20M/Q</w:t>
            </w:r>
          </w:p>
        </w:tc>
        <w:tc>
          <w:tcPr>
            <w:tcW w:type="dxa" w:w="2351"/>
          </w:tcPr>
          <w:p>
            <w:r>
              <w:rPr>
                <w:rFonts w:ascii="Meiryo UI" w:hAnsi="Meiryo UI"/>
                <w:sz w:val="18"/>
              </w:rPr>
              <w:t>変化なし</w:t>
            </w:r>
          </w:p>
        </w:tc>
      </w:tr>
      <w:tr>
        <w:tc>
          <w:tcPr>
            <w:tcW w:type="dxa" w:w="2351"/>
            <w:shd w:val="clear" w:color="auto" w:fill="DDEBF7"/>
          </w:tcPr>
          <w:p>
            <w:r>
              <w:rPr>
                <w:rFonts w:ascii="Meiryo UI" w:hAnsi="Meiryo UI"/>
                <w:sz w:val="18"/>
              </w:rPr>
              <w:t>増分利益転換率</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~60-70%</w:t>
            </w:r>
          </w:p>
        </w:tc>
        <w:tc>
          <w:tcPr>
            <w:tcW w:type="dxa" w:w="2351"/>
            <w:shd w:val="clear" w:color="auto" w:fill="DDEBF7"/>
          </w:tcPr>
          <w:p>
            <w:r>
              <w:rPr>
                <w:rFonts w:ascii="Meiryo UI" w:hAnsi="Meiryo UI"/>
                <w:sz w:val="18"/>
              </w:rPr>
              <w:t>—</w:t>
            </w:r>
          </w:p>
        </w:tc>
      </w:tr>
    </w:tbl>
    <w:p/>
    <w:p>
      <w:r>
        <w:rPr>
          <w:rFonts w:ascii="Meiryo UI" w:hAnsi="Meiryo UI"/>
          <w:sz w:val="20"/>
        </w:rPr>
        <w:t>具体的なインパクト試算:</w:t>
      </w:r>
    </w:p>
    <w:p/>
    <w:p>
      <w:pPr>
        <w:shd w:val="clear" w:color="auto" w:fill="F2F2F2"/>
      </w:pPr>
      <w:r>
        <w:rPr>
          <w:rFonts w:ascii="Courier New" w:hAnsi="Courier New"/>
          <w:sz w:val="16"/>
        </w:rPr>
        <w:t>追加サブスクリプション収益（推計）: +¥28M（売上増分）</w:t>
        <w:br/>
        <w:t>うち利益転換分（限界利益率65%仮定）: +¥18M → これが営業利益増加の「コア」</w:t>
        <w:br/>
        <w:br/>
        <w:t>前年比 OP 増加額: ¥57M - ¥37M = +¥20M</w:t>
        <w:br/>
        <w:t>うちサブスク比率改善寄与: ~¥12-15M（全体増加の60-75%）</w:t>
      </w:r>
    </w:p>
    <w:p/>
    <w:p>
      <w:r>
        <w:rPr>
          <w:rFonts w:ascii="Meiryo UI" w:hAnsi="Meiryo UI"/>
          <w:sz w:val="20"/>
        </w:rPr>
        <w:t>なぜ「構造的」か:</w:t>
      </w:r>
    </w:p>
    <w:p/>
    <w:p>
      <w:r>
        <w:rPr>
          <w:rFonts w:ascii="Meiryo UI" w:hAnsi="Meiryo UI"/>
          <w:sz w:val="20"/>
        </w:rPr>
        <w:t>サブスクリプション収益の増加は、一度顧客が導入したシステムを解約することが稀なSaaS的特性（高い顧客粘着性）に基づく。自動車Tier-1や電子機器メーカーの生産ラインに組み込まれたMES（製造実行システム）やAI品質管理ソフトウェアは、切り替えコスト（スイッチングコスト）が極めて高い。</w:t>
      </w:r>
    </w:p>
    <w:p/>
    <w:p>
      <w:pPr>
        <w:shd w:val="clear" w:color="auto" w:fill="F2F2F2"/>
      </w:pPr>
      <w:r>
        <w:rPr>
          <w:rFonts w:ascii="Courier New" w:hAnsi="Courier New"/>
          <w:sz w:val="16"/>
        </w:rPr>
        <w:t>推計チャーンレート（解約率）: &lt;5%/年</w:t>
        <w:br/>
        <w:t>→ 一度獲得したサブスク収益は毎年自動的に積み上がる</w:t>
        <w:br/>
        <w:t>→ 来期以降も同様の「底上げ」効果が継続する = STRUCTURAL</w:t>
      </w:r>
    </w:p>
    <w:p/>
    <w:p>
      <w:r>
        <w:t>──────────────────────────────────────────────────</w:t>
      </w:r>
    </w:p>
    <w:p/>
    <w:p>
      <w:pPr>
        <w:pStyle w:val="Heading4"/>
      </w:pPr>
      <w:r>
        <w:rPr>
          <w:rFonts w:ascii="Meiryo UI" w:hAnsi="Meiryo UI"/>
          <w:color w:val="2E74B5"/>
        </w:rPr>
        <w:t>要因2: 大型案件の前倒し計上（寄与あり・一過性要素含む）</w:t>
      </w:r>
    </w:p>
    <w:p/>
    <w:p>
      <w:r>
        <w:rPr>
          <w:rFonts w:ascii="Meiryo UI" w:hAnsi="Meiryo UI"/>
          <w:sz w:val="20"/>
        </w:rPr>
        <w:t>背景</w:t>
      </w:r>
    </w:p>
    <w:p/>
    <w:p>
      <w:r>
        <w:rPr>
          <w:rFonts w:ascii="Meiryo UI" w:hAnsi="Meiryo UI"/>
          <w:sz w:val="20"/>
        </w:rPr>
        <w:t>ソフトウェア企業における「収益認識」のタイミングは、四半期間で利益をシフトさせる。エクスモーションの場合、大型製造業顧客への新規ライセンス導入（例：新工場立ち上げ時のシステム一括導入）は、プロジェクト完了時に一括計上される傾向がある。</w:t>
      </w:r>
    </w:p>
    <w:p/>
    <w:p>
      <w:r>
        <w:rPr>
          <w:rFonts w:ascii="Meiryo UI" w:hAnsi="Meiryo UI"/>
          <w:sz w:val="20"/>
        </w:rPr>
        <w:t>Q1に前倒し計上されたと推定される案件の規模:</w:t>
      </w:r>
    </w:p>
    <w:p/>
    <w:p>
      <w:pPr>
        <w:shd w:val="clear" w:color="auto" w:fill="F2F2F2"/>
      </w:pPr>
      <w:r>
        <w:rPr>
          <w:rFonts w:ascii="Courier New" w:hAnsi="Courier New"/>
          <w:sz w:val="16"/>
        </w:rPr>
        <w:t>売上高の期初ガイダンス比超過: +¥28M（推計）</w:t>
        <w:br/>
        <w:t>うちサブスク増加分: -¥15M（構造的）</w:t>
        <w:br/>
        <w:t>残差（大型案件前倒し推計）: +¥13M程度</w:t>
        <w:br/>
        <w:br/>
        <w:t>この¥13Mの案件が当初Q2以降に計画されていたとすれば:</w:t>
        <w:br/>
        <w:t>- Q2以降の利益は若干「前借り」となる</w:t>
        <w:br/>
        <w:t>- ただし、Q1の固定費吸収が早まることで通期では大きく影響しない</w:t>
      </w:r>
    </w:p>
    <w:p/>
    <w:p>
      <w:r>
        <w:rPr>
          <w:rFonts w:ascii="Meiryo UI" w:hAnsi="Meiryo UI"/>
          <w:sz w:val="20"/>
        </w:rPr>
        <w:t>案件候補（業界知識に基づく推測）:</w:t>
      </w:r>
    </w:p>
    <w:p/>
    <w:p>
      <w:r>
        <w:rPr>
          <w:rFonts w:ascii="Meiryo UI" w:hAnsi="Meiryo UI"/>
          <w:sz w:val="20"/>
        </w:rPr>
        <w:t>エクスモーションの主要顧客である自動車Tier-1サプライヤー（デンソー関連企業、アイシン系列等）は、2025年末〜2026年初頭にかけてEV対応の生産ライン改修プロジェクトを多数実施しており、そのタイミングでMES/予知保全ソフトウェアの新規導入が加速した可能性が高い。</w:t>
      </w:r>
    </w:p>
    <w:p/>
    <w:p>
      <w:r>
        <w:rPr>
          <w:rFonts w:ascii="Meiryo UI" w:hAnsi="Meiryo UI"/>
          <w:sz w:val="20"/>
        </w:rPr>
        <w:t>一過性vs構造的の判定:</w:t>
      </w:r>
    </w:p>
    <w:p/>
    <w:p>
      <w:pPr>
        <w:shd w:val="clear" w:color="auto" w:fill="F2F2F2"/>
      </w:pPr>
      <w:r>
        <w:rPr>
          <w:rFonts w:ascii="Courier New" w:hAnsi="Courier New"/>
          <w:sz w:val="16"/>
        </w:rPr>
        <w:t>前倒し計上: 一過性（Q2以降の計上が減少する可能性）</w:t>
        <w:br/>
        <w:t>ただし、新規案件獲得そのものは継続（バックログ積み上がり）</w:t>
        <w:br/>
        <w:t>→ 案件計上タイミングは一過性だが、案件総量の増加は構造的</w:t>
        <w:br/>
        <w:br/>
        <w:t>判定: 「一過性・構造的混在」（寄与の30%が一過性）</w:t>
      </w:r>
    </w:p>
    <w:p/>
    <w:p>
      <w:r>
        <w:t>──────────────────────────────────────────────────</w:t>
      </w:r>
    </w:p>
    <w:p/>
    <w:p>
      <w:pPr>
        <w:pStyle w:val="Heading4"/>
      </w:pPr>
      <w:r>
        <w:rPr>
          <w:rFonts w:ascii="Meiryo UI" w:hAnsi="Meiryo UI"/>
          <w:color w:val="2E74B5"/>
        </w:rPr>
        <w:t>要因3: 原価低減（外注費・クラウドインフラコスト削減）</w:t>
      </w:r>
    </w:p>
    <w:p/>
    <w:p>
      <w:r>
        <w:rPr>
          <w:rFonts w:ascii="Meiryo UI" w:hAnsi="Meiryo UI"/>
          <w:sz w:val="20"/>
        </w:rPr>
        <w:t>背景と数値</w:t>
      </w:r>
    </w:p>
    <w:p/>
    <w:p>
      <w:r>
        <w:rPr>
          <w:rFonts w:ascii="Meiryo UI" w:hAnsi="Meiryo UI"/>
          <w:sz w:val="20"/>
        </w:rPr>
        <w:t>エクスモーションのAI/IoTソフトウェア運用には、クラウドインフラコスト（AWS/Azure等）と外注エンジニアコストが発生する。2025年以降、以下の改善が推計される：</w:t>
      </w:r>
    </w:p>
    <w:p/>
    <w:p>
      <w:pPr>
        <w:shd w:val="clear" w:color="auto" w:fill="F2F2F2"/>
      </w:pPr>
      <w:r>
        <w:rPr>
          <w:rFonts w:ascii="Courier New" w:hAnsi="Courier New"/>
          <w:sz w:val="16"/>
        </w:rPr>
        <w:t>【コスト改善の内訳（推計）】</w:t>
        <w:br/>
        <w:br/>
        <w:t>(A) クラウドインフラコスト最適化:</w:t>
        <w:br/>
        <w:t xml:space="preserve">    - 2024年中のアーキテクチャ見直し（マルチクラウド戦略、コンテナ化）</w:t>
        <w:br/>
        <w:t xml:space="preserve">    - 推計削減額: ¥3-5M/年 → Q1では ¥1-1.5M</w:t>
        <w:br/>
        <w:t xml:space="preserve">    - 性質: 構造的（一度最適化すれば継続的効果）</w:t>
        <w:br/>
        <w:br/>
        <w:t>(B) 外注エンジニア費用の内製化:</w:t>
        <w:br/>
        <w:t xml:space="preserve">    - 2025年新卒・中途採用強化による内製化推進</w:t>
        <w:br/>
        <w:t xml:space="preserve">    - 外注比率低下により、外注費削減 ¥2-4M/Q（推計）</w:t>
        <w:br/>
        <w:t xml:space="preserve">    - 性質: 構造的（採用コストは初年度に先行）</w:t>
        <w:br/>
        <w:br/>
        <w:t>(C) その他変動費正常化:</w:t>
        <w:br/>
        <w:t xml:space="preserve">    - 前年Q1はシステム移行関連の一時費用が発生していた可能性</w:t>
        <w:br/>
        <w:t xml:space="preserve">    - 推計特殊費用の消滅: +¥1-2M/Q 効果</w:t>
        <w:br/>
        <w:t xml:space="preserve">    - 性質: 一過性（前年の費用がなくなったにすぎない）</w:t>
        <w:br/>
        <w:br/>
        <w:t>合計推計コスト削減効果: ¥4-7M/Q</w:t>
        <w:br/>
        <w:t>→ このうち利益改善寄与: ほぼ全額（¥4-7M）</w:t>
      </w:r>
    </w:p>
    <w:p/>
    <w:p>
      <w:r>
        <w:rPr>
          <w:rFonts w:ascii="Meiryo UI" w:hAnsi="Meiryo UI"/>
          <w:sz w:val="20"/>
        </w:rPr>
        <w:t>粗利益率へのインパクト:</w:t>
      </w:r>
    </w:p>
    <w:p/>
    <w:p>
      <w:pPr>
        <w:shd w:val="clear" w:color="auto" w:fill="F2F2F2"/>
      </w:pPr>
      <w:r>
        <w:rPr>
          <w:rFonts w:ascii="Courier New" w:hAnsi="Courier New"/>
          <w:sz w:val="16"/>
        </w:rPr>
        <w:t>前年Q1 推計粗利益率: ~55-58%</w:t>
        <w:br/>
        <w:t>今Q1 推計粗利益率:   ~60-63%（+2-5pp）</w:t>
        <w:br/>
        <w:t>→ 売上¥358Mに対して +¥7-18Mの利益改善効果</w:t>
        <w:br/>
        <w:t>（うちクラウド・外注コスト分: ¥4-7M、残差は売上ミックス改善）</w:t>
      </w:r>
    </w:p>
    <w:p/>
    <w:p>
      <w:r>
        <w:t>──────────────────────────────────────────────────</w:t>
      </w:r>
    </w:p>
    <w:p/>
    <w:p>
      <w:pPr>
        <w:pStyle w:val="Heading3"/>
      </w:pPr>
      <w:r>
        <w:rPr>
          <w:rFonts w:ascii="Meiryo UI" w:hAnsi="Meiryo UI"/>
          <w:color w:val="2E74B5"/>
        </w:rPr>
        <w:t>2-3. Step 3: 「一過性」か「構造的」か — 最終判定</w:t>
      </w:r>
    </w:p>
    <w:p/>
    <w:p>
      <w:pPr>
        <w:pStyle w:val="Heading4"/>
      </w:pPr>
      <w:r>
        <w:rPr>
          <w:rFonts w:ascii="Meiryo UI" w:hAnsi="Meiryo UI"/>
          <w:color w:val="2E74B5"/>
        </w:rPr>
        <w:t>判定マトリクス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要因</w:t>
            </w:r>
          </w:p>
        </w:tc>
        <w:tc>
          <w:tcPr>
            <w:tcW w:type="dxa" w:w="1881"/>
            <w:shd w:val="clear" w:color="auto" w:fill="2E74B5"/>
          </w:tcPr>
          <w:p>
            <w:r>
              <w:rPr>
                <w:rFonts w:ascii="Meiryo UI" w:hAnsi="Meiryo UI"/>
                <w:b/>
                <w:color w:val="FFFFFF"/>
                <w:sz w:val="18"/>
              </w:rPr>
              <w:t>寄与額（推計）</w:t>
            </w:r>
          </w:p>
        </w:tc>
        <w:tc>
          <w:tcPr>
            <w:tcW w:type="dxa" w:w="1881"/>
            <w:shd w:val="clear" w:color="auto" w:fill="2E74B5"/>
          </w:tcPr>
          <w:p>
            <w:r>
              <w:rPr>
                <w:rFonts w:ascii="Meiryo UI" w:hAnsi="Meiryo UI"/>
                <w:b/>
                <w:color w:val="FFFFFF"/>
                <w:sz w:val="18"/>
              </w:rPr>
              <w:t>構造的</w:t>
            </w:r>
          </w:p>
        </w:tc>
        <w:tc>
          <w:tcPr>
            <w:tcW w:type="dxa" w:w="1881"/>
            <w:shd w:val="clear" w:color="auto" w:fill="2E74B5"/>
          </w:tcPr>
          <w:p>
            <w:r>
              <w:rPr>
                <w:rFonts w:ascii="Meiryo UI" w:hAnsi="Meiryo UI"/>
                <w:b/>
                <w:color w:val="FFFFFF"/>
                <w:sz w:val="18"/>
              </w:rPr>
              <w:t>一過性</w:t>
            </w:r>
          </w:p>
        </w:tc>
        <w:tc>
          <w:tcPr>
            <w:tcW w:type="dxa" w:w="1881"/>
            <w:shd w:val="clear" w:color="auto" w:fill="2E74B5"/>
          </w:tcPr>
          <w:p>
            <w:r>
              <w:rPr>
                <w:rFonts w:ascii="Meiryo UI" w:hAnsi="Meiryo UI"/>
                <w:b/>
                <w:color w:val="FFFFFF"/>
                <w:sz w:val="18"/>
              </w:rPr>
              <w:t>判定</w:t>
            </w:r>
          </w:p>
        </w:tc>
      </w:tr>
      <w:tr>
        <w:tc>
          <w:tcPr>
            <w:tcW w:type="dxa" w:w="1881"/>
          </w:tcPr>
          <w:p>
            <w:r>
              <w:rPr>
                <w:rFonts w:ascii="Meiryo UI" w:hAnsi="Meiryo UI"/>
                <w:sz w:val="18"/>
              </w:rPr>
              <w:t>サブスク比率改善</w:t>
            </w:r>
          </w:p>
        </w:tc>
        <w:tc>
          <w:tcPr>
            <w:tcW w:type="dxa" w:w="1881"/>
          </w:tcPr>
          <w:p>
            <w:r>
              <w:rPr>
                <w:rFonts w:ascii="Meiryo UI" w:hAnsi="Meiryo UI"/>
                <w:sz w:val="18"/>
              </w:rPr>
              <w:t>¥12-15M</w:t>
            </w:r>
          </w:p>
        </w:tc>
        <w:tc>
          <w:tcPr>
            <w:tcW w:type="dxa" w:w="1881"/>
          </w:tcPr>
          <w:p>
            <w:r>
              <w:rPr>
                <w:rFonts w:ascii="Meiryo UI" w:hAnsi="Meiryo UI"/>
                <w:sz w:val="18"/>
              </w:rPr>
              <w:t>✅ 主</w:t>
            </w:r>
          </w:p>
        </w:tc>
        <w:tc>
          <w:tcPr>
            <w:tcW w:type="dxa" w:w="1881"/>
          </w:tcPr>
          <w:p>
            <w:r>
              <w:rPr>
                <w:rFonts w:ascii="Meiryo UI" w:hAnsi="Meiryo UI"/>
                <w:sz w:val="18"/>
              </w:rPr>
              <w:t>—</w:t>
            </w:r>
          </w:p>
        </w:tc>
        <w:tc>
          <w:tcPr>
            <w:tcW w:type="dxa" w:w="1881"/>
          </w:tcPr>
          <w:p>
            <w:r>
              <w:rPr>
                <w:rFonts w:ascii="Meiryo UI" w:hAnsi="Meiryo UI"/>
                <w:sz w:val="18"/>
              </w:rPr>
              <w:t>構造的（★★★）</w:t>
            </w:r>
          </w:p>
        </w:tc>
      </w:tr>
      <w:tr>
        <w:tc>
          <w:tcPr>
            <w:tcW w:type="dxa" w:w="1881"/>
            <w:shd w:val="clear" w:color="auto" w:fill="DDEBF7"/>
          </w:tcPr>
          <w:p>
            <w:r>
              <w:rPr>
                <w:rFonts w:ascii="Meiryo UI" w:hAnsi="Meiryo UI"/>
                <w:sz w:val="18"/>
              </w:rPr>
              <w:t>大型案件前倒し</w:t>
            </w:r>
          </w:p>
        </w:tc>
        <w:tc>
          <w:tcPr>
            <w:tcW w:type="dxa" w:w="1881"/>
            <w:shd w:val="clear" w:color="auto" w:fill="DDEBF7"/>
          </w:tcPr>
          <w:p>
            <w:r>
              <w:rPr>
                <w:rFonts w:ascii="Meiryo UI" w:hAnsi="Meiryo UI"/>
                <w:sz w:val="18"/>
              </w:rPr>
              <w:t>¥5-8M</w:t>
            </w:r>
          </w:p>
        </w:tc>
        <w:tc>
          <w:tcPr>
            <w:tcW w:type="dxa" w:w="1881"/>
            <w:shd w:val="clear" w:color="auto" w:fill="DDEBF7"/>
          </w:tcPr>
          <w:p>
            <w:r>
              <w:rPr>
                <w:rFonts w:ascii="Meiryo UI" w:hAnsi="Meiryo UI"/>
                <w:sz w:val="18"/>
              </w:rPr>
              <w:t>△ 部分</w:t>
            </w:r>
          </w:p>
        </w:tc>
        <w:tc>
          <w:tcPr>
            <w:tcW w:type="dxa" w:w="1881"/>
            <w:shd w:val="clear" w:color="auto" w:fill="DDEBF7"/>
          </w:tcPr>
          <w:p>
            <w:r>
              <w:rPr>
                <w:rFonts w:ascii="Meiryo UI" w:hAnsi="Meiryo UI"/>
                <w:sz w:val="18"/>
              </w:rPr>
              <w:t>✅ 部分</w:t>
            </w:r>
          </w:p>
        </w:tc>
        <w:tc>
          <w:tcPr>
            <w:tcW w:type="dxa" w:w="1881"/>
            <w:shd w:val="clear" w:color="auto" w:fill="DDEBF7"/>
          </w:tcPr>
          <w:p>
            <w:r>
              <w:rPr>
                <w:rFonts w:ascii="Meiryo UI" w:hAnsi="Meiryo UI"/>
                <w:sz w:val="18"/>
              </w:rPr>
              <w:t>混在（★★）</w:t>
            </w:r>
          </w:p>
        </w:tc>
      </w:tr>
      <w:tr>
        <w:tc>
          <w:tcPr>
            <w:tcW w:type="dxa" w:w="1881"/>
          </w:tcPr>
          <w:p>
            <w:r>
              <w:rPr>
                <w:rFonts w:ascii="Meiryo UI" w:hAnsi="Meiryo UI"/>
                <w:sz w:val="18"/>
              </w:rPr>
              <w:t>原価低減</w:t>
            </w:r>
          </w:p>
        </w:tc>
        <w:tc>
          <w:tcPr>
            <w:tcW w:type="dxa" w:w="1881"/>
          </w:tcPr>
          <w:p>
            <w:r>
              <w:rPr>
                <w:rFonts w:ascii="Meiryo UI" w:hAnsi="Meiryo UI"/>
                <w:sz w:val="18"/>
              </w:rPr>
              <w:t>¥4-7M</w:t>
            </w:r>
          </w:p>
        </w:tc>
        <w:tc>
          <w:tcPr>
            <w:tcW w:type="dxa" w:w="1881"/>
          </w:tcPr>
          <w:p>
            <w:r>
              <w:rPr>
                <w:rFonts w:ascii="Meiryo UI" w:hAnsi="Meiryo UI"/>
                <w:sz w:val="18"/>
              </w:rPr>
              <w:t>✅ 主</w:t>
            </w:r>
          </w:p>
        </w:tc>
        <w:tc>
          <w:tcPr>
            <w:tcW w:type="dxa" w:w="1881"/>
          </w:tcPr>
          <w:p>
            <w:r>
              <w:rPr>
                <w:rFonts w:ascii="Meiryo UI" w:hAnsi="Meiryo UI"/>
                <w:sz w:val="18"/>
              </w:rPr>
              <w:t>△ 一部</w:t>
            </w:r>
          </w:p>
        </w:tc>
        <w:tc>
          <w:tcPr>
            <w:tcW w:type="dxa" w:w="1881"/>
          </w:tcPr>
          <w:p>
            <w:r>
              <w:rPr>
                <w:rFonts w:ascii="Meiryo UI" w:hAnsi="Meiryo UI"/>
                <w:sz w:val="18"/>
              </w:rPr>
              <w:t>構造的（★★）</w:t>
            </w:r>
          </w:p>
        </w:tc>
      </w:tr>
      <w:tr>
        <w:tc>
          <w:tcPr>
            <w:tcW w:type="dxa" w:w="1881"/>
            <w:shd w:val="clear" w:color="auto" w:fill="DDEBF7"/>
          </w:tcPr>
          <w:p>
            <w:r>
              <w:rPr>
                <w:rFonts w:ascii="Meiryo UI" w:hAnsi="Meiryo UI"/>
                <w:sz w:val="18"/>
              </w:rPr>
              <w:t>合計超過利益</w:t>
            </w:r>
          </w:p>
        </w:tc>
        <w:tc>
          <w:tcPr>
            <w:tcW w:type="dxa" w:w="1881"/>
            <w:shd w:val="clear" w:color="auto" w:fill="DDEBF7"/>
          </w:tcPr>
          <w:p>
            <w:r>
              <w:rPr>
                <w:rFonts w:ascii="Meiryo UI" w:hAnsi="Meiryo UI"/>
                <w:sz w:val="18"/>
              </w:rPr>
              <w:t>¥20M（前年比）</w:t>
            </w:r>
          </w:p>
        </w:tc>
        <w:tc>
          <w:tcPr>
            <w:tcW w:type="dxa" w:w="1881"/>
            <w:shd w:val="clear" w:color="auto" w:fill="DDEBF7"/>
          </w:tcPr>
          <w:p>
            <w:r>
              <w:rPr>
                <w:rFonts w:ascii="Meiryo UI" w:hAnsi="Meiryo UI"/>
                <w:sz w:val="18"/>
              </w:rPr>
              <w:t>~70%</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w:t>
            </w:r>
          </w:p>
        </w:tc>
      </w:tr>
    </w:tbl>
    <w:p/>
    <w:p>
      <w:pPr>
        <w:pStyle w:val="Heading4"/>
      </w:pPr>
      <w:r>
        <w:rPr>
          <w:rFonts w:ascii="Meiryo UI" w:hAnsi="Meiryo UI"/>
          <w:color w:val="2E74B5"/>
        </w:rPr>
        <w:t>最終判定: 70% 構造的 ／ 30% 一過性</w:t>
      </w:r>
    </w:p>
    <w:p/>
    <w:p>
      <w:pPr>
        <w:shd w:val="clear" w:color="auto" w:fill="F2F2F2"/>
      </w:pPr>
      <w:r>
        <w:rPr>
          <w:rFonts w:ascii="Courier New" w:hAnsi="Courier New"/>
          <w:sz w:val="16"/>
        </w:rPr>
        <w:t>■ 深井 最終判定:</w:t>
        <w:br/>
        <w:br/>
        <w:t>今回の上方修正ペース（OP +54.9% YoY）の内訳:</w:t>
        <w:br/>
        <w:br/>
        <w:t>構造的改善分（~70% = ¥14M相当）:</w:t>
        <w:br/>
        <w:t xml:space="preserve">  → SaaS的サブスクリプション収益の積み上がり</w:t>
        <w:br/>
        <w:t xml:space="preserve">  → 営業レバレッジの発現（固定費が変わらず増分利益が直撃する構造）</w:t>
        <w:br/>
        <w:t xml:space="preserve">  → クラウド・外注コストの構造的低下</w:t>
        <w:br/>
        <w:br/>
        <w:t>一過性分（~30% = ¥6M相当）:</w:t>
        <w:br/>
        <w:t xml:space="preserve">  → 大型案件の前倒し計上タイミング</w:t>
        <w:br/>
        <w:t xml:space="preserve">  → 前年の特殊費用消滅効果</w:t>
        <w:br/>
        <w:br/>
        <w:t>結論: この上方修正は実力ベースの改善が主体</w:t>
      </w:r>
    </w:p>
    <w:p/>
    <w:p>
      <w:pPr>
        <w:pStyle w:val="Heading4"/>
      </w:pPr>
      <w:r>
        <w:rPr>
          <w:rFonts w:ascii="Meiryo UI" w:hAnsi="Meiryo UI"/>
          <w:color w:val="2E74B5"/>
        </w:rPr>
        <w:t>修正後「真の実力」推計</w:t>
      </w:r>
    </w:p>
    <w:p/>
    <w:p>
      <w:r>
        <w:rPr>
          <w:rFonts w:ascii="Meiryo UI" w:hAnsi="Meiryo UI"/>
          <w:sz w:val="20"/>
        </w:rPr>
        <w:t>構造的改善のみ（一過性を除外）ベースで、FY2026通期OP を推計すると：</w:t>
      </w:r>
    </w:p>
    <w:p/>
    <w:p>
      <w:pPr>
        <w:shd w:val="clear" w:color="auto" w:fill="F2F2F2"/>
      </w:pPr>
      <w:r>
        <w:rPr>
          <w:rFonts w:ascii="Courier New" w:hAnsi="Courier New"/>
          <w:sz w:val="16"/>
        </w:rPr>
        <w:t>期初ガイダンス:                  ¥204M</w:t>
        <w:br/>
        <w:t>構造的改善の寄与（年間換算）:   +¥14M × 4Q = +¥56M（上限）</w:t>
        <w:br/>
        <w:t>→ ただしQ4偏重の季節性を考慮: +¥40-50M が現実的な追加分</w:t>
        <w:br/>
        <w:br/>
        <w:t>実力ベース通期OP推計:</w:t>
        <w:br/>
        <w:t xml:space="preserve">  - 保守的シナリオ: ¥220M（ガイダンス+7.8%）</w:t>
        <w:br/>
        <w:t xml:space="preserve">  - 中間シナリオ:   ¥225M（ガイダンス+10.3%）</w:t>
        <w:br/>
        <w:t xml:space="preserve">  - 強気シナリオ:   ¥230M（ガイダンス+12.7%）</w:t>
        <w:br/>
        <w:br/>
        <w:t>→ 深井 最終推計: ¥220-230M（「確実な10%超え」を基本線とする）</w:t>
      </w:r>
    </w:p>
    <w:p/>
    <w:p>
      <w:r>
        <w:rPr>
          <w:rFonts w:ascii="Meiryo UI" w:hAnsi="Meiryo UI"/>
          <w:sz w:val="20"/>
        </w:rPr>
        <w:t>&gt; アルファの源泉: 市場（コンセンサス）はまだガイダンス通り¥204Mベースで動いている。「実力¥220-230M」を先取りして保有することが超過リターンにつながる。</w:t>
      </w:r>
    </w:p>
    <w:p/>
    <w:p>
      <w:r>
        <w:t>──────────────────────────────────────────────────</w:t>
      </w:r>
    </w:p>
    <w:p/>
    <w:p>
      <w:pPr>
        <w:pStyle w:val="Heading2"/>
      </w:pPr>
      <w:r>
        <w:rPr>
          <w:rFonts w:ascii="Meiryo UI" w:hAnsi="Meiryo UI"/>
          <w:color w:val="2E74B5"/>
        </w:rPr>
        <w:t>3. 1Q実績詳細分析</w:t>
      </w:r>
    </w:p>
    <w:p/>
    <w:p>
      <w:pPr>
        <w:pStyle w:val="Heading3"/>
      </w:pPr>
      <w:r>
        <w:rPr>
          <w:rFonts w:ascii="Meiryo UI" w:hAnsi="Meiryo UI"/>
          <w:color w:val="2E74B5"/>
        </w:rPr>
        <w:t>3-1. 損益計算書サマリー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FY2025 Q1（前年）</w:t>
            </w:r>
          </w:p>
        </w:tc>
        <w:tc>
          <w:tcPr>
            <w:tcW w:type="dxa" w:w="1881"/>
            <w:shd w:val="clear" w:color="auto" w:fill="2E74B5"/>
          </w:tcPr>
          <w:p>
            <w:r>
              <w:rPr>
                <w:rFonts w:ascii="Meiryo UI" w:hAnsi="Meiryo UI"/>
                <w:b/>
                <w:color w:val="FFFFFF"/>
                <w:sz w:val="18"/>
              </w:rPr>
              <w:t>FY2026 Q1（実績）</w:t>
            </w:r>
          </w:p>
        </w:tc>
        <w:tc>
          <w:tcPr>
            <w:tcW w:type="dxa" w:w="1881"/>
            <w:shd w:val="clear" w:color="auto" w:fill="2E74B5"/>
          </w:tcPr>
          <w:p>
            <w:r>
              <w:rPr>
                <w:rFonts w:ascii="Meiryo UI" w:hAnsi="Meiryo UI"/>
                <w:b/>
                <w:color w:val="FFFFFF"/>
                <w:sz w:val="18"/>
              </w:rPr>
              <w:t>YoY変化</w:t>
            </w:r>
          </w:p>
        </w:tc>
        <w:tc>
          <w:tcPr>
            <w:tcW w:type="dxa" w:w="1881"/>
            <w:shd w:val="clear" w:color="auto" w:fill="2E74B5"/>
          </w:tcPr>
          <w:p>
            <w:r>
              <w:rPr>
                <w:rFonts w:ascii="Meiryo UI" w:hAnsi="Meiryo UI"/>
                <w:b/>
                <w:color w:val="FFFFFF"/>
                <w:sz w:val="18"/>
              </w:rPr>
              <w:t>YoY%</w:t>
            </w:r>
          </w:p>
        </w:tc>
      </w:tr>
      <w:tr>
        <w:tc>
          <w:tcPr>
            <w:tcW w:type="dxa" w:w="1881"/>
          </w:tcPr>
          <w:p>
            <w:r>
              <w:rPr>
                <w:rFonts w:ascii="Meiryo UI" w:hAnsi="Meiryo UI"/>
                <w:sz w:val="18"/>
              </w:rPr>
              <w:t>売上高</w:t>
            </w:r>
          </w:p>
        </w:tc>
        <w:tc>
          <w:tcPr>
            <w:tcW w:type="dxa" w:w="1881"/>
          </w:tcPr>
          <w:p>
            <w:r>
              <w:rPr>
                <w:rFonts w:ascii="Meiryo UI" w:hAnsi="Meiryo UI"/>
                <w:sz w:val="18"/>
              </w:rPr>
              <w:t>¥342M</w:t>
            </w:r>
          </w:p>
        </w:tc>
        <w:tc>
          <w:tcPr>
            <w:tcW w:type="dxa" w:w="1881"/>
          </w:tcPr>
          <w:p>
            <w:r>
              <w:rPr>
                <w:rFonts w:ascii="Meiryo UI" w:hAnsi="Meiryo UI"/>
                <w:sz w:val="18"/>
              </w:rPr>
              <w:t>¥358M</w:t>
            </w:r>
          </w:p>
        </w:tc>
        <w:tc>
          <w:tcPr>
            <w:tcW w:type="dxa" w:w="1881"/>
          </w:tcPr>
          <w:p>
            <w:r>
              <w:rPr>
                <w:rFonts w:ascii="Meiryo UI" w:hAnsi="Meiryo UI"/>
                <w:sz w:val="18"/>
              </w:rPr>
              <w:t>+¥16M</w:t>
            </w:r>
          </w:p>
        </w:tc>
        <w:tc>
          <w:tcPr>
            <w:tcW w:type="dxa" w:w="1881"/>
          </w:tcPr>
          <w:p>
            <w:r>
              <w:rPr>
                <w:rFonts w:ascii="Meiryo UI" w:hAnsi="Meiryo UI"/>
                <w:sz w:val="18"/>
              </w:rPr>
              <w:t>+4.5%</w:t>
            </w:r>
          </w:p>
        </w:tc>
      </w:tr>
      <w:tr>
        <w:tc>
          <w:tcPr>
            <w:tcW w:type="dxa" w:w="1881"/>
            <w:shd w:val="clear" w:color="auto" w:fill="DDEBF7"/>
          </w:tcPr>
          <w:p>
            <w:r>
              <w:rPr>
                <w:rFonts w:ascii="Meiryo UI" w:hAnsi="Meiryo UI"/>
                <w:sz w:val="18"/>
              </w:rPr>
              <w:t>売上総利益（推計）</w:t>
            </w:r>
          </w:p>
        </w:tc>
        <w:tc>
          <w:tcPr>
            <w:tcW w:type="dxa" w:w="1881"/>
            <w:shd w:val="clear" w:color="auto" w:fill="DDEBF7"/>
          </w:tcPr>
          <w:p>
            <w:r>
              <w:rPr>
                <w:rFonts w:ascii="Meiryo UI" w:hAnsi="Meiryo UI"/>
                <w:sz w:val="18"/>
              </w:rPr>
              <w:t>~¥188M</w:t>
            </w:r>
          </w:p>
        </w:tc>
        <w:tc>
          <w:tcPr>
            <w:tcW w:type="dxa" w:w="1881"/>
            <w:shd w:val="clear" w:color="auto" w:fill="DDEBF7"/>
          </w:tcPr>
          <w:p>
            <w:r>
              <w:rPr>
                <w:rFonts w:ascii="Meiryo UI" w:hAnsi="Meiryo UI"/>
                <w:sz w:val="18"/>
              </w:rPr>
              <w:t>~¥215M</w:t>
            </w:r>
          </w:p>
        </w:tc>
        <w:tc>
          <w:tcPr>
            <w:tcW w:type="dxa" w:w="1881"/>
            <w:shd w:val="clear" w:color="auto" w:fill="DDEBF7"/>
          </w:tcPr>
          <w:p>
            <w:r>
              <w:rPr>
                <w:rFonts w:ascii="Meiryo UI" w:hAnsi="Meiryo UI"/>
                <w:sz w:val="18"/>
              </w:rPr>
              <w:t>+¥27M</w:t>
            </w:r>
          </w:p>
        </w:tc>
        <w:tc>
          <w:tcPr>
            <w:tcW w:type="dxa" w:w="1881"/>
            <w:shd w:val="clear" w:color="auto" w:fill="DDEBF7"/>
          </w:tcPr>
          <w:p>
            <w:r>
              <w:rPr>
                <w:rFonts w:ascii="Meiryo UI" w:hAnsi="Meiryo UI"/>
                <w:sz w:val="18"/>
              </w:rPr>
              <w:t>+14.4%</w:t>
            </w:r>
          </w:p>
        </w:tc>
      </w:tr>
      <w:tr>
        <w:tc>
          <w:tcPr>
            <w:tcW w:type="dxa" w:w="1881"/>
          </w:tcPr>
          <w:p>
            <w:r>
              <w:rPr>
                <w:rFonts w:ascii="Meiryo UI" w:hAnsi="Meiryo UI"/>
                <w:sz w:val="18"/>
              </w:rPr>
              <w:t>粗利益率（推計）</w:t>
            </w:r>
          </w:p>
        </w:tc>
        <w:tc>
          <w:tcPr>
            <w:tcW w:type="dxa" w:w="1881"/>
          </w:tcPr>
          <w:p>
            <w:r>
              <w:rPr>
                <w:rFonts w:ascii="Meiryo UI" w:hAnsi="Meiryo UI"/>
                <w:sz w:val="18"/>
              </w:rPr>
              <w:t>~55%</w:t>
            </w:r>
          </w:p>
        </w:tc>
        <w:tc>
          <w:tcPr>
            <w:tcW w:type="dxa" w:w="1881"/>
          </w:tcPr>
          <w:p>
            <w:r>
              <w:rPr>
                <w:rFonts w:ascii="Meiryo UI" w:hAnsi="Meiryo UI"/>
                <w:sz w:val="18"/>
              </w:rPr>
              <w:t>~60%</w:t>
            </w:r>
          </w:p>
        </w:tc>
        <w:tc>
          <w:tcPr>
            <w:tcW w:type="dxa" w:w="1881"/>
          </w:tcPr>
          <w:p>
            <w:r>
              <w:rPr>
                <w:rFonts w:ascii="Meiryo UI" w:hAnsi="Meiryo UI"/>
                <w:sz w:val="18"/>
              </w:rPr>
              <w:t>+5pp</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販管費（推計）</w:t>
            </w:r>
          </w:p>
        </w:tc>
        <w:tc>
          <w:tcPr>
            <w:tcW w:type="dxa" w:w="1881"/>
            <w:shd w:val="clear" w:color="auto" w:fill="DDEBF7"/>
          </w:tcPr>
          <w:p>
            <w:r>
              <w:rPr>
                <w:rFonts w:ascii="Meiryo UI" w:hAnsi="Meiryo UI"/>
                <w:sz w:val="18"/>
              </w:rPr>
              <w:t>~¥151M</w:t>
            </w:r>
          </w:p>
        </w:tc>
        <w:tc>
          <w:tcPr>
            <w:tcW w:type="dxa" w:w="1881"/>
            <w:shd w:val="clear" w:color="auto" w:fill="DDEBF7"/>
          </w:tcPr>
          <w:p>
            <w:r>
              <w:rPr>
                <w:rFonts w:ascii="Meiryo UI" w:hAnsi="Meiryo UI"/>
                <w:sz w:val="18"/>
              </w:rPr>
              <w:t>~¥158M</w:t>
            </w:r>
          </w:p>
        </w:tc>
        <w:tc>
          <w:tcPr>
            <w:tcW w:type="dxa" w:w="1881"/>
            <w:shd w:val="clear" w:color="auto" w:fill="DDEBF7"/>
          </w:tcPr>
          <w:p>
            <w:r>
              <w:rPr>
                <w:rFonts w:ascii="Meiryo UI" w:hAnsi="Meiryo UI"/>
                <w:sz w:val="18"/>
              </w:rPr>
              <w:t>+¥7M</w:t>
            </w:r>
          </w:p>
        </w:tc>
        <w:tc>
          <w:tcPr>
            <w:tcW w:type="dxa" w:w="1881"/>
            <w:shd w:val="clear" w:color="auto" w:fill="DDEBF7"/>
          </w:tcPr>
          <w:p>
            <w:r>
              <w:rPr>
                <w:rFonts w:ascii="Meiryo UI" w:hAnsi="Meiryo UI"/>
                <w:sz w:val="18"/>
              </w:rPr>
              <w:t>+4.6%</w:t>
            </w:r>
          </w:p>
        </w:tc>
      </w:tr>
      <w:tr>
        <w:tc>
          <w:tcPr>
            <w:tcW w:type="dxa" w:w="1881"/>
          </w:tcPr>
          <w:p>
            <w:r>
              <w:rPr>
                <w:rFonts w:ascii="Meiryo UI" w:hAnsi="Meiryo UI"/>
                <w:sz w:val="18"/>
              </w:rPr>
              <w:t>営業利益</w:t>
            </w:r>
          </w:p>
        </w:tc>
        <w:tc>
          <w:tcPr>
            <w:tcW w:type="dxa" w:w="1881"/>
          </w:tcPr>
          <w:p>
            <w:r>
              <w:rPr>
                <w:rFonts w:ascii="Meiryo UI" w:hAnsi="Meiryo UI"/>
                <w:sz w:val="18"/>
              </w:rPr>
              <w:t>¥37M</w:t>
            </w:r>
          </w:p>
        </w:tc>
        <w:tc>
          <w:tcPr>
            <w:tcW w:type="dxa" w:w="1881"/>
          </w:tcPr>
          <w:p>
            <w:r>
              <w:rPr>
                <w:rFonts w:ascii="Meiryo UI" w:hAnsi="Meiryo UI"/>
                <w:sz w:val="18"/>
              </w:rPr>
              <w:t>¥57M</w:t>
            </w:r>
          </w:p>
        </w:tc>
        <w:tc>
          <w:tcPr>
            <w:tcW w:type="dxa" w:w="1881"/>
          </w:tcPr>
          <w:p>
            <w:r>
              <w:rPr>
                <w:rFonts w:ascii="Meiryo UI" w:hAnsi="Meiryo UI"/>
                <w:sz w:val="18"/>
              </w:rPr>
              <w:t>+¥20M</w:t>
            </w:r>
          </w:p>
        </w:tc>
        <w:tc>
          <w:tcPr>
            <w:tcW w:type="dxa" w:w="1881"/>
          </w:tcPr>
          <w:p>
            <w:r>
              <w:rPr>
                <w:rFonts w:ascii="Meiryo UI" w:hAnsi="Meiryo UI"/>
                <w:sz w:val="18"/>
              </w:rPr>
              <w:t>+54.9%</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10.8%</w:t>
            </w:r>
          </w:p>
        </w:tc>
        <w:tc>
          <w:tcPr>
            <w:tcW w:type="dxa" w:w="1881"/>
            <w:shd w:val="clear" w:color="auto" w:fill="DDEBF7"/>
          </w:tcPr>
          <w:p>
            <w:r>
              <w:rPr>
                <w:rFonts w:ascii="Meiryo UI" w:hAnsi="Meiryo UI"/>
                <w:sz w:val="18"/>
              </w:rPr>
              <w:t>15.9%</w:t>
            </w:r>
          </w:p>
        </w:tc>
        <w:tc>
          <w:tcPr>
            <w:tcW w:type="dxa" w:w="1881"/>
            <w:shd w:val="clear" w:color="auto" w:fill="DDEBF7"/>
          </w:tcPr>
          <w:p>
            <w:r>
              <w:rPr>
                <w:rFonts w:ascii="Meiryo UI" w:hAnsi="Meiryo UI"/>
                <w:sz w:val="18"/>
              </w:rPr>
              <w:t>+5.1pp</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経常利益（推計）</w:t>
            </w:r>
          </w:p>
        </w:tc>
        <w:tc>
          <w:tcPr>
            <w:tcW w:type="dxa" w:w="1881"/>
          </w:tcPr>
          <w:p>
            <w:r>
              <w:rPr>
                <w:rFonts w:ascii="Meiryo UI" w:hAnsi="Meiryo UI"/>
                <w:sz w:val="18"/>
              </w:rPr>
              <w:t>~¥38M</w:t>
            </w:r>
          </w:p>
        </w:tc>
        <w:tc>
          <w:tcPr>
            <w:tcW w:type="dxa" w:w="1881"/>
          </w:tcPr>
          <w:p>
            <w:r>
              <w:rPr>
                <w:rFonts w:ascii="Meiryo UI" w:hAnsi="Meiryo UI"/>
                <w:sz w:val="18"/>
              </w:rPr>
              <w:t>~¥59M</w:t>
            </w:r>
          </w:p>
        </w:tc>
        <w:tc>
          <w:tcPr>
            <w:tcW w:type="dxa" w:w="1881"/>
          </w:tcPr>
          <w:p>
            <w:r>
              <w:rPr>
                <w:rFonts w:ascii="Meiryo UI" w:hAnsi="Meiryo UI"/>
                <w:sz w:val="18"/>
              </w:rPr>
              <w:t>+¥21M</w:t>
            </w:r>
          </w:p>
        </w:tc>
        <w:tc>
          <w:tcPr>
            <w:tcW w:type="dxa" w:w="1881"/>
          </w:tcPr>
          <w:p>
            <w:r>
              <w:rPr>
                <w:rFonts w:ascii="Meiryo UI" w:hAnsi="Meiryo UI"/>
                <w:sz w:val="18"/>
              </w:rPr>
              <w:t>+55.3%</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¥23M</w:t>
            </w:r>
          </w:p>
        </w:tc>
        <w:tc>
          <w:tcPr>
            <w:tcW w:type="dxa" w:w="1881"/>
            <w:shd w:val="clear" w:color="auto" w:fill="DDEBF7"/>
          </w:tcPr>
          <w:p>
            <w:r>
              <w:rPr>
                <w:rFonts w:ascii="Meiryo UI" w:hAnsi="Meiryo UI"/>
                <w:sz w:val="18"/>
              </w:rPr>
              <w:t>¥38M</w:t>
            </w:r>
          </w:p>
        </w:tc>
        <w:tc>
          <w:tcPr>
            <w:tcW w:type="dxa" w:w="1881"/>
            <w:shd w:val="clear" w:color="auto" w:fill="DDEBF7"/>
          </w:tcPr>
          <w:p>
            <w:r>
              <w:rPr>
                <w:rFonts w:ascii="Meiryo UI" w:hAnsi="Meiryo UI"/>
                <w:sz w:val="18"/>
              </w:rPr>
              <w:t>+¥15M</w:t>
            </w:r>
          </w:p>
        </w:tc>
        <w:tc>
          <w:tcPr>
            <w:tcW w:type="dxa" w:w="1881"/>
            <w:shd w:val="clear" w:color="auto" w:fill="DDEBF7"/>
          </w:tcPr>
          <w:p>
            <w:r>
              <w:rPr>
                <w:rFonts w:ascii="Meiryo UI" w:hAnsi="Meiryo UI"/>
                <w:sz w:val="18"/>
              </w:rPr>
              <w:t>+64.0%</w:t>
            </w:r>
          </w:p>
        </w:tc>
      </w:tr>
    </w:tbl>
    <w:p/>
    <w:p>
      <w:pPr>
        <w:pStyle w:val="Heading3"/>
      </w:pPr>
      <w:r>
        <w:rPr>
          <w:rFonts w:ascii="Meiryo UI" w:hAnsi="Meiryo UI"/>
          <w:color w:val="2E74B5"/>
        </w:rPr>
        <w:t>3-2. 利益率改善の多角的評価</w:t>
      </w:r>
    </w:p>
    <w:p/>
    <w:p>
      <w:pPr>
        <w:shd w:val="clear" w:color="auto" w:fill="F2F2F2"/>
      </w:pPr>
      <w:r>
        <w:rPr>
          <w:rFonts w:ascii="Courier New" w:hAnsi="Courier New"/>
          <w:sz w:val="16"/>
        </w:rPr>
        <w:t>営業利益率の推移:</w:t>
        <w:br/>
        <w:t>FY2022 Q1: (推計) ~8%</w:t>
        <w:br/>
        <w:t>FY2023 Q1: (推計) ~9%</w:t>
        <w:br/>
        <w:t>FY2024 Q1: (実績) 10.8%</w:t>
        <w:br/>
        <w:t>FY2025 Q1: (実績) 15.9% ← 今回</w:t>
        <w:br/>
        <w:br/>
        <w:t>→ 明確な「段階的な改善トレンド」の中で、今回は「加速」</w:t>
      </w:r>
    </w:p>
    <w:p/>
    <w:p>
      <w:pPr>
        <w:pStyle w:val="Heading3"/>
      </w:pPr>
      <w:r>
        <w:rPr>
          <w:rFonts w:ascii="Meiryo UI" w:hAnsi="Meiryo UI"/>
          <w:color w:val="2E74B5"/>
        </w:rPr>
        <w:t>3-3. 進捗率の意味合い</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通期ガイダンス</w:t>
            </w:r>
          </w:p>
        </w:tc>
        <w:tc>
          <w:tcPr>
            <w:tcW w:type="dxa" w:w="1881"/>
            <w:shd w:val="clear" w:color="auto" w:fill="2E74B5"/>
          </w:tcPr>
          <w:p>
            <w:r>
              <w:rPr>
                <w:rFonts w:ascii="Meiryo UI" w:hAnsi="Meiryo UI"/>
                <w:b/>
                <w:color w:val="FFFFFF"/>
                <w:sz w:val="18"/>
              </w:rPr>
              <w:t>Q1実績</w:t>
            </w:r>
          </w:p>
        </w:tc>
        <w:tc>
          <w:tcPr>
            <w:tcW w:type="dxa" w:w="1881"/>
            <w:shd w:val="clear" w:color="auto" w:fill="2E74B5"/>
          </w:tcPr>
          <w:p>
            <w:r>
              <w:rPr>
                <w:rFonts w:ascii="Meiryo UI" w:hAnsi="Meiryo UI"/>
                <w:b/>
                <w:color w:val="FFFFFF"/>
                <w:sz w:val="18"/>
              </w:rPr>
              <w:t>進捗率</w:t>
            </w:r>
          </w:p>
        </w:tc>
        <w:tc>
          <w:tcPr>
            <w:tcW w:type="dxa" w:w="1881"/>
            <w:shd w:val="clear" w:color="auto" w:fill="2E74B5"/>
          </w:tcPr>
          <w:p>
            <w:r>
              <w:rPr>
                <w:rFonts w:ascii="Meiryo UI" w:hAnsi="Meiryo UI"/>
                <w:b/>
                <w:color w:val="FFFFFF"/>
                <w:sz w:val="18"/>
              </w:rPr>
              <w:t>評価</w:t>
            </w:r>
          </w:p>
        </w:tc>
      </w:tr>
      <w:tr>
        <w:tc>
          <w:tcPr>
            <w:tcW w:type="dxa" w:w="1881"/>
          </w:tcPr>
          <w:p>
            <w:r>
              <w:rPr>
                <w:rFonts w:ascii="Meiryo UI" w:hAnsi="Meiryo UI"/>
                <w:sz w:val="18"/>
              </w:rPr>
              <w:t>売上高</w:t>
            </w:r>
          </w:p>
        </w:tc>
        <w:tc>
          <w:tcPr>
            <w:tcW w:type="dxa" w:w="1881"/>
          </w:tcPr>
          <w:p>
            <w:r>
              <w:rPr>
                <w:rFonts w:ascii="Meiryo UI" w:hAnsi="Meiryo UI"/>
                <w:sz w:val="18"/>
              </w:rPr>
              <w:t>非開示</w:t>
            </w:r>
          </w:p>
        </w:tc>
        <w:tc>
          <w:tcPr>
            <w:tcW w:type="dxa" w:w="1881"/>
          </w:tcPr>
          <w:p>
            <w:r>
              <w:rPr>
                <w:rFonts w:ascii="Meiryo UI" w:hAnsi="Meiryo UI"/>
                <w:sz w:val="18"/>
              </w:rPr>
              <w:t>¥358M</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¥204M</w:t>
            </w:r>
          </w:p>
        </w:tc>
        <w:tc>
          <w:tcPr>
            <w:tcW w:type="dxa" w:w="1881"/>
            <w:shd w:val="clear" w:color="auto" w:fill="DDEBF7"/>
          </w:tcPr>
          <w:p>
            <w:r>
              <w:rPr>
                <w:rFonts w:ascii="Meiryo UI" w:hAnsi="Meiryo UI"/>
                <w:sz w:val="18"/>
              </w:rPr>
              <w:t>¥57M</w:t>
            </w:r>
          </w:p>
        </w:tc>
        <w:tc>
          <w:tcPr>
            <w:tcW w:type="dxa" w:w="1881"/>
            <w:shd w:val="clear" w:color="auto" w:fill="DDEBF7"/>
          </w:tcPr>
          <w:p>
            <w:r>
              <w:rPr>
                <w:rFonts w:ascii="Meiryo UI" w:hAnsi="Meiryo UI"/>
                <w:sz w:val="18"/>
              </w:rPr>
              <w:t>27.9%</w:t>
            </w:r>
          </w:p>
        </w:tc>
        <w:tc>
          <w:tcPr>
            <w:tcW w:type="dxa" w:w="1881"/>
            <w:shd w:val="clear" w:color="auto" w:fill="DDEBF7"/>
          </w:tcPr>
          <w:p>
            <w:r>
              <w:rPr>
                <w:rFonts w:ascii="Meiryo UI" w:hAnsi="Meiryo UI"/>
                <w:sz w:val="18"/>
              </w:rPr>
              <w:t>★★★（大幅前進）</w:t>
            </w:r>
          </w:p>
        </w:tc>
      </w:tr>
      <w:tr>
        <w:tc>
          <w:tcPr>
            <w:tcW w:type="dxa" w:w="1881"/>
          </w:tcPr>
          <w:p>
            <w:r>
              <w:rPr>
                <w:rFonts w:ascii="Meiryo UI" w:hAnsi="Meiryo UI"/>
                <w:sz w:val="18"/>
              </w:rPr>
              <w:t>純利益</w:t>
            </w:r>
          </w:p>
        </w:tc>
        <w:tc>
          <w:tcPr>
            <w:tcW w:type="dxa" w:w="1881"/>
          </w:tcPr>
          <w:p>
            <w:r>
              <w:rPr>
                <w:rFonts w:ascii="Meiryo UI" w:hAnsi="Meiryo UI"/>
                <w:sz w:val="18"/>
              </w:rPr>
              <w:t>非開示</w:t>
            </w:r>
          </w:p>
        </w:tc>
        <w:tc>
          <w:tcPr>
            <w:tcW w:type="dxa" w:w="1881"/>
          </w:tcPr>
          <w:p>
            <w:r>
              <w:rPr>
                <w:rFonts w:ascii="Meiryo UI" w:hAnsi="Meiryo UI"/>
                <w:sz w:val="18"/>
              </w:rPr>
              <w:t>¥38M</w:t>
            </w:r>
          </w:p>
        </w:tc>
        <w:tc>
          <w:tcPr>
            <w:tcW w:type="dxa" w:w="1881"/>
          </w:tcPr>
          <w:p>
            <w:r>
              <w:rPr>
                <w:rFonts w:ascii="Meiryo UI" w:hAnsi="Meiryo UI"/>
                <w:sz w:val="18"/>
              </w:rPr>
              <w:t>—</w:t>
            </w:r>
          </w:p>
        </w:tc>
        <w:tc>
          <w:tcPr>
            <w:tcW w:type="dxa" w:w="1881"/>
          </w:tcPr>
          <w:p>
            <w:r>
              <w:rPr>
                <w:rFonts w:ascii="Meiryo UI" w:hAnsi="Meiryo UI"/>
                <w:sz w:val="18"/>
              </w:rPr>
              <w:t>—</w:t>
            </w:r>
          </w:p>
        </w:tc>
      </w:tr>
    </w:tbl>
    <w:p/>
    <w:p>
      <w:r>
        <w:rPr>
          <w:rFonts w:ascii="Meiryo UI" w:hAnsi="Meiryo UI"/>
          <w:sz w:val="20"/>
        </w:rPr>
        <w:t>&gt; 参考水準: SaaS的ソフトウェア企業のQ1進捗率は、Q4偏重の季節性から通常20-22%程度が「標準」。27.9%は標準より5-8pp高く、「異例の好発進」と評価される。</w:t>
      </w:r>
    </w:p>
    <w:p/>
    <w:p>
      <w:pPr>
        <w:pStyle w:val="Heading3"/>
      </w:pPr>
      <w:r>
        <w:rPr>
          <w:rFonts w:ascii="Meiryo UI" w:hAnsi="Meiryo UI"/>
          <w:color w:val="2E74B5"/>
        </w:rPr>
        <w:t>3-4. 貸借対照表ハイライト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直近（推計）</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自己資本比率</w:t>
            </w:r>
          </w:p>
        </w:tc>
        <w:tc>
          <w:tcPr>
            <w:tcW w:type="dxa" w:w="3135"/>
          </w:tcPr>
          <w:p>
            <w:r>
              <w:rPr>
                <w:rFonts w:ascii="Meiryo UI" w:hAnsi="Meiryo UI"/>
                <w:sz w:val="18"/>
              </w:rPr>
              <w:t>91.6%</w:t>
            </w:r>
          </w:p>
        </w:tc>
        <w:tc>
          <w:tcPr>
            <w:tcW w:type="dxa" w:w="3135"/>
          </w:tcPr>
          <w:p>
            <w:r>
              <w:rPr>
                <w:rFonts w:ascii="Meiryo UI" w:hAnsi="Meiryo UI"/>
                <w:sz w:val="18"/>
              </w:rPr>
              <w:t>★★★ 極めて健全</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実質ゼロ</w:t>
            </w:r>
          </w:p>
        </w:tc>
        <w:tc>
          <w:tcPr>
            <w:tcW w:type="dxa" w:w="3135"/>
            <w:shd w:val="clear" w:color="auto" w:fill="DDEBF7"/>
          </w:tcPr>
          <w:p>
            <w:r>
              <w:rPr>
                <w:rFonts w:ascii="Meiryo UI" w:hAnsi="Meiryo UI"/>
                <w:sz w:val="18"/>
              </w:rPr>
              <w:t>財務リスク皆無</w:t>
            </w:r>
          </w:p>
        </w:tc>
      </w:tr>
      <w:tr>
        <w:tc>
          <w:tcPr>
            <w:tcW w:type="dxa" w:w="3135"/>
          </w:tcPr>
          <w:p>
            <w:r>
              <w:rPr>
                <w:rFonts w:ascii="Meiryo UI" w:hAnsi="Meiryo UI"/>
                <w:sz w:val="18"/>
              </w:rPr>
              <w:t>現金・預金（推計）</w:t>
            </w:r>
          </w:p>
        </w:tc>
        <w:tc>
          <w:tcPr>
            <w:tcW w:type="dxa" w:w="3135"/>
          </w:tcPr>
          <w:p>
            <w:r>
              <w:rPr>
                <w:rFonts w:ascii="Meiryo UI" w:hAnsi="Meiryo UI"/>
                <w:sz w:val="18"/>
              </w:rPr>
              <w:t>¥500-600M</w:t>
            </w:r>
          </w:p>
        </w:tc>
        <w:tc>
          <w:tcPr>
            <w:tcW w:type="dxa" w:w="3135"/>
          </w:tcPr>
          <w:p>
            <w:r>
              <w:rPr>
                <w:rFonts w:ascii="Meiryo UI" w:hAnsi="Meiryo UI"/>
                <w:sz w:val="18"/>
              </w:rPr>
              <w:t>十分な手元流動性</w:t>
            </w:r>
          </w:p>
        </w:tc>
      </w:tr>
      <w:tr>
        <w:tc>
          <w:tcPr>
            <w:tcW w:type="dxa" w:w="3135"/>
            <w:shd w:val="clear" w:color="auto" w:fill="DDEBF7"/>
          </w:tcPr>
          <w:p>
            <w:r>
              <w:rPr>
                <w:rFonts w:ascii="Meiryo UI" w:hAnsi="Meiryo UI"/>
                <w:sz w:val="18"/>
              </w:rPr>
              <w:t>ROE（推計FY2026E）</w:t>
            </w:r>
          </w:p>
        </w:tc>
        <w:tc>
          <w:tcPr>
            <w:tcW w:type="dxa" w:w="3135"/>
            <w:shd w:val="clear" w:color="auto" w:fill="DDEBF7"/>
          </w:tcPr>
          <w:p>
            <w:r>
              <w:rPr>
                <w:rFonts w:ascii="Meiryo UI" w:hAnsi="Meiryo UI"/>
                <w:sz w:val="18"/>
              </w:rPr>
              <w:t>~12-15%</w:t>
            </w:r>
          </w:p>
        </w:tc>
        <w:tc>
          <w:tcPr>
            <w:tcW w:type="dxa" w:w="3135"/>
            <w:shd w:val="clear" w:color="auto" w:fill="DDEBF7"/>
          </w:tcPr>
          <w:p>
            <w:r>
              <w:rPr>
                <w:rFonts w:ascii="Meiryo UI" w:hAnsi="Meiryo UI"/>
                <w:sz w:val="18"/>
              </w:rPr>
              <w:t>改善傾向</w:t>
            </w:r>
          </w:p>
        </w:tc>
      </w:tr>
    </w:tbl>
    <w:p/>
    <w:p>
      <w:r>
        <w:rPr>
          <w:rFonts w:ascii="Meiryo UI" w:hAnsi="Meiryo UI"/>
          <w:sz w:val="20"/>
        </w:rPr>
        <w:t>深井コメント: 自己資本比率91.6%は製造業向けソフトウェア企業としては「異次元の健全性」だ。この財務体力は、以下を可能にする：</w:t>
      </w:r>
    </w:p>
    <w:p>
      <w:pPr>
        <w:pStyle w:val="ListNumber"/>
      </w:pPr>
      <w:r>
        <w:rPr>
          <w:rFonts w:ascii="Meiryo UI" w:hAnsi="Meiryo UI"/>
          <w:sz w:val="20"/>
        </w:rPr>
        <w:t>無借金での積極的な研究開発投資</w:t>
      </w:r>
    </w:p>
    <w:p>
      <w:pPr>
        <w:pStyle w:val="ListNumber"/>
      </w:pPr>
      <w:r>
        <w:rPr>
          <w:rFonts w:ascii="Meiryo UI" w:hAnsi="Meiryo UI"/>
          <w:sz w:val="20"/>
        </w:rPr>
        <w:t>M&amp;A余力（株式分割後の利用も含む）</w:t>
      </w:r>
    </w:p>
    <w:p>
      <w:pPr>
        <w:pStyle w:val="ListNumber"/>
      </w:pPr>
      <w:r>
        <w:rPr>
          <w:rFonts w:ascii="Meiryo UI" w:hAnsi="Meiryo UI"/>
          <w:sz w:val="20"/>
        </w:rPr>
        <w:t>増配・自社株買いの追加余地</w:t>
      </w:r>
    </w:p>
    <w:p/>
    <w:p>
      <w:r>
        <w:t>──────────────────────────────────────────────────</w:t>
      </w:r>
    </w:p>
    <w:p/>
    <w:p>
      <w:pPr>
        <w:pStyle w:val="Heading2"/>
      </w:pPr>
      <w:r>
        <w:rPr>
          <w:rFonts w:ascii="Meiryo UI" w:hAnsi="Meiryo UI"/>
          <w:color w:val="2E74B5"/>
        </w:rPr>
        <w:t>4. 株式分割＋増配統合評価</w:t>
      </w:r>
    </w:p>
    <w:p/>
    <w:p>
      <w:pPr>
        <w:pStyle w:val="Heading3"/>
      </w:pPr>
      <w:r>
        <w:rPr>
          <w:rFonts w:ascii="Meiryo UI" w:hAnsi="Meiryo UI"/>
          <w:color w:val="2E74B5"/>
        </w:rPr>
        <w:t>4-1. 株式分割（1:2）の詳細</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分割比率</w:t>
            </w:r>
          </w:p>
        </w:tc>
        <w:tc>
          <w:tcPr>
            <w:tcW w:type="dxa" w:w="4703"/>
          </w:tcPr>
          <w:p>
            <w:r>
              <w:rPr>
                <w:rFonts w:ascii="Meiryo UI" w:hAnsi="Meiryo UI"/>
                <w:sz w:val="18"/>
              </w:rPr>
              <w:t>1株 → 2株（1:2）</w:t>
            </w:r>
          </w:p>
        </w:tc>
      </w:tr>
      <w:tr>
        <w:tc>
          <w:tcPr>
            <w:tcW w:type="dxa" w:w="4703"/>
            <w:shd w:val="clear" w:color="auto" w:fill="DDEBF7"/>
          </w:tcPr>
          <w:p>
            <w:r>
              <w:rPr>
                <w:rFonts w:ascii="Meiryo UI" w:hAnsi="Meiryo UI"/>
                <w:sz w:val="18"/>
              </w:rPr>
              <w:t>効力発生日</w:t>
            </w:r>
          </w:p>
        </w:tc>
        <w:tc>
          <w:tcPr>
            <w:tcW w:type="dxa" w:w="4703"/>
            <w:shd w:val="clear" w:color="auto" w:fill="DDEBF7"/>
          </w:tcPr>
          <w:p>
            <w:r>
              <w:rPr>
                <w:rFonts w:ascii="Meiryo UI" w:hAnsi="Meiryo UI"/>
                <w:sz w:val="18"/>
              </w:rPr>
              <w:t>2026年6月1日</w:t>
            </w:r>
          </w:p>
        </w:tc>
      </w:tr>
      <w:tr>
        <w:tc>
          <w:tcPr>
            <w:tcW w:type="dxa" w:w="4703"/>
          </w:tcPr>
          <w:p>
            <w:r>
              <w:rPr>
                <w:rFonts w:ascii="Meiryo UI" w:hAnsi="Meiryo UI"/>
                <w:sz w:val="18"/>
              </w:rPr>
              <w:t>基準日</w:t>
            </w:r>
          </w:p>
        </w:tc>
        <w:tc>
          <w:tcPr>
            <w:tcW w:type="dxa" w:w="4703"/>
          </w:tcPr>
          <w:p>
            <w:r>
              <w:rPr>
                <w:rFonts w:ascii="Meiryo UI" w:hAnsi="Meiryo UI"/>
                <w:sz w:val="18"/>
              </w:rPr>
              <w:t>2026年5月31日</w:t>
            </w:r>
          </w:p>
        </w:tc>
      </w:tr>
      <w:tr>
        <w:tc>
          <w:tcPr>
            <w:tcW w:type="dxa" w:w="4703"/>
            <w:shd w:val="clear" w:color="auto" w:fill="DDEBF7"/>
          </w:tcPr>
          <w:p>
            <w:r>
              <w:rPr>
                <w:rFonts w:ascii="Meiryo UI" w:hAnsi="Meiryo UI"/>
                <w:sz w:val="18"/>
              </w:rPr>
              <w:t>目的</w:t>
            </w:r>
          </w:p>
        </w:tc>
        <w:tc>
          <w:tcPr>
            <w:tcW w:type="dxa" w:w="4703"/>
            <w:shd w:val="clear" w:color="auto" w:fill="DDEBF7"/>
          </w:tcPr>
          <w:p>
            <w:r>
              <w:rPr>
                <w:rFonts w:ascii="Meiryo UI" w:hAnsi="Meiryo UI"/>
                <w:sz w:val="18"/>
              </w:rPr>
              <w:t>株式の流動性向上・個人投資家層の拡大</w:t>
            </w:r>
          </w:p>
        </w:tc>
      </w:tr>
    </w:tbl>
    <w:p/>
    <w:p>
      <w:r>
        <w:rPr>
          <w:rFonts w:ascii="Meiryo UI" w:hAnsi="Meiryo UI"/>
          <w:sz w:val="20"/>
        </w:rPr>
        <w:t>株価への影響:</w:t>
      </w:r>
    </w:p>
    <w:p/>
    <w:p>
      <w:pPr>
        <w:shd w:val="clear" w:color="auto" w:fill="F2F2F2"/>
      </w:pPr>
      <w:r>
        <w:rPr>
          <w:rFonts w:ascii="Courier New" w:hAnsi="Courier New"/>
          <w:sz w:val="16"/>
        </w:rPr>
        <w:t>分割前 現在株価（仮定）: ¥1,500/株</w:t>
        <w:br/>
        <w:t>分割後 理論株価:         ¥750/株（機械的な半値）</w:t>
        <w:br/>
        <w:t>分割後 目標株価（深井）:  ¥784/株（ベースケース）</w:t>
        <w:br/>
        <w:t>分割後 目標株価（強気）:  ¥1,025/株（ブルケース）</w:t>
        <w:br/>
        <w:br/>
        <w:t>→ 分割自体は株価中立だが、流動性向上と</w:t>
        <w:br/>
        <w:t xml:space="preserve">　 個人投資家の参入増加が「流動性プレミアム」をもたらす可能性</w:t>
      </w:r>
    </w:p>
    <w:p/>
    <w:p>
      <w:pPr>
        <w:pStyle w:val="Heading3"/>
      </w:pPr>
      <w:r>
        <w:rPr>
          <w:rFonts w:ascii="Meiryo UI" w:hAnsi="Meiryo UI"/>
          <w:color w:val="2E74B5"/>
        </w:rPr>
        <w:t>4-2. 配当政策の大幅改善</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配当</w:t>
            </w:r>
          </w:p>
        </w:tc>
        <w:tc>
          <w:tcPr>
            <w:tcW w:type="dxa" w:w="2351"/>
            <w:shd w:val="clear" w:color="auto" w:fill="2E74B5"/>
          </w:tcPr>
          <w:p>
            <w:r>
              <w:rPr>
                <w:rFonts w:ascii="Meiryo UI" w:hAnsi="Meiryo UI"/>
                <w:b/>
                <w:color w:val="FFFFFF"/>
                <w:sz w:val="18"/>
              </w:rPr>
              <w:t>分割前換算</w:t>
            </w:r>
          </w:p>
        </w:tc>
        <w:tc>
          <w:tcPr>
            <w:tcW w:type="dxa" w:w="2351"/>
            <w:shd w:val="clear" w:color="auto" w:fill="2E74B5"/>
          </w:tcPr>
          <w:p>
            <w:r>
              <w:rPr>
                <w:rFonts w:ascii="Meiryo UI" w:hAnsi="Meiryo UI"/>
                <w:b/>
                <w:color w:val="FFFFFF"/>
                <w:sz w:val="18"/>
              </w:rPr>
              <w:t>分割後換算</w:t>
            </w:r>
          </w:p>
        </w:tc>
        <w:tc>
          <w:tcPr>
            <w:tcW w:type="dxa" w:w="2351"/>
            <w:shd w:val="clear" w:color="auto" w:fill="2E74B5"/>
          </w:tcPr>
          <w:p>
            <w:r>
              <w:rPr>
                <w:rFonts w:ascii="Meiryo UI" w:hAnsi="Meiryo UI"/>
                <w:b/>
                <w:color w:val="FFFFFF"/>
                <w:sz w:val="18"/>
              </w:rPr>
              <w:t>前年比</w:t>
            </w:r>
          </w:p>
        </w:tc>
      </w:tr>
      <w:tr>
        <w:tc>
          <w:tcPr>
            <w:tcW w:type="dxa" w:w="2351"/>
          </w:tcPr>
          <w:p>
            <w:r>
              <w:rPr>
                <w:rFonts w:ascii="Meiryo UI" w:hAnsi="Meiryo UI"/>
                <w:sz w:val="18"/>
              </w:rPr>
              <w:t>中間配当</w:t>
            </w:r>
          </w:p>
        </w:tc>
        <w:tc>
          <w:tcPr>
            <w:tcW w:type="dxa" w:w="2351"/>
          </w:tcPr>
          <w:p>
            <w:r>
              <w:rPr>
                <w:rFonts w:ascii="Meiryo UI" w:hAnsi="Meiryo UI"/>
                <w:sz w:val="18"/>
              </w:rPr>
              <w:t>¥10/株</w:t>
            </w:r>
          </w:p>
        </w:tc>
        <w:tc>
          <w:tcPr>
            <w:tcW w:type="dxa" w:w="2351"/>
          </w:tcPr>
          <w:p>
            <w:r>
              <w:rPr>
                <w:rFonts w:ascii="Meiryo UI" w:hAnsi="Meiryo UI"/>
                <w:sz w:val="18"/>
              </w:rPr>
              <w:t>¥5/株</w:t>
            </w:r>
          </w:p>
        </w:tc>
        <w:tc>
          <w:tcPr>
            <w:tcW w:type="dxa" w:w="2351"/>
          </w:tcPr>
          <w:p>
            <w:r>
              <w:rPr>
                <w:rFonts w:ascii="Meiryo UI" w:hAnsi="Meiryo UI"/>
                <w:sz w:val="18"/>
              </w:rPr>
              <w:t>新設</w:t>
            </w:r>
          </w:p>
        </w:tc>
      </w:tr>
      <w:tr>
        <w:tc>
          <w:tcPr>
            <w:tcW w:type="dxa" w:w="2351"/>
            <w:shd w:val="clear" w:color="auto" w:fill="DDEBF7"/>
          </w:tcPr>
          <w:p>
            <w:r>
              <w:rPr>
                <w:rFonts w:ascii="Meiryo UI" w:hAnsi="Meiryo UI"/>
                <w:sz w:val="18"/>
              </w:rPr>
              <w:t>期末配当</w:t>
            </w:r>
          </w:p>
        </w:tc>
        <w:tc>
          <w:tcPr>
            <w:tcW w:type="dxa" w:w="2351"/>
            <w:shd w:val="clear" w:color="auto" w:fill="DDEBF7"/>
          </w:tcPr>
          <w:p>
            <w:r>
              <w:rPr>
                <w:rFonts w:ascii="Meiryo UI" w:hAnsi="Meiryo UI"/>
                <w:sz w:val="18"/>
              </w:rPr>
              <w:t>¥20/株</w:t>
            </w:r>
          </w:p>
        </w:tc>
        <w:tc>
          <w:tcPr>
            <w:tcW w:type="dxa" w:w="2351"/>
            <w:shd w:val="clear" w:color="auto" w:fill="DDEBF7"/>
          </w:tcPr>
          <w:p>
            <w:r>
              <w:rPr>
                <w:rFonts w:ascii="Meiryo UI" w:hAnsi="Meiryo UI"/>
                <w:sz w:val="18"/>
              </w:rPr>
              <w:t>¥10/株</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年間合計</w:t>
            </w:r>
          </w:p>
        </w:tc>
        <w:tc>
          <w:tcPr>
            <w:tcW w:type="dxa" w:w="2351"/>
          </w:tcPr>
          <w:p>
            <w:r>
              <w:rPr>
                <w:rFonts w:ascii="Meiryo UI" w:hAnsi="Meiryo UI"/>
                <w:sz w:val="18"/>
              </w:rPr>
              <w:t>¥30/株</w:t>
            </w:r>
          </w:p>
        </w:tc>
        <w:tc>
          <w:tcPr>
            <w:tcW w:type="dxa" w:w="2351"/>
          </w:tcPr>
          <w:p>
            <w:r>
              <w:rPr>
                <w:rFonts w:ascii="Meiryo UI" w:hAnsi="Meiryo UI"/>
                <w:sz w:val="18"/>
              </w:rPr>
              <w:t>¥15/株</w:t>
            </w:r>
          </w:p>
        </w:tc>
        <w:tc>
          <w:tcPr>
            <w:tcW w:type="dxa" w:w="2351"/>
          </w:tcPr>
          <w:p>
            <w:r>
              <w:rPr>
                <w:rFonts w:ascii="Meiryo UI" w:hAnsi="Meiryo UI"/>
                <w:sz w:val="18"/>
              </w:rPr>
              <w:t>前年¥20→+50%増配</w:t>
            </w:r>
          </w:p>
        </w:tc>
      </w:tr>
    </w:tbl>
    <w:p/>
    <w:p>
      <w:pPr>
        <w:shd w:val="clear" w:color="auto" w:fill="F2F2F2"/>
      </w:pPr>
      <w:r>
        <w:rPr>
          <w:rFonts w:ascii="Courier New" w:hAnsi="Courier New"/>
          <w:sz w:val="16"/>
        </w:rPr>
        <w:t>配当利回り計算（分割後）:</w:t>
        <w:br/>
        <w:t>現在株価（仮定 分割後¥750）:   ¥750</w:t>
        <w:br/>
        <w:t>年間配当（分割後）:             ¥15</w:t>
        <w:br/>
        <w:t>配当利回り:                     2.0%</w:t>
        <w:br/>
        <w:br/>
        <w:t>目標株価ベースでの利回り:       ¥15 ÷ ¥784 = 1.91%</w:t>
      </w:r>
    </w:p>
    <w:p/>
    <w:p>
      <w:r>
        <w:rPr>
          <w:rFonts w:ascii="Meiryo UI" w:hAnsi="Meiryo UI"/>
          <w:sz w:val="20"/>
        </w:rPr>
        <w:t>増配の意義分析:</w:t>
      </w:r>
    </w:p>
    <w:p/>
    <w:p>
      <w:pPr>
        <w:pStyle w:val="ListNumber"/>
      </w:pPr>
      <w:r>
        <w:rPr>
          <w:rFonts w:ascii="Meiryo UI" w:hAnsi="Meiryo UI"/>
          <w:sz w:val="20"/>
        </w:rPr>
        <w:t>中間配当の新設: これまで期末一括支払いだった配当を、中間・期末の2回に分割。これは「年間を通じたキャッシュフローへの自信」の表れ。</w:t>
      </w:r>
    </w:p>
    <w:p>
      <w:pPr>
        <w:pStyle w:val="ListNumber"/>
      </w:pPr>
      <w:r>
        <w:rPr>
          <w:rFonts w:ascii="Meiryo UI" w:hAnsi="Meiryo UI"/>
          <w:sz w:val="20"/>
        </w:rPr>
        <w:t>+50%増配: 単純な増益率を超える増配率は、経営陣の「来期以降も高水準を維持できる」というコミットメントを示す。</w:t>
      </w:r>
    </w:p>
    <w:p>
      <w:pPr>
        <w:pStyle w:val="ListNumber"/>
      </w:pPr>
      <w:r>
        <w:rPr>
          <w:rFonts w:ascii="Meiryo UI" w:hAnsi="Meiryo UI"/>
          <w:sz w:val="20"/>
        </w:rPr>
        <w:t>分割後でも増配: 分割調整後でも実質的な増配を維持することで、既存株主への還元を明確にしている。</w:t>
      </w:r>
    </w:p>
    <w:p/>
    <w:p>
      <w:pPr>
        <w:pStyle w:val="Heading3"/>
      </w:pPr>
      <w:r>
        <w:rPr>
          <w:rFonts w:ascii="Meiryo UI" w:hAnsi="Meiryo UI"/>
          <w:color w:val="2E74B5"/>
        </w:rPr>
        <w:t>4-3. 株式分割後の株主構成変化予測</w:t>
      </w:r>
    </w:p>
    <w:p/>
    <w:p>
      <w:pPr>
        <w:shd w:val="clear" w:color="auto" w:fill="F2F2F2"/>
      </w:pPr>
      <w:r>
        <w:rPr>
          <w:rFonts w:ascii="Courier New" w:hAnsi="Courier New"/>
          <w:sz w:val="16"/>
        </w:rPr>
        <w:t>現在の個人株主比率（推計）: ~30-35%</w:t>
        <w:br/>
        <w:t>分割後1年での予測:          ~45-55%</w:t>
        <w:br/>
        <w:br/>
        <w:t>→ 個人投資家の参入により:</w:t>
        <w:br/>
        <w:t xml:space="preserve">  - 需要基盤の拡大</w:t>
        <w:br/>
        <w:t xml:space="preserve">  - 短期的な株価ボラティリティの増加（一時的）</w:t>
        <w:br/>
        <w:t xml:space="preserve">  - 長期的なPERプレミアムの付与（流動性プレミアム +5-10%）</w:t>
      </w:r>
    </w:p>
    <w:p/>
    <w:p>
      <w:r>
        <w:t>──────────────────────────────────────────────────</w:t>
      </w:r>
    </w:p>
    <w:p/>
    <w:p>
      <w:pPr>
        <w:pStyle w:val="Heading2"/>
      </w:pPr>
      <w:r>
        <w:rPr>
          <w:rFonts w:ascii="Meiryo UI" w:hAnsi="Meiryo UI"/>
          <w:color w:val="2E74B5"/>
        </w:rPr>
        <w:t>5. ビジネスモデル深掘り</w:t>
      </w:r>
    </w:p>
    <w:p/>
    <w:p>
      <w:pPr>
        <w:pStyle w:val="Heading3"/>
      </w:pPr>
      <w:r>
        <w:rPr>
          <w:rFonts w:ascii="Meiryo UI" w:hAnsi="Meiryo UI"/>
          <w:color w:val="2E74B5"/>
        </w:rPr>
        <w:t>5-1. 製品ポートフォリオ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製品・サービス</w:t>
            </w:r>
          </w:p>
        </w:tc>
        <w:tc>
          <w:tcPr>
            <w:tcW w:type="dxa" w:w="2351"/>
            <w:shd w:val="clear" w:color="auto" w:fill="2E74B5"/>
          </w:tcPr>
          <w:p>
            <w:r>
              <w:rPr>
                <w:rFonts w:ascii="Meiryo UI" w:hAnsi="Meiryo UI"/>
                <w:b/>
                <w:color w:val="FFFFFF"/>
                <w:sz w:val="18"/>
              </w:rPr>
              <w:t>特徴</w:t>
            </w:r>
          </w:p>
        </w:tc>
        <w:tc>
          <w:tcPr>
            <w:tcW w:type="dxa" w:w="2351"/>
            <w:shd w:val="clear" w:color="auto" w:fill="2E74B5"/>
          </w:tcPr>
          <w:p>
            <w:r>
              <w:rPr>
                <w:rFonts w:ascii="Meiryo UI" w:hAnsi="Meiryo UI"/>
                <w:b/>
                <w:color w:val="FFFFFF"/>
                <w:sz w:val="18"/>
              </w:rPr>
              <w:t>顧客セグメント</w:t>
            </w:r>
          </w:p>
        </w:tc>
        <w:tc>
          <w:tcPr>
            <w:tcW w:type="dxa" w:w="2351"/>
            <w:shd w:val="clear" w:color="auto" w:fill="2E74B5"/>
          </w:tcPr>
          <w:p>
            <w:r>
              <w:rPr>
                <w:rFonts w:ascii="Meiryo UI" w:hAnsi="Meiryo UI"/>
                <w:b/>
                <w:color w:val="FFFFFF"/>
                <w:sz w:val="18"/>
              </w:rPr>
              <w:t>売上寄与（推計）</w:t>
            </w:r>
          </w:p>
        </w:tc>
      </w:tr>
      <w:tr>
        <w:tc>
          <w:tcPr>
            <w:tcW w:type="dxa" w:w="2351"/>
          </w:tcPr>
          <w:p>
            <w:r>
              <w:rPr>
                <w:rFonts w:ascii="Meiryo UI" w:hAnsi="Meiryo UI"/>
                <w:sz w:val="18"/>
              </w:rPr>
              <w:t>リアルタイムデータ収集ミドルウェア</w:t>
            </w:r>
          </w:p>
        </w:tc>
        <w:tc>
          <w:tcPr>
            <w:tcW w:type="dxa" w:w="2351"/>
          </w:tcPr>
          <w:p>
            <w:r>
              <w:rPr>
                <w:rFonts w:ascii="Meiryo UI" w:hAnsi="Meiryo UI"/>
                <w:sz w:val="18"/>
              </w:rPr>
              <w:t>生産ラインのデータ可視化基盤</w:t>
            </w:r>
          </w:p>
        </w:tc>
        <w:tc>
          <w:tcPr>
            <w:tcW w:type="dxa" w:w="2351"/>
          </w:tcPr>
          <w:p>
            <w:r>
              <w:rPr>
                <w:rFonts w:ascii="Meiryo UI" w:hAnsi="Meiryo UI"/>
                <w:sz w:val="18"/>
              </w:rPr>
              <w:t>自動車Tier-1</w:t>
            </w:r>
          </w:p>
        </w:tc>
        <w:tc>
          <w:tcPr>
            <w:tcW w:type="dxa" w:w="2351"/>
          </w:tcPr>
          <w:p>
            <w:r>
              <w:rPr>
                <w:rFonts w:ascii="Meiryo UI" w:hAnsi="Meiryo UI"/>
                <w:sz w:val="18"/>
              </w:rPr>
              <w:t>~35%</w:t>
            </w:r>
          </w:p>
        </w:tc>
      </w:tr>
      <w:tr>
        <w:tc>
          <w:tcPr>
            <w:tcW w:type="dxa" w:w="2351"/>
            <w:shd w:val="clear" w:color="auto" w:fill="DDEBF7"/>
          </w:tcPr>
          <w:p>
            <w:r>
              <w:rPr>
                <w:rFonts w:ascii="Meiryo UI" w:hAnsi="Meiryo UI"/>
                <w:sz w:val="18"/>
              </w:rPr>
              <w:t>AI品質管理ソフトウェア</w:t>
            </w:r>
          </w:p>
        </w:tc>
        <w:tc>
          <w:tcPr>
            <w:tcW w:type="dxa" w:w="2351"/>
            <w:shd w:val="clear" w:color="auto" w:fill="DDEBF7"/>
          </w:tcPr>
          <w:p>
            <w:r>
              <w:rPr>
                <w:rFonts w:ascii="Meiryo UI" w:hAnsi="Meiryo UI"/>
                <w:sz w:val="18"/>
              </w:rPr>
              <w:t>不良品検知・歩留まり改善</w:t>
            </w:r>
          </w:p>
        </w:tc>
        <w:tc>
          <w:tcPr>
            <w:tcW w:type="dxa" w:w="2351"/>
            <w:shd w:val="clear" w:color="auto" w:fill="DDEBF7"/>
          </w:tcPr>
          <w:p>
            <w:r>
              <w:rPr>
                <w:rFonts w:ascii="Meiryo UI" w:hAnsi="Meiryo UI"/>
                <w:sz w:val="18"/>
              </w:rPr>
              <w:t>電子機器メーカー</w:t>
            </w:r>
          </w:p>
        </w:tc>
        <w:tc>
          <w:tcPr>
            <w:tcW w:type="dxa" w:w="2351"/>
            <w:shd w:val="clear" w:color="auto" w:fill="DDEBF7"/>
          </w:tcPr>
          <w:p>
            <w:r>
              <w:rPr>
                <w:rFonts w:ascii="Meiryo UI" w:hAnsi="Meiryo UI"/>
                <w:sz w:val="18"/>
              </w:rPr>
              <w:t>~30%</w:t>
            </w:r>
          </w:p>
        </w:tc>
      </w:tr>
      <w:tr>
        <w:tc>
          <w:tcPr>
            <w:tcW w:type="dxa" w:w="2351"/>
          </w:tcPr>
          <w:p>
            <w:r>
              <w:rPr>
                <w:rFonts w:ascii="Meiryo UI" w:hAnsi="Meiryo UI"/>
                <w:sz w:val="18"/>
              </w:rPr>
              <w:t>予知保全システム</w:t>
            </w:r>
          </w:p>
        </w:tc>
        <w:tc>
          <w:tcPr>
            <w:tcW w:type="dxa" w:w="2351"/>
          </w:tcPr>
          <w:p>
            <w:r>
              <w:rPr>
                <w:rFonts w:ascii="Meiryo UI" w:hAnsi="Meiryo UI"/>
                <w:sz w:val="18"/>
              </w:rPr>
              <w:t>設備故障予測・ダウンタイム削減</w:t>
            </w:r>
          </w:p>
        </w:tc>
        <w:tc>
          <w:tcPr>
            <w:tcW w:type="dxa" w:w="2351"/>
          </w:tcPr>
          <w:p>
            <w:r>
              <w:rPr>
                <w:rFonts w:ascii="Meiryo UI" w:hAnsi="Meiryo UI"/>
                <w:sz w:val="18"/>
              </w:rPr>
              <w:t>重工業・半導体装置</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保守・サポートサービス</w:t>
            </w:r>
          </w:p>
        </w:tc>
        <w:tc>
          <w:tcPr>
            <w:tcW w:type="dxa" w:w="2351"/>
            <w:shd w:val="clear" w:color="auto" w:fill="DDEBF7"/>
          </w:tcPr>
          <w:p>
            <w:r>
              <w:rPr>
                <w:rFonts w:ascii="Meiryo UI" w:hAnsi="Meiryo UI"/>
                <w:sz w:val="18"/>
              </w:rPr>
              <w:t>SaaS的定額契約</w:t>
            </w:r>
          </w:p>
        </w:tc>
        <w:tc>
          <w:tcPr>
            <w:tcW w:type="dxa" w:w="2351"/>
            <w:shd w:val="clear" w:color="auto" w:fill="DDEBF7"/>
          </w:tcPr>
          <w:p>
            <w:r>
              <w:rPr>
                <w:rFonts w:ascii="Meiryo UI" w:hAnsi="Meiryo UI"/>
                <w:sz w:val="18"/>
              </w:rPr>
              <w:t>全顧客</w:t>
            </w:r>
          </w:p>
        </w:tc>
        <w:tc>
          <w:tcPr>
            <w:tcW w:type="dxa" w:w="2351"/>
            <w:shd w:val="clear" w:color="auto" w:fill="DDEBF7"/>
          </w:tcPr>
          <w:p>
            <w:r>
              <w:rPr>
                <w:rFonts w:ascii="Meiryo UI" w:hAnsi="Meiryo UI"/>
                <w:sz w:val="18"/>
              </w:rPr>
              <w:t>~15%</w:t>
            </w:r>
          </w:p>
        </w:tc>
      </w:tr>
    </w:tbl>
    <w:p/>
    <w:p>
      <w:pPr>
        <w:pStyle w:val="Heading3"/>
      </w:pPr>
      <w:r>
        <w:rPr>
          <w:rFonts w:ascii="Meiryo UI" w:hAnsi="Meiryo UI"/>
          <w:color w:val="2E74B5"/>
        </w:rPr>
        <w:t>5-2. 市場機会の定量評価</w:t>
      </w:r>
    </w:p>
    <w:p/>
    <w:p>
      <w:pPr>
        <w:shd w:val="clear" w:color="auto" w:fill="F2F2F2"/>
      </w:pPr>
      <w:r>
        <w:rPr>
          <w:rFonts w:ascii="Courier New" w:hAnsi="Courier New"/>
          <w:sz w:val="16"/>
        </w:rPr>
        <w:t>日本製造業のDX投資市場（2025年推計）: ~¥8,000-10,000B</w:t>
        <w:br/>
        <w:t>うちAI/IoT製造ソフトウェア市場:       ~¥300-500B</w:t>
        <w:br/>
        <w:t>エクスモーション推計シェア:            ~0.5-1.0%</w:t>
        <w:br/>
        <w:t>→ シェア拡大余地: 大きい</w:t>
      </w:r>
    </w:p>
    <w:p/>
    <w:p>
      <w:pPr>
        <w:pStyle w:val="Heading3"/>
      </w:pPr>
      <w:r>
        <w:rPr>
          <w:rFonts w:ascii="Meiryo UI" w:hAnsi="Meiryo UI"/>
          <w:color w:val="2E74B5"/>
        </w:rPr>
        <w:t>5-3. 競合優位性の源泉</w:t>
      </w:r>
    </w:p>
    <w:p/>
    <w:p>
      <w:pPr>
        <w:pStyle w:val="ListNumber"/>
      </w:pPr>
      <w:r>
        <w:rPr>
          <w:rFonts w:ascii="Meiryo UI" w:hAnsi="Meiryo UI"/>
          <w:sz w:val="20"/>
        </w:rPr>
        <w:t>導入実績と参照顧客: 自動車Tier-1での豊富な導入実績が「同業他社への横展開」を容易にする</w:t>
      </w:r>
    </w:p>
    <w:p>
      <w:pPr>
        <w:pStyle w:val="ListNumber"/>
      </w:pPr>
      <w:r>
        <w:rPr>
          <w:rFonts w:ascii="Meiryo UI" w:hAnsi="Meiryo UI"/>
          <w:sz w:val="20"/>
        </w:rPr>
        <w:t>特許・IP保護: 予知保全AIのコアアルゴリズムで複数特許を保有（推計）</w:t>
      </w:r>
    </w:p>
    <w:p>
      <w:pPr>
        <w:pStyle w:val="ListNumber"/>
      </w:pPr>
      <w:r>
        <w:rPr>
          <w:rFonts w:ascii="Meiryo UI" w:hAnsi="Meiryo UI"/>
          <w:sz w:val="20"/>
        </w:rPr>
        <w:t>スイッチングコストの高さ: 一度生産ラインに組み込まれたシステムは「抜き替え困難」</w:t>
      </w:r>
    </w:p>
    <w:p/>
    <w:p>
      <w:r>
        <w:t>──────────────────────────────────────────────────</w:t>
      </w:r>
    </w:p>
    <w:p/>
    <w:p>
      <w:pPr>
        <w:pStyle w:val="Heading2"/>
      </w:pPr>
      <w:r>
        <w:rPr>
          <w:rFonts w:ascii="Meiryo UI" w:hAnsi="Meiryo UI"/>
          <w:color w:val="2E74B5"/>
        </w:rPr>
        <w:t>6. DCFバリュエーション</w:t>
      </w:r>
    </w:p>
    <w:p/>
    <w:p>
      <w:pPr>
        <w:pStyle w:val="Heading3"/>
      </w:pPr>
      <w:r>
        <w:rPr>
          <w:rFonts w:ascii="Meiryo UI" w:hAnsi="Meiryo UI"/>
          <w:color w:val="2E74B5"/>
        </w:rPr>
        <w:t>6-1. 前提条件</w:t>
      </w:r>
    </w:p>
    <w:p/>
    <w:p>
      <w:pPr>
        <w:shd w:val="clear" w:color="auto" w:fill="F2F2F2"/>
      </w:pPr>
      <w:r>
        <w:rPr>
          <w:rFonts w:ascii="Courier New" w:hAnsi="Courier New"/>
          <w:sz w:val="16"/>
        </w:rPr>
        <w:t>WACC計算:</w:t>
        <w:br/>
        <w:t xml:space="preserve">  リスクフリーレート (10年国債): 1.55%</w:t>
        <w:br/>
        <w:t xml:space="preserve">  株式リスクプレミアム:          5.5%</w:t>
        <w:br/>
        <w:t xml:space="preserve">  ベータ（推計）:                1.09</w:t>
        <w:br/>
        <w:t xml:space="preserve">  WACC:                         1.55% + 1.09 × 5.5% = 1.55% + 5.99% ≒ 7.55%</w:t>
        <w:br/>
        <w:br/>
        <w:t>ターミナル成長率: 2.0%（日本のソフトウェア業界長期成長率）</w:t>
        <w:br/>
        <w:t>予測期間: 5年（FY2026E - FY2030E）</w:t>
      </w:r>
    </w:p>
    <w:p/>
    <w:p>
      <w:pPr>
        <w:pStyle w:val="Heading3"/>
      </w:pPr>
      <w:r>
        <w:rPr>
          <w:rFonts w:ascii="Meiryo UI" w:hAnsi="Meiryo UI"/>
          <w:color w:val="2E74B5"/>
        </w:rPr>
        <w:t>6-2. DCFモデル（ベースケース）</w:t>
      </w:r>
    </w:p>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2E74B5"/>
          </w:tcPr>
          <w:p>
            <w:r>
              <w:rPr>
                <w:rFonts w:ascii="Meiryo UI" w:hAnsi="Meiryo UI"/>
                <w:b/>
                <w:color w:val="FFFFFF"/>
                <w:sz w:val="18"/>
              </w:rPr>
              <w:t>年度</w:t>
            </w:r>
          </w:p>
        </w:tc>
        <w:tc>
          <w:tcPr>
            <w:tcW w:type="dxa" w:w="1045"/>
            <w:shd w:val="clear" w:color="auto" w:fill="2E74B5"/>
          </w:tcPr>
          <w:p>
            <w:r>
              <w:rPr>
                <w:rFonts w:ascii="Meiryo UI" w:hAnsi="Meiryo UI"/>
                <w:b/>
                <w:color w:val="FFFFFF"/>
                <w:sz w:val="18"/>
              </w:rPr>
              <w:t>売上高（M）</w:t>
            </w:r>
          </w:p>
        </w:tc>
        <w:tc>
          <w:tcPr>
            <w:tcW w:type="dxa" w:w="1045"/>
            <w:shd w:val="clear" w:color="auto" w:fill="2E74B5"/>
          </w:tcPr>
          <w:p>
            <w:r>
              <w:rPr>
                <w:rFonts w:ascii="Meiryo UI" w:hAnsi="Meiryo UI"/>
                <w:b/>
                <w:color w:val="FFFFFF"/>
                <w:sz w:val="18"/>
              </w:rPr>
              <w:t>YoY%</w:t>
            </w:r>
          </w:p>
        </w:tc>
        <w:tc>
          <w:tcPr>
            <w:tcW w:type="dxa" w:w="1045"/>
            <w:shd w:val="clear" w:color="auto" w:fill="2E74B5"/>
          </w:tcPr>
          <w:p>
            <w:r>
              <w:rPr>
                <w:rFonts w:ascii="Meiryo UI" w:hAnsi="Meiryo UI"/>
                <w:b/>
                <w:color w:val="FFFFFF"/>
                <w:sz w:val="18"/>
              </w:rPr>
              <w:t>OP（M）</w:t>
            </w:r>
          </w:p>
        </w:tc>
        <w:tc>
          <w:tcPr>
            <w:tcW w:type="dxa" w:w="1045"/>
            <w:shd w:val="clear" w:color="auto" w:fill="2E74B5"/>
          </w:tcPr>
          <w:p>
            <w:r>
              <w:rPr>
                <w:rFonts w:ascii="Meiryo UI" w:hAnsi="Meiryo UI"/>
                <w:b/>
                <w:color w:val="FFFFFF"/>
                <w:sz w:val="18"/>
              </w:rPr>
              <w:t>OPM%</w:t>
            </w:r>
          </w:p>
        </w:tc>
        <w:tc>
          <w:tcPr>
            <w:tcW w:type="dxa" w:w="1045"/>
            <w:shd w:val="clear" w:color="auto" w:fill="2E74B5"/>
          </w:tcPr>
          <w:p>
            <w:r>
              <w:rPr>
                <w:rFonts w:ascii="Meiryo UI" w:hAnsi="Meiryo UI"/>
                <w:b/>
                <w:color w:val="FFFFFF"/>
                <w:sz w:val="18"/>
              </w:rPr>
              <w:t>NOPAT（M）</w:t>
            </w:r>
          </w:p>
        </w:tc>
        <w:tc>
          <w:tcPr>
            <w:tcW w:type="dxa" w:w="1045"/>
            <w:shd w:val="clear" w:color="auto" w:fill="2E74B5"/>
          </w:tcPr>
          <w:p>
            <w:r>
              <w:rPr>
                <w:rFonts w:ascii="Meiryo UI" w:hAnsi="Meiryo UI"/>
                <w:b/>
                <w:color w:val="FFFFFF"/>
                <w:sz w:val="18"/>
              </w:rPr>
              <w:t>FCF（M）</w:t>
            </w:r>
          </w:p>
        </w:tc>
        <w:tc>
          <w:tcPr>
            <w:tcW w:type="dxa" w:w="1045"/>
            <w:shd w:val="clear" w:color="auto" w:fill="2E74B5"/>
          </w:tcPr>
          <w:p>
            <w:r>
              <w:rPr>
                <w:rFonts w:ascii="Meiryo UI" w:hAnsi="Meiryo UI"/>
                <w:b/>
                <w:color w:val="FFFFFF"/>
                <w:sz w:val="18"/>
              </w:rPr>
              <w:t>割引係数</w:t>
            </w:r>
          </w:p>
        </w:tc>
        <w:tc>
          <w:tcPr>
            <w:tcW w:type="dxa" w:w="1045"/>
            <w:shd w:val="clear" w:color="auto" w:fill="2E74B5"/>
          </w:tcPr>
          <w:p>
            <w:r>
              <w:rPr>
                <w:rFonts w:ascii="Meiryo UI" w:hAnsi="Meiryo UI"/>
                <w:b/>
                <w:color w:val="FFFFFF"/>
                <w:sz w:val="18"/>
              </w:rPr>
              <w:t>PV（M）</w:t>
            </w:r>
          </w:p>
        </w:tc>
      </w:tr>
      <w:tr>
        <w:tc>
          <w:tcPr>
            <w:tcW w:type="dxa" w:w="1045"/>
          </w:tcPr>
          <w:p>
            <w:r>
              <w:rPr>
                <w:rFonts w:ascii="Meiryo UI" w:hAnsi="Meiryo UI"/>
                <w:sz w:val="18"/>
              </w:rPr>
              <w:t>FY2026E</w:t>
            </w:r>
          </w:p>
        </w:tc>
        <w:tc>
          <w:tcPr>
            <w:tcW w:type="dxa" w:w="1045"/>
          </w:tcPr>
          <w:p>
            <w:r>
              <w:rPr>
                <w:rFonts w:ascii="Meiryo UI" w:hAnsi="Meiryo UI"/>
                <w:sz w:val="18"/>
              </w:rPr>
              <w:t>¥1,450</w:t>
            </w:r>
          </w:p>
        </w:tc>
        <w:tc>
          <w:tcPr>
            <w:tcW w:type="dxa" w:w="1045"/>
          </w:tcPr>
          <w:p>
            <w:r>
              <w:rPr>
                <w:rFonts w:ascii="Meiryo UI" w:hAnsi="Meiryo UI"/>
                <w:sz w:val="18"/>
              </w:rPr>
              <w:t>+6.6%</w:t>
            </w:r>
          </w:p>
        </w:tc>
        <w:tc>
          <w:tcPr>
            <w:tcW w:type="dxa" w:w="1045"/>
          </w:tcPr>
          <w:p>
            <w:r>
              <w:rPr>
                <w:rFonts w:ascii="Meiryo UI" w:hAnsi="Meiryo UI"/>
                <w:sz w:val="18"/>
              </w:rPr>
              <w:t>¥225</w:t>
            </w:r>
          </w:p>
        </w:tc>
        <w:tc>
          <w:tcPr>
            <w:tcW w:type="dxa" w:w="1045"/>
          </w:tcPr>
          <w:p>
            <w:r>
              <w:rPr>
                <w:rFonts w:ascii="Meiryo UI" w:hAnsi="Meiryo UI"/>
                <w:sz w:val="18"/>
              </w:rPr>
              <w:t>15.5%</w:t>
            </w:r>
          </w:p>
        </w:tc>
        <w:tc>
          <w:tcPr>
            <w:tcW w:type="dxa" w:w="1045"/>
          </w:tcPr>
          <w:p>
            <w:r>
              <w:rPr>
                <w:rFonts w:ascii="Meiryo UI" w:hAnsi="Meiryo UI"/>
                <w:sz w:val="18"/>
              </w:rPr>
              <w:t>¥157</w:t>
            </w:r>
          </w:p>
        </w:tc>
        <w:tc>
          <w:tcPr>
            <w:tcW w:type="dxa" w:w="1045"/>
          </w:tcPr>
          <w:p>
            <w:r>
              <w:rPr>
                <w:rFonts w:ascii="Meiryo UI" w:hAnsi="Meiryo UI"/>
                <w:sz w:val="18"/>
              </w:rPr>
              <w:t>¥140</w:t>
            </w:r>
          </w:p>
        </w:tc>
        <w:tc>
          <w:tcPr>
            <w:tcW w:type="dxa" w:w="1045"/>
          </w:tcPr>
          <w:p>
            <w:r>
              <w:rPr>
                <w:rFonts w:ascii="Meiryo UI" w:hAnsi="Meiryo UI"/>
                <w:sz w:val="18"/>
              </w:rPr>
              <w:t>0.930</w:t>
            </w:r>
          </w:p>
        </w:tc>
        <w:tc>
          <w:tcPr>
            <w:tcW w:type="dxa" w:w="1045"/>
          </w:tcPr>
          <w:p>
            <w:r>
              <w:rPr>
                <w:rFonts w:ascii="Meiryo UI" w:hAnsi="Meiryo UI"/>
                <w:sz w:val="18"/>
              </w:rPr>
              <w:t>¥130</w:t>
            </w:r>
          </w:p>
        </w:tc>
      </w:tr>
      <w:tr>
        <w:tc>
          <w:tcPr>
            <w:tcW w:type="dxa" w:w="1045"/>
            <w:shd w:val="clear" w:color="auto" w:fill="DDEBF7"/>
          </w:tcPr>
          <w:p>
            <w:r>
              <w:rPr>
                <w:rFonts w:ascii="Meiryo UI" w:hAnsi="Meiryo UI"/>
                <w:sz w:val="18"/>
              </w:rPr>
              <w:t>FY2027E</w:t>
            </w:r>
          </w:p>
        </w:tc>
        <w:tc>
          <w:tcPr>
            <w:tcW w:type="dxa" w:w="1045"/>
            <w:shd w:val="clear" w:color="auto" w:fill="DDEBF7"/>
          </w:tcPr>
          <w:p>
            <w:r>
              <w:rPr>
                <w:rFonts w:ascii="Meiryo UI" w:hAnsi="Meiryo UI"/>
                <w:sz w:val="18"/>
              </w:rPr>
              <w:t>¥1,580</w:t>
            </w:r>
          </w:p>
        </w:tc>
        <w:tc>
          <w:tcPr>
            <w:tcW w:type="dxa" w:w="1045"/>
            <w:shd w:val="clear" w:color="auto" w:fill="DDEBF7"/>
          </w:tcPr>
          <w:p>
            <w:r>
              <w:rPr>
                <w:rFonts w:ascii="Meiryo UI" w:hAnsi="Meiryo UI"/>
                <w:sz w:val="18"/>
              </w:rPr>
              <w:t>+9.0%</w:t>
            </w:r>
          </w:p>
        </w:tc>
        <w:tc>
          <w:tcPr>
            <w:tcW w:type="dxa" w:w="1045"/>
            <w:shd w:val="clear" w:color="auto" w:fill="DDEBF7"/>
          </w:tcPr>
          <w:p>
            <w:r>
              <w:rPr>
                <w:rFonts w:ascii="Meiryo UI" w:hAnsi="Meiryo UI"/>
                <w:sz w:val="18"/>
              </w:rPr>
              <w:t>¥255</w:t>
            </w:r>
          </w:p>
        </w:tc>
        <w:tc>
          <w:tcPr>
            <w:tcW w:type="dxa" w:w="1045"/>
            <w:shd w:val="clear" w:color="auto" w:fill="DDEBF7"/>
          </w:tcPr>
          <w:p>
            <w:r>
              <w:rPr>
                <w:rFonts w:ascii="Meiryo UI" w:hAnsi="Meiryo UI"/>
                <w:sz w:val="18"/>
              </w:rPr>
              <w:t>16.1%</w:t>
            </w:r>
          </w:p>
        </w:tc>
        <w:tc>
          <w:tcPr>
            <w:tcW w:type="dxa" w:w="1045"/>
            <w:shd w:val="clear" w:color="auto" w:fill="DDEBF7"/>
          </w:tcPr>
          <w:p>
            <w:r>
              <w:rPr>
                <w:rFonts w:ascii="Meiryo UI" w:hAnsi="Meiryo UI"/>
                <w:sz w:val="18"/>
              </w:rPr>
              <w:t>¥179</w:t>
            </w:r>
          </w:p>
        </w:tc>
        <w:tc>
          <w:tcPr>
            <w:tcW w:type="dxa" w:w="1045"/>
            <w:shd w:val="clear" w:color="auto" w:fill="DDEBF7"/>
          </w:tcPr>
          <w:p>
            <w:r>
              <w:rPr>
                <w:rFonts w:ascii="Meiryo UI" w:hAnsi="Meiryo UI"/>
                <w:sz w:val="18"/>
              </w:rPr>
              <w:t>¥165</w:t>
            </w:r>
          </w:p>
        </w:tc>
        <w:tc>
          <w:tcPr>
            <w:tcW w:type="dxa" w:w="1045"/>
            <w:shd w:val="clear" w:color="auto" w:fill="DDEBF7"/>
          </w:tcPr>
          <w:p>
            <w:r>
              <w:rPr>
                <w:rFonts w:ascii="Meiryo UI" w:hAnsi="Meiryo UI"/>
                <w:sz w:val="18"/>
              </w:rPr>
              <w:t>0.865</w:t>
            </w:r>
          </w:p>
        </w:tc>
        <w:tc>
          <w:tcPr>
            <w:tcW w:type="dxa" w:w="1045"/>
            <w:shd w:val="clear" w:color="auto" w:fill="DDEBF7"/>
          </w:tcPr>
          <w:p>
            <w:r>
              <w:rPr>
                <w:rFonts w:ascii="Meiryo UI" w:hAnsi="Meiryo UI"/>
                <w:sz w:val="18"/>
              </w:rPr>
              <w:t>¥143</w:t>
            </w:r>
          </w:p>
        </w:tc>
      </w:tr>
      <w:tr>
        <w:tc>
          <w:tcPr>
            <w:tcW w:type="dxa" w:w="1045"/>
          </w:tcPr>
          <w:p>
            <w:r>
              <w:rPr>
                <w:rFonts w:ascii="Meiryo UI" w:hAnsi="Meiryo UI"/>
                <w:sz w:val="18"/>
              </w:rPr>
              <w:t>FY2028E</w:t>
            </w:r>
          </w:p>
        </w:tc>
        <w:tc>
          <w:tcPr>
            <w:tcW w:type="dxa" w:w="1045"/>
          </w:tcPr>
          <w:p>
            <w:r>
              <w:rPr>
                <w:rFonts w:ascii="Meiryo UI" w:hAnsi="Meiryo UI"/>
                <w:sz w:val="18"/>
              </w:rPr>
              <w:t>¥1,720</w:t>
            </w:r>
          </w:p>
        </w:tc>
        <w:tc>
          <w:tcPr>
            <w:tcW w:type="dxa" w:w="1045"/>
          </w:tcPr>
          <w:p>
            <w:r>
              <w:rPr>
                <w:rFonts w:ascii="Meiryo UI" w:hAnsi="Meiryo UI"/>
                <w:sz w:val="18"/>
              </w:rPr>
              <w:t>+8.9%</w:t>
            </w:r>
          </w:p>
        </w:tc>
        <w:tc>
          <w:tcPr>
            <w:tcW w:type="dxa" w:w="1045"/>
          </w:tcPr>
          <w:p>
            <w:r>
              <w:rPr>
                <w:rFonts w:ascii="Meiryo UI" w:hAnsi="Meiryo UI"/>
                <w:sz w:val="18"/>
              </w:rPr>
              <w:t>¥290</w:t>
            </w:r>
          </w:p>
        </w:tc>
        <w:tc>
          <w:tcPr>
            <w:tcW w:type="dxa" w:w="1045"/>
          </w:tcPr>
          <w:p>
            <w:r>
              <w:rPr>
                <w:rFonts w:ascii="Meiryo UI" w:hAnsi="Meiryo UI"/>
                <w:sz w:val="18"/>
              </w:rPr>
              <w:t>16.9%</w:t>
            </w:r>
          </w:p>
        </w:tc>
        <w:tc>
          <w:tcPr>
            <w:tcW w:type="dxa" w:w="1045"/>
          </w:tcPr>
          <w:p>
            <w:r>
              <w:rPr>
                <w:rFonts w:ascii="Meiryo UI" w:hAnsi="Meiryo UI"/>
                <w:sz w:val="18"/>
              </w:rPr>
              <w:t>¥203</w:t>
            </w:r>
          </w:p>
        </w:tc>
        <w:tc>
          <w:tcPr>
            <w:tcW w:type="dxa" w:w="1045"/>
          </w:tcPr>
          <w:p>
            <w:r>
              <w:rPr>
                <w:rFonts w:ascii="Meiryo UI" w:hAnsi="Meiryo UI"/>
                <w:sz w:val="18"/>
              </w:rPr>
              <w:t>¥190</w:t>
            </w:r>
          </w:p>
        </w:tc>
        <w:tc>
          <w:tcPr>
            <w:tcW w:type="dxa" w:w="1045"/>
          </w:tcPr>
          <w:p>
            <w:r>
              <w:rPr>
                <w:rFonts w:ascii="Meiryo UI" w:hAnsi="Meiryo UI"/>
                <w:sz w:val="18"/>
              </w:rPr>
              <w:t>0.804</w:t>
            </w:r>
          </w:p>
        </w:tc>
        <w:tc>
          <w:tcPr>
            <w:tcW w:type="dxa" w:w="1045"/>
          </w:tcPr>
          <w:p>
            <w:r>
              <w:rPr>
                <w:rFonts w:ascii="Meiryo UI" w:hAnsi="Meiryo UI"/>
                <w:sz w:val="18"/>
              </w:rPr>
              <w:t>¥153</w:t>
            </w:r>
          </w:p>
        </w:tc>
      </w:tr>
      <w:tr>
        <w:tc>
          <w:tcPr>
            <w:tcW w:type="dxa" w:w="1045"/>
            <w:shd w:val="clear" w:color="auto" w:fill="DDEBF7"/>
          </w:tcPr>
          <w:p>
            <w:r>
              <w:rPr>
                <w:rFonts w:ascii="Meiryo UI" w:hAnsi="Meiryo UI"/>
                <w:sz w:val="18"/>
              </w:rPr>
              <w:t>FY2029E</w:t>
            </w:r>
          </w:p>
        </w:tc>
        <w:tc>
          <w:tcPr>
            <w:tcW w:type="dxa" w:w="1045"/>
            <w:shd w:val="clear" w:color="auto" w:fill="DDEBF7"/>
          </w:tcPr>
          <w:p>
            <w:r>
              <w:rPr>
                <w:rFonts w:ascii="Meiryo UI" w:hAnsi="Meiryo UI"/>
                <w:sz w:val="18"/>
              </w:rPr>
              <w:t>¥1,870</w:t>
            </w:r>
          </w:p>
        </w:tc>
        <w:tc>
          <w:tcPr>
            <w:tcW w:type="dxa" w:w="1045"/>
            <w:shd w:val="clear" w:color="auto" w:fill="DDEBF7"/>
          </w:tcPr>
          <w:p>
            <w:r>
              <w:rPr>
                <w:rFonts w:ascii="Meiryo UI" w:hAnsi="Meiryo UI"/>
                <w:sz w:val="18"/>
              </w:rPr>
              <w:t>+8.7%</w:t>
            </w:r>
          </w:p>
        </w:tc>
        <w:tc>
          <w:tcPr>
            <w:tcW w:type="dxa" w:w="1045"/>
            <w:shd w:val="clear" w:color="auto" w:fill="DDEBF7"/>
          </w:tcPr>
          <w:p>
            <w:r>
              <w:rPr>
                <w:rFonts w:ascii="Meiryo UI" w:hAnsi="Meiryo UI"/>
                <w:sz w:val="18"/>
              </w:rPr>
              <w:t>¥330</w:t>
            </w:r>
          </w:p>
        </w:tc>
        <w:tc>
          <w:tcPr>
            <w:tcW w:type="dxa" w:w="1045"/>
            <w:shd w:val="clear" w:color="auto" w:fill="DDEBF7"/>
          </w:tcPr>
          <w:p>
            <w:r>
              <w:rPr>
                <w:rFonts w:ascii="Meiryo UI" w:hAnsi="Meiryo UI"/>
                <w:sz w:val="18"/>
              </w:rPr>
              <w:t>17.6%</w:t>
            </w:r>
          </w:p>
        </w:tc>
        <w:tc>
          <w:tcPr>
            <w:tcW w:type="dxa" w:w="1045"/>
            <w:shd w:val="clear" w:color="auto" w:fill="DDEBF7"/>
          </w:tcPr>
          <w:p>
            <w:r>
              <w:rPr>
                <w:rFonts w:ascii="Meiryo UI" w:hAnsi="Meiryo UI"/>
                <w:sz w:val="18"/>
              </w:rPr>
              <w:t>¥231</w:t>
            </w:r>
          </w:p>
        </w:tc>
        <w:tc>
          <w:tcPr>
            <w:tcW w:type="dxa" w:w="1045"/>
            <w:shd w:val="clear" w:color="auto" w:fill="DDEBF7"/>
          </w:tcPr>
          <w:p>
            <w:r>
              <w:rPr>
                <w:rFonts w:ascii="Meiryo UI" w:hAnsi="Meiryo UI"/>
                <w:sz w:val="18"/>
              </w:rPr>
              <w:t>¥218</w:t>
            </w:r>
          </w:p>
        </w:tc>
        <w:tc>
          <w:tcPr>
            <w:tcW w:type="dxa" w:w="1045"/>
            <w:shd w:val="clear" w:color="auto" w:fill="DDEBF7"/>
          </w:tcPr>
          <w:p>
            <w:r>
              <w:rPr>
                <w:rFonts w:ascii="Meiryo UI" w:hAnsi="Meiryo UI"/>
                <w:sz w:val="18"/>
              </w:rPr>
              <w:t>0.747</w:t>
            </w:r>
          </w:p>
        </w:tc>
        <w:tc>
          <w:tcPr>
            <w:tcW w:type="dxa" w:w="1045"/>
            <w:shd w:val="clear" w:color="auto" w:fill="DDEBF7"/>
          </w:tcPr>
          <w:p>
            <w:r>
              <w:rPr>
                <w:rFonts w:ascii="Meiryo UI" w:hAnsi="Meiryo UI"/>
                <w:sz w:val="18"/>
              </w:rPr>
              <w:t>¥163</w:t>
            </w:r>
          </w:p>
        </w:tc>
      </w:tr>
      <w:tr>
        <w:tc>
          <w:tcPr>
            <w:tcW w:type="dxa" w:w="1045"/>
          </w:tcPr>
          <w:p>
            <w:r>
              <w:rPr>
                <w:rFonts w:ascii="Meiryo UI" w:hAnsi="Meiryo UI"/>
                <w:sz w:val="18"/>
              </w:rPr>
              <w:t>FY2030E</w:t>
            </w:r>
          </w:p>
        </w:tc>
        <w:tc>
          <w:tcPr>
            <w:tcW w:type="dxa" w:w="1045"/>
          </w:tcPr>
          <w:p>
            <w:r>
              <w:rPr>
                <w:rFonts w:ascii="Meiryo UI" w:hAnsi="Meiryo UI"/>
                <w:sz w:val="18"/>
              </w:rPr>
              <w:t>¥2,020</w:t>
            </w:r>
          </w:p>
        </w:tc>
        <w:tc>
          <w:tcPr>
            <w:tcW w:type="dxa" w:w="1045"/>
          </w:tcPr>
          <w:p>
            <w:r>
              <w:rPr>
                <w:rFonts w:ascii="Meiryo UI" w:hAnsi="Meiryo UI"/>
                <w:sz w:val="18"/>
              </w:rPr>
              <w:t>+8.0%</w:t>
            </w:r>
          </w:p>
        </w:tc>
        <w:tc>
          <w:tcPr>
            <w:tcW w:type="dxa" w:w="1045"/>
          </w:tcPr>
          <w:p>
            <w:r>
              <w:rPr>
                <w:rFonts w:ascii="Meiryo UI" w:hAnsi="Meiryo UI"/>
                <w:sz w:val="18"/>
              </w:rPr>
              <w:t>¥370</w:t>
            </w:r>
          </w:p>
        </w:tc>
        <w:tc>
          <w:tcPr>
            <w:tcW w:type="dxa" w:w="1045"/>
          </w:tcPr>
          <w:p>
            <w:r>
              <w:rPr>
                <w:rFonts w:ascii="Meiryo UI" w:hAnsi="Meiryo UI"/>
                <w:sz w:val="18"/>
              </w:rPr>
              <w:t>18.3%</w:t>
            </w:r>
          </w:p>
        </w:tc>
        <w:tc>
          <w:tcPr>
            <w:tcW w:type="dxa" w:w="1045"/>
          </w:tcPr>
          <w:p>
            <w:r>
              <w:rPr>
                <w:rFonts w:ascii="Meiryo UI" w:hAnsi="Meiryo UI"/>
                <w:sz w:val="18"/>
              </w:rPr>
              <w:t>¥259</w:t>
            </w:r>
          </w:p>
        </w:tc>
        <w:tc>
          <w:tcPr>
            <w:tcW w:type="dxa" w:w="1045"/>
          </w:tcPr>
          <w:p>
            <w:r>
              <w:rPr>
                <w:rFonts w:ascii="Meiryo UI" w:hAnsi="Meiryo UI"/>
                <w:sz w:val="18"/>
              </w:rPr>
              <w:t>¥245</w:t>
            </w:r>
          </w:p>
        </w:tc>
        <w:tc>
          <w:tcPr>
            <w:tcW w:type="dxa" w:w="1045"/>
          </w:tcPr>
          <w:p>
            <w:r>
              <w:rPr>
                <w:rFonts w:ascii="Meiryo UI" w:hAnsi="Meiryo UI"/>
                <w:sz w:val="18"/>
              </w:rPr>
              <w:t>0.694</w:t>
            </w:r>
          </w:p>
        </w:tc>
        <w:tc>
          <w:tcPr>
            <w:tcW w:type="dxa" w:w="1045"/>
          </w:tcPr>
          <w:p>
            <w:r>
              <w:rPr>
                <w:rFonts w:ascii="Meiryo UI" w:hAnsi="Meiryo UI"/>
                <w:sz w:val="18"/>
              </w:rPr>
              <w:t>¥170</w:t>
            </w:r>
          </w:p>
        </w:tc>
      </w:tr>
      <w:tr>
        <w:tc>
          <w:tcPr>
            <w:tcW w:type="dxa" w:w="1045"/>
            <w:shd w:val="clear" w:color="auto" w:fill="DDEBF7"/>
          </w:tcPr>
          <w:p>
            <w:r>
              <w:rPr>
                <w:rFonts w:ascii="Meiryo UI" w:hAnsi="Meiryo UI"/>
                <w:sz w:val="18"/>
              </w:rPr>
              <w:t>ターミナルバリュー</w:t>
            </w:r>
          </w:p>
        </w:tc>
        <w:tc>
          <w:tcPr>
            <w:tcW w:type="dxa" w:w="1045"/>
            <w:shd w:val="clear" w:color="auto" w:fill="DDEBF7"/>
          </w:tcPr>
          <w:p>
            <w:r>
              <w:rPr>
                <w:rFonts w:ascii="Meiryo UI" w:hAnsi="Meiryo UI"/>
                <w:sz w:val="18"/>
              </w:rPr>
              <w:t>—</w:t>
            </w:r>
          </w:p>
        </w:tc>
        <w:tc>
          <w:tcPr>
            <w:tcW w:type="dxa" w:w="1045"/>
            <w:shd w:val="clear" w:color="auto" w:fill="DDEBF7"/>
          </w:tcPr>
          <w:p>
            <w:r>
              <w:rPr>
                <w:rFonts w:ascii="Meiryo UI" w:hAnsi="Meiryo UI"/>
                <w:sz w:val="18"/>
              </w:rPr>
              <w:t>—</w:t>
            </w:r>
          </w:p>
        </w:tc>
        <w:tc>
          <w:tcPr>
            <w:tcW w:type="dxa" w:w="1045"/>
            <w:shd w:val="clear" w:color="auto" w:fill="DDEBF7"/>
          </w:tcPr>
          <w:p>
            <w:r>
              <w:rPr>
                <w:rFonts w:ascii="Meiryo UI" w:hAnsi="Meiryo UI"/>
                <w:sz w:val="18"/>
              </w:rPr>
              <w:t>—</w:t>
            </w:r>
          </w:p>
        </w:tc>
        <w:tc>
          <w:tcPr>
            <w:tcW w:type="dxa" w:w="1045"/>
            <w:shd w:val="clear" w:color="auto" w:fill="DDEBF7"/>
          </w:tcPr>
          <w:p>
            <w:r>
              <w:rPr>
                <w:rFonts w:ascii="Meiryo UI" w:hAnsi="Meiryo UI"/>
                <w:sz w:val="18"/>
              </w:rPr>
              <w:t>—</w:t>
            </w:r>
          </w:p>
        </w:tc>
        <w:tc>
          <w:tcPr>
            <w:tcW w:type="dxa" w:w="1045"/>
            <w:shd w:val="clear" w:color="auto" w:fill="DDEBF7"/>
          </w:tcPr>
          <w:p>
            <w:r>
              <w:rPr>
                <w:rFonts w:ascii="Meiryo UI" w:hAnsi="Meiryo UI"/>
                <w:sz w:val="18"/>
              </w:rPr>
              <w:t>—</w:t>
            </w:r>
          </w:p>
        </w:tc>
        <w:tc>
          <w:tcPr>
            <w:tcW w:type="dxa" w:w="1045"/>
            <w:shd w:val="clear" w:color="auto" w:fill="DDEBF7"/>
          </w:tcPr>
          <w:p>
            <w:r>
              <w:rPr>
                <w:rFonts w:ascii="Meiryo UI" w:hAnsi="Meiryo UI"/>
                <w:sz w:val="18"/>
              </w:rPr>
              <w:t>—</w:t>
            </w:r>
          </w:p>
        </w:tc>
        <w:tc>
          <w:tcPr>
            <w:tcW w:type="dxa" w:w="1045"/>
            <w:shd w:val="clear" w:color="auto" w:fill="DDEBF7"/>
          </w:tcPr>
          <w:p>
            <w:r>
              <w:rPr>
                <w:rFonts w:ascii="Meiryo UI" w:hAnsi="Meiryo UI"/>
                <w:sz w:val="18"/>
              </w:rPr>
              <w:t>0.694</w:t>
            </w:r>
          </w:p>
        </w:tc>
        <w:tc>
          <w:tcPr>
            <w:tcW w:type="dxa" w:w="1045"/>
            <w:shd w:val="clear" w:color="auto" w:fill="DDEBF7"/>
          </w:tcPr>
          <w:p>
            <w:r>
              <w:rPr>
                <w:rFonts w:ascii="Meiryo UI" w:hAnsi="Meiryo UI"/>
                <w:sz w:val="18"/>
              </w:rPr>
              <w:t>¥3,094</w:t>
            </w:r>
          </w:p>
        </w:tc>
      </w:tr>
      <w:tr>
        <w:tc>
          <w:tcPr>
            <w:tcW w:type="dxa" w:w="1045"/>
          </w:tcPr>
          <w:p>
            <w:r>
              <w:rPr>
                <w:rFonts w:ascii="Meiryo UI" w:hAnsi="Meiryo UI"/>
                <w:sz w:val="18"/>
              </w:rPr>
              <w:t>企業価値合計</w:t>
            </w:r>
          </w:p>
        </w:tc>
        <w:tc>
          <w:tcPr>
            <w:tcW w:type="dxa" w:w="1045"/>
          </w:tcPr>
          <w:p>
            <w:r>
              <w:rPr>
                <w:rFonts w:ascii="Meiryo UI" w:hAnsi="Meiryo UI"/>
                <w:sz w:val="18"/>
              </w:rPr>
            </w:r>
          </w:p>
        </w:tc>
        <w:tc>
          <w:tcPr>
            <w:tcW w:type="dxa" w:w="1045"/>
          </w:tcPr>
          <w:p>
            <w:r>
              <w:rPr>
                <w:rFonts w:ascii="Meiryo UI" w:hAnsi="Meiryo UI"/>
                <w:sz w:val="18"/>
              </w:rPr>
            </w:r>
          </w:p>
        </w:tc>
        <w:tc>
          <w:tcPr>
            <w:tcW w:type="dxa" w:w="1045"/>
          </w:tcPr>
          <w:p>
            <w:r>
              <w:rPr>
                <w:rFonts w:ascii="Meiryo UI" w:hAnsi="Meiryo UI"/>
                <w:sz w:val="18"/>
              </w:rPr>
            </w:r>
          </w:p>
        </w:tc>
        <w:tc>
          <w:tcPr>
            <w:tcW w:type="dxa" w:w="1045"/>
          </w:tcPr>
          <w:p>
            <w:r>
              <w:rPr>
                <w:rFonts w:ascii="Meiryo UI" w:hAnsi="Meiryo UI"/>
                <w:sz w:val="18"/>
              </w:rPr>
            </w:r>
          </w:p>
        </w:tc>
        <w:tc>
          <w:tcPr>
            <w:tcW w:type="dxa" w:w="1045"/>
          </w:tcPr>
          <w:p>
            <w:r>
              <w:rPr>
                <w:rFonts w:ascii="Meiryo UI" w:hAnsi="Meiryo UI"/>
                <w:sz w:val="18"/>
              </w:rPr>
            </w:r>
          </w:p>
        </w:tc>
        <w:tc>
          <w:tcPr>
            <w:tcW w:type="dxa" w:w="1045"/>
          </w:tcPr>
          <w:p>
            <w:r>
              <w:rPr>
                <w:rFonts w:ascii="Meiryo UI" w:hAnsi="Meiryo UI"/>
                <w:sz w:val="18"/>
              </w:rPr>
            </w:r>
          </w:p>
        </w:tc>
        <w:tc>
          <w:tcPr>
            <w:tcW w:type="dxa" w:w="1045"/>
          </w:tcPr>
          <w:p>
            <w:r>
              <w:rPr>
                <w:rFonts w:ascii="Meiryo UI" w:hAnsi="Meiryo UI"/>
                <w:sz w:val="18"/>
              </w:rPr>
            </w:r>
          </w:p>
        </w:tc>
        <w:tc>
          <w:tcPr>
            <w:tcW w:type="dxa" w:w="1045"/>
          </w:tcPr>
          <w:p>
            <w:r>
              <w:rPr>
                <w:rFonts w:ascii="Meiryo UI" w:hAnsi="Meiryo UI"/>
                <w:sz w:val="18"/>
              </w:rPr>
              <w:t>¥3,853M</w:t>
            </w:r>
          </w:p>
        </w:tc>
      </w:tr>
    </w:tbl>
    <w:p/>
    <w:p>
      <w:pPr>
        <w:shd w:val="clear" w:color="auto" w:fill="F2F2F2"/>
      </w:pPr>
      <w:r>
        <w:rPr>
          <w:rFonts w:ascii="Courier New" w:hAnsi="Courier New"/>
          <w:sz w:val="16"/>
        </w:rPr>
        <w:t>企業価値（EV）:        ¥3,853M</w:t>
        <w:br/>
        <w:t>（+）現金・預金（推計）: ¥550M</w:t>
        <w:br/>
        <w:t>（−）有利子負債:         ¥0M</w:t>
        <w:br/>
        <w:t>→ 株式価値合計:        ¥4,403M</w:t>
        <w:br/>
        <w:br/>
        <w:t>株式数（分割後推計）: 約5,617千株</w:t>
        <w:br/>
        <w:t>→ 理論株価（分割後）: ¥4,403M ÷ 5,617千株 = ¥784/株</w:t>
      </w:r>
    </w:p>
    <w:p/>
    <w:p>
      <w:pPr>
        <w:pStyle w:val="Heading3"/>
      </w:pPr>
      <w:r>
        <w:rPr>
          <w:rFonts w:ascii="Meiryo UI" w:hAnsi="Meiryo UI"/>
          <w:color w:val="2E74B5"/>
        </w:rPr>
        <w:t>6-3. シナリオ別理論株価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仮定</w:t>
            </w:r>
          </w:p>
        </w:tc>
        <w:tc>
          <w:tcPr>
            <w:tcW w:type="dxa" w:w="3135"/>
            <w:shd w:val="clear" w:color="auto" w:fill="2E74B5"/>
          </w:tcPr>
          <w:p>
            <w:r>
              <w:rPr>
                <w:rFonts w:ascii="Meiryo UI" w:hAnsi="Meiryo UI"/>
                <w:b/>
                <w:color w:val="FFFFFF"/>
                <w:sz w:val="18"/>
              </w:rPr>
              <w:t>理論株価（分割後）</w:t>
            </w:r>
          </w:p>
        </w:tc>
      </w:tr>
      <w:tr>
        <w:tc>
          <w:tcPr>
            <w:tcW w:type="dxa" w:w="3135"/>
          </w:tcPr>
          <w:p>
            <w:r>
              <w:rPr>
                <w:rFonts w:ascii="Meiryo UI" w:hAnsi="Meiryo UI"/>
                <w:sz w:val="18"/>
              </w:rPr>
              <w:t>ベアケース</w:t>
            </w:r>
          </w:p>
        </w:tc>
        <w:tc>
          <w:tcPr>
            <w:tcW w:type="dxa" w:w="3135"/>
          </w:tcPr>
          <w:p>
            <w:r>
              <w:rPr>
                <w:rFonts w:ascii="Meiryo UI" w:hAnsi="Meiryo UI"/>
                <w:sz w:val="18"/>
              </w:rPr>
              <w:t>WACC 9.0%、成長率1.5%、OP ¥210M止まり</w:t>
            </w:r>
          </w:p>
        </w:tc>
        <w:tc>
          <w:tcPr>
            <w:tcW w:type="dxa" w:w="3135"/>
          </w:tcPr>
          <w:p>
            <w:r>
              <w:rPr>
                <w:rFonts w:ascii="Meiryo UI" w:hAnsi="Meiryo UI"/>
                <w:sz w:val="18"/>
              </w:rPr>
              <w:t>¥520</w:t>
            </w:r>
          </w:p>
        </w:tc>
      </w:tr>
      <w:tr>
        <w:tc>
          <w:tcPr>
            <w:tcW w:type="dxa" w:w="3135"/>
            <w:shd w:val="clear" w:color="auto" w:fill="DDEBF7"/>
          </w:tcPr>
          <w:p>
            <w:r>
              <w:rPr>
                <w:rFonts w:ascii="Meiryo UI" w:hAnsi="Meiryo UI"/>
                <w:sz w:val="18"/>
              </w:rPr>
              <w:t>ベースケース</w:t>
            </w:r>
          </w:p>
        </w:tc>
        <w:tc>
          <w:tcPr>
            <w:tcW w:type="dxa" w:w="3135"/>
            <w:shd w:val="clear" w:color="auto" w:fill="DDEBF7"/>
          </w:tcPr>
          <w:p>
            <w:r>
              <w:rPr>
                <w:rFonts w:ascii="Meiryo UI" w:hAnsi="Meiryo UI"/>
                <w:sz w:val="18"/>
              </w:rPr>
              <w:t>WACC 7.55%、成長率2.0%、OP ¥225M</w:t>
            </w:r>
          </w:p>
        </w:tc>
        <w:tc>
          <w:tcPr>
            <w:tcW w:type="dxa" w:w="3135"/>
            <w:shd w:val="clear" w:color="auto" w:fill="DDEBF7"/>
          </w:tcPr>
          <w:p>
            <w:r>
              <w:rPr>
                <w:rFonts w:ascii="Meiryo UI" w:hAnsi="Meiryo UI"/>
                <w:sz w:val="18"/>
              </w:rPr>
              <w:t>¥784</w:t>
            </w:r>
          </w:p>
        </w:tc>
      </w:tr>
      <w:tr>
        <w:tc>
          <w:tcPr>
            <w:tcW w:type="dxa" w:w="3135"/>
          </w:tcPr>
          <w:p>
            <w:r>
              <w:rPr>
                <w:rFonts w:ascii="Meiryo UI" w:hAnsi="Meiryo UI"/>
                <w:sz w:val="18"/>
              </w:rPr>
              <w:t>ブルケース</w:t>
            </w:r>
          </w:p>
        </w:tc>
        <w:tc>
          <w:tcPr>
            <w:tcW w:type="dxa" w:w="3135"/>
          </w:tcPr>
          <w:p>
            <w:r>
              <w:rPr>
                <w:rFonts w:ascii="Meiryo UI" w:hAnsi="Meiryo UI"/>
                <w:sz w:val="18"/>
              </w:rPr>
              <w:t>WACC 6.5%、成長率2.5%、OP ¥240M+</w:t>
            </w:r>
          </w:p>
        </w:tc>
        <w:tc>
          <w:tcPr>
            <w:tcW w:type="dxa" w:w="3135"/>
          </w:tcPr>
          <w:p>
            <w:r>
              <w:rPr>
                <w:rFonts w:ascii="Meiryo UI" w:hAnsi="Meiryo UI"/>
                <w:sz w:val="18"/>
              </w:rPr>
              <w:t>¥1,025</w:t>
            </w:r>
          </w:p>
        </w:tc>
      </w:tr>
    </w:tbl>
    <w:p/>
    <w:p>
      <w:pPr>
        <w:pStyle w:val="Heading3"/>
      </w:pPr>
      <w:r>
        <w:rPr>
          <w:rFonts w:ascii="Meiryo UI" w:hAnsi="Meiryo UI"/>
          <w:color w:val="2E74B5"/>
        </w:rPr>
        <w:t>6-4. 感応度分析</w:t>
      </w:r>
    </w:p>
    <w:p/>
    <w:p>
      <w:pPr>
        <w:shd w:val="clear" w:color="auto" w:fill="F2F2F2"/>
      </w:pPr>
      <w:r>
        <w:rPr>
          <w:rFonts w:ascii="Courier New" w:hAnsi="Courier New"/>
          <w:sz w:val="16"/>
        </w:rPr>
        <w:t>理論株価（分割後）の WACC × ターミナル成長率 感応度マトリクス:</w:t>
        <w:br/>
        <w:br/>
        <w:t xml:space="preserve">          g=1.0%  g=1.5%  g=2.0%  g=2.5%  g=3.0%</w:t>
        <w:br/>
        <w:t>WACC=6.0%  ¥920   ¥985   ¥1,060  ¥1,140  ¥1,240</w:t>
        <w:br/>
        <w:t>WACC=6.5%  ¥850   ¥905   ¥970    ¥1,050  ¥1,130</w:t>
        <w:br/>
        <w:t>WACC=7.0%  ¥790   ¥835   ¥893    ¥958    ¥1,035</w:t>
        <w:br/>
        <w:t>WACC=7.5%  ¥730   ¥773   ¥827    ¥884    ¥951</w:t>
        <w:br/>
        <w:t>WACC=8.0%  ¥678   ¥716   ¥762    ¥813    ¥875</w:t>
        <w:br/>
        <w:t>WACC=9.0%  ¥583   ¥614   ¥649    ¥688    ¥731</w:t>
      </w:r>
    </w:p>
    <w:p/>
    <w:p>
      <w:pPr>
        <w:pStyle w:val="Heading3"/>
      </w:pPr>
      <w:r>
        <w:rPr>
          <w:rFonts w:ascii="Meiryo UI" w:hAnsi="Meiryo UI"/>
          <w:color w:val="2E74B5"/>
        </w:rPr>
        <w:t>6-5. PER/PBRマルチプル検証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比較基準</w:t>
            </w:r>
          </w:p>
        </w:tc>
      </w:tr>
      <w:tr>
        <w:tc>
          <w:tcPr>
            <w:tcW w:type="dxa" w:w="3135"/>
          </w:tcPr>
          <w:p>
            <w:r>
              <w:rPr>
                <w:rFonts w:ascii="Meiryo UI" w:hAnsi="Meiryo UI"/>
                <w:sz w:val="18"/>
              </w:rPr>
              <w:t>FY2026E EPS（分割後推計）</w:t>
            </w:r>
          </w:p>
        </w:tc>
        <w:tc>
          <w:tcPr>
            <w:tcW w:type="dxa" w:w="3135"/>
          </w:tcPr>
          <w:p>
            <w:r>
              <w:rPr>
                <w:rFonts w:ascii="Meiryo UI" w:hAnsi="Meiryo UI"/>
                <w:sz w:val="18"/>
              </w:rPr>
              <w:t>~¥26/株</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目標株価ベースPER</w:t>
            </w:r>
          </w:p>
        </w:tc>
        <w:tc>
          <w:tcPr>
            <w:tcW w:type="dxa" w:w="3135"/>
            <w:shd w:val="clear" w:color="auto" w:fill="DDEBF7"/>
          </w:tcPr>
          <w:p>
            <w:r>
              <w:rPr>
                <w:rFonts w:ascii="Meiryo UI" w:hAnsi="Meiryo UI"/>
                <w:sz w:val="18"/>
              </w:rPr>
              <w:t>¥784 ÷ ¥26 = 30.2x</w:t>
            </w:r>
          </w:p>
        </w:tc>
        <w:tc>
          <w:tcPr>
            <w:tcW w:type="dxa" w:w="3135"/>
            <w:shd w:val="clear" w:color="auto" w:fill="DDEBF7"/>
          </w:tcPr>
          <w:p>
            <w:r>
              <w:rPr>
                <w:rFonts w:ascii="Meiryo UI" w:hAnsi="Meiryo UI"/>
                <w:sz w:val="18"/>
              </w:rPr>
              <w:t>同業SaaSソフト 25-40x</w:t>
            </w:r>
          </w:p>
        </w:tc>
      </w:tr>
      <w:tr>
        <w:tc>
          <w:tcPr>
            <w:tcW w:type="dxa" w:w="3135"/>
          </w:tcPr>
          <w:p>
            <w:r>
              <w:rPr>
                <w:rFonts w:ascii="Meiryo UI" w:hAnsi="Meiryo UI"/>
                <w:sz w:val="18"/>
              </w:rPr>
              <w:t>FY2026E BPS（分割後推計）</w:t>
            </w:r>
          </w:p>
        </w:tc>
        <w:tc>
          <w:tcPr>
            <w:tcW w:type="dxa" w:w="3135"/>
          </w:tcPr>
          <w:p>
            <w:r>
              <w:rPr>
                <w:rFonts w:ascii="Meiryo UI" w:hAnsi="Meiryo UI"/>
                <w:sz w:val="18"/>
              </w:rPr>
              <w:t>~¥175/株</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目標株価ベースPBR</w:t>
            </w:r>
          </w:p>
        </w:tc>
        <w:tc>
          <w:tcPr>
            <w:tcW w:type="dxa" w:w="3135"/>
            <w:shd w:val="clear" w:color="auto" w:fill="DDEBF7"/>
          </w:tcPr>
          <w:p>
            <w:r>
              <w:rPr>
                <w:rFonts w:ascii="Meiryo UI" w:hAnsi="Meiryo UI"/>
                <w:sz w:val="18"/>
              </w:rPr>
              <w:t>¥784 ÷ ¥175 = 4.5x</w:t>
            </w:r>
          </w:p>
        </w:tc>
        <w:tc>
          <w:tcPr>
            <w:tcW w:type="dxa" w:w="3135"/>
            <w:shd w:val="clear" w:color="auto" w:fill="DDEBF7"/>
          </w:tcPr>
          <w:p>
            <w:r>
              <w:rPr>
                <w:rFonts w:ascii="Meiryo UI" w:hAnsi="Meiryo UI"/>
                <w:sz w:val="18"/>
              </w:rPr>
              <w:t>同業SaaSソフト 3-6x</w:t>
            </w:r>
          </w:p>
        </w:tc>
      </w:tr>
    </w:tbl>
    <w:p/>
    <w:p>
      <w:r>
        <w:rPr>
          <w:rFonts w:ascii="Meiryo UI" w:hAnsi="Meiryo UI"/>
          <w:sz w:val="20"/>
        </w:rPr>
        <w:t>&gt; バリュエーション判定: DCFもマルチプルも、目標株価¥784は同業水準と整合的。割安〜適正水準に位置する。</w:t>
      </w:r>
    </w:p>
    <w:p/>
    <w:p>
      <w:r>
        <w:t>──────────────────────────────────────────────────</w:t>
      </w:r>
    </w:p>
    <w:p/>
    <w:p>
      <w:pPr>
        <w:pStyle w:val="Heading2"/>
      </w:pPr>
      <w:r>
        <w:rPr>
          <w:rFonts w:ascii="Meiryo UI" w:hAnsi="Meiryo UI"/>
          <w:color w:val="2E74B5"/>
        </w:rPr>
        <w:t>7. リスクシナリオ分析</w:t>
      </w:r>
    </w:p>
    <w:p/>
    <w:p>
      <w:pPr>
        <w:pStyle w:val="Heading3"/>
      </w:pPr>
      <w:r>
        <w:rPr>
          <w:rFonts w:ascii="Meiryo UI" w:hAnsi="Meiryo UI"/>
          <w:color w:val="2E74B5"/>
        </w:rPr>
        <w:t>7-1. リスクマップ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w:t>
            </w:r>
          </w:p>
        </w:tc>
        <w:tc>
          <w:tcPr>
            <w:tcW w:type="dxa" w:w="1881"/>
            <w:shd w:val="clear" w:color="auto" w:fill="2E74B5"/>
          </w:tcPr>
          <w:p>
            <w:r>
              <w:rPr>
                <w:rFonts w:ascii="Meiryo UI" w:hAnsi="Meiryo UI"/>
                <w:b/>
                <w:color w:val="FFFFFF"/>
                <w:sz w:val="18"/>
              </w:rPr>
              <w:t>発生確率</w:t>
            </w:r>
          </w:p>
        </w:tc>
        <w:tc>
          <w:tcPr>
            <w:tcW w:type="dxa" w:w="1881"/>
            <w:shd w:val="clear" w:color="auto" w:fill="2E74B5"/>
          </w:tcPr>
          <w:p>
            <w:r>
              <w:rPr>
                <w:rFonts w:ascii="Meiryo UI" w:hAnsi="Meiryo UI"/>
                <w:b/>
                <w:color w:val="FFFFFF"/>
                <w:sz w:val="18"/>
              </w:rPr>
              <w:t>影響度</w:t>
            </w:r>
          </w:p>
        </w:tc>
        <w:tc>
          <w:tcPr>
            <w:tcW w:type="dxa" w:w="1881"/>
            <w:shd w:val="clear" w:color="auto" w:fill="2E74B5"/>
          </w:tcPr>
          <w:p>
            <w:r>
              <w:rPr>
                <w:rFonts w:ascii="Meiryo UI" w:hAnsi="Meiryo UI"/>
                <w:b/>
                <w:color w:val="FFFFFF"/>
                <w:sz w:val="18"/>
              </w:rPr>
              <w:t>総合評価</w:t>
            </w:r>
          </w:p>
        </w:tc>
        <w:tc>
          <w:tcPr>
            <w:tcW w:type="dxa" w:w="1881"/>
            <w:shd w:val="clear" w:color="auto" w:fill="2E74B5"/>
          </w:tcPr>
          <w:p>
            <w:r>
              <w:rPr>
                <w:rFonts w:ascii="Meiryo UI" w:hAnsi="Meiryo UI"/>
                <w:b/>
                <w:color w:val="FFFFFF"/>
                <w:sz w:val="18"/>
              </w:rPr>
              <w:t>対処方針</w:t>
            </w:r>
          </w:p>
        </w:tc>
      </w:tr>
      <w:tr>
        <w:tc>
          <w:tcPr>
            <w:tcW w:type="dxa" w:w="1881"/>
          </w:tcPr>
          <w:p>
            <w:r>
              <w:rPr>
                <w:rFonts w:ascii="Meiryo UI" w:hAnsi="Meiryo UI"/>
                <w:sz w:val="18"/>
              </w:rPr>
              <w:t>自動車産業のDX投資凍結</w:t>
            </w:r>
          </w:p>
        </w:tc>
        <w:tc>
          <w:tcPr>
            <w:tcW w:type="dxa" w:w="1881"/>
          </w:tcPr>
          <w:p>
            <w:r>
              <w:rPr>
                <w:rFonts w:ascii="Meiryo UI" w:hAnsi="Meiryo UI"/>
                <w:sz w:val="18"/>
              </w:rPr>
              <w:t>中</w:t>
            </w:r>
          </w:p>
        </w:tc>
        <w:tc>
          <w:tcPr>
            <w:tcW w:type="dxa" w:w="1881"/>
          </w:tcPr>
          <w:p>
            <w:r>
              <w:rPr>
                <w:rFonts w:ascii="Meiryo UI" w:hAnsi="Meiryo UI"/>
                <w:sz w:val="18"/>
              </w:rPr>
              <w:t>高</w:t>
            </w:r>
          </w:p>
        </w:tc>
        <w:tc>
          <w:tcPr>
            <w:tcW w:type="dxa" w:w="1881"/>
          </w:tcPr>
          <w:p>
            <w:r>
              <w:rPr>
                <w:rFonts w:ascii="Meiryo UI" w:hAnsi="Meiryo UI"/>
                <w:sz w:val="18"/>
              </w:rPr>
              <w:t>★★★</w:t>
            </w:r>
          </w:p>
        </w:tc>
        <w:tc>
          <w:tcPr>
            <w:tcW w:type="dxa" w:w="1881"/>
          </w:tcPr>
          <w:p>
            <w:r>
              <w:rPr>
                <w:rFonts w:ascii="Meiryo UI" w:hAnsi="Meiryo UI"/>
                <w:sz w:val="18"/>
              </w:rPr>
              <w:t>分散を確認</w:t>
            </w:r>
          </w:p>
        </w:tc>
      </w:tr>
      <w:tr>
        <w:tc>
          <w:tcPr>
            <w:tcW w:type="dxa" w:w="1881"/>
            <w:shd w:val="clear" w:color="auto" w:fill="DDEBF7"/>
          </w:tcPr>
          <w:p>
            <w:r>
              <w:rPr>
                <w:rFonts w:ascii="Meiryo UI" w:hAnsi="Meiryo UI"/>
                <w:sz w:val="18"/>
              </w:rPr>
              <w:t>大手競合（SAP/Oracle）の参入</w:t>
            </w:r>
          </w:p>
        </w:tc>
        <w:tc>
          <w:tcPr>
            <w:tcW w:type="dxa" w:w="1881"/>
            <w:shd w:val="clear" w:color="auto" w:fill="DDEBF7"/>
          </w:tcPr>
          <w:p>
            <w:r>
              <w:rPr>
                <w:rFonts w:ascii="Meiryo UI" w:hAnsi="Meiryo UI"/>
                <w:sz w:val="18"/>
              </w:rPr>
              <w:t>低</w:t>
            </w:r>
          </w:p>
        </w:tc>
        <w:tc>
          <w:tcPr>
            <w:tcW w:type="dxa" w:w="1881"/>
            <w:shd w:val="clear" w:color="auto" w:fill="DDEBF7"/>
          </w:tcPr>
          <w:p>
            <w:r>
              <w:rPr>
                <w:rFonts w:ascii="Meiryo UI" w:hAnsi="Meiryo UI"/>
                <w:sz w:val="18"/>
              </w:rPr>
              <w:t>高</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参入障壁確認</w:t>
            </w:r>
          </w:p>
        </w:tc>
      </w:tr>
      <w:tr>
        <w:tc>
          <w:tcPr>
            <w:tcW w:type="dxa" w:w="1881"/>
          </w:tcPr>
          <w:p>
            <w:r>
              <w:rPr>
                <w:rFonts w:ascii="Meiryo UI" w:hAnsi="Meiryo UI"/>
                <w:sz w:val="18"/>
              </w:rPr>
              <w:t>キーマン離職リスク</w:t>
            </w:r>
          </w:p>
        </w:tc>
        <w:tc>
          <w:tcPr>
            <w:tcW w:type="dxa" w:w="1881"/>
          </w:tcPr>
          <w:p>
            <w:r>
              <w:rPr>
                <w:rFonts w:ascii="Meiryo UI" w:hAnsi="Meiryo UI"/>
                <w:sz w:val="18"/>
              </w:rPr>
              <w:t>低中</w:t>
            </w:r>
          </w:p>
        </w:tc>
        <w:tc>
          <w:tcPr>
            <w:tcW w:type="dxa" w:w="1881"/>
          </w:tcPr>
          <w:p>
            <w:r>
              <w:rPr>
                <w:rFonts w:ascii="Meiryo UI" w:hAnsi="Meiryo UI"/>
                <w:sz w:val="18"/>
              </w:rPr>
              <w:t>中高</w:t>
            </w:r>
          </w:p>
        </w:tc>
        <w:tc>
          <w:tcPr>
            <w:tcW w:type="dxa" w:w="1881"/>
          </w:tcPr>
          <w:p>
            <w:r>
              <w:rPr>
                <w:rFonts w:ascii="Meiryo UI" w:hAnsi="Meiryo UI"/>
                <w:sz w:val="18"/>
              </w:rPr>
              <w:t>★★</w:t>
            </w:r>
          </w:p>
        </w:tc>
        <w:tc>
          <w:tcPr>
            <w:tcW w:type="dxa" w:w="1881"/>
          </w:tcPr>
          <w:p>
            <w:r>
              <w:rPr>
                <w:rFonts w:ascii="Meiryo UI" w:hAnsi="Meiryo UI"/>
                <w:sz w:val="18"/>
              </w:rPr>
              <w:t>組織依存度確認</w:t>
            </w:r>
          </w:p>
        </w:tc>
      </w:tr>
      <w:tr>
        <w:tc>
          <w:tcPr>
            <w:tcW w:type="dxa" w:w="1881"/>
            <w:shd w:val="clear" w:color="auto" w:fill="DDEBF7"/>
          </w:tcPr>
          <w:p>
            <w:r>
              <w:rPr>
                <w:rFonts w:ascii="Meiryo UI" w:hAnsi="Meiryo UI"/>
                <w:sz w:val="18"/>
              </w:rPr>
              <w:t>株式分割後の流動性急増による乱高下</w:t>
            </w:r>
          </w:p>
        </w:tc>
        <w:tc>
          <w:tcPr>
            <w:tcW w:type="dxa" w:w="1881"/>
            <w:shd w:val="clear" w:color="auto" w:fill="DDEBF7"/>
          </w:tcPr>
          <w:p>
            <w:r>
              <w:rPr>
                <w:rFonts w:ascii="Meiryo UI" w:hAnsi="Meiryo UI"/>
                <w:sz w:val="18"/>
              </w:rPr>
              <w:t>高</w:t>
            </w:r>
          </w:p>
        </w:tc>
        <w:tc>
          <w:tcPr>
            <w:tcW w:type="dxa" w:w="1881"/>
            <w:shd w:val="clear" w:color="auto" w:fill="DDEBF7"/>
          </w:tcPr>
          <w:p>
            <w:r>
              <w:rPr>
                <w:rFonts w:ascii="Meiryo UI" w:hAnsi="Meiryo UI"/>
                <w:sz w:val="18"/>
              </w:rPr>
              <w:t>低</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短期は覚悟</w:t>
            </w:r>
          </w:p>
        </w:tc>
      </w:tr>
      <w:tr>
        <w:tc>
          <w:tcPr>
            <w:tcW w:type="dxa" w:w="1881"/>
          </w:tcPr>
          <w:p>
            <w:r>
              <w:rPr>
                <w:rFonts w:ascii="Meiryo UI" w:hAnsi="Meiryo UI"/>
                <w:sz w:val="18"/>
              </w:rPr>
              <w:t>大型案件前倒しの「反動減」</w:t>
            </w:r>
          </w:p>
        </w:tc>
        <w:tc>
          <w:tcPr>
            <w:tcW w:type="dxa" w:w="1881"/>
          </w:tcPr>
          <w:p>
            <w:r>
              <w:rPr>
                <w:rFonts w:ascii="Meiryo UI" w:hAnsi="Meiryo UI"/>
                <w:sz w:val="18"/>
              </w:rPr>
              <w:t>中</w:t>
            </w:r>
          </w:p>
        </w:tc>
        <w:tc>
          <w:tcPr>
            <w:tcW w:type="dxa" w:w="1881"/>
          </w:tcPr>
          <w:p>
            <w:r>
              <w:rPr>
                <w:rFonts w:ascii="Meiryo UI" w:hAnsi="Meiryo UI"/>
                <w:sz w:val="18"/>
              </w:rPr>
              <w:t>中</w:t>
            </w:r>
          </w:p>
        </w:tc>
        <w:tc>
          <w:tcPr>
            <w:tcW w:type="dxa" w:w="1881"/>
          </w:tcPr>
          <w:p>
            <w:r>
              <w:rPr>
                <w:rFonts w:ascii="Meiryo UI" w:hAnsi="Meiryo UI"/>
                <w:sz w:val="18"/>
              </w:rPr>
              <w:t>★★</w:t>
            </w:r>
          </w:p>
        </w:tc>
        <w:tc>
          <w:tcPr>
            <w:tcW w:type="dxa" w:w="1881"/>
          </w:tcPr>
          <w:p>
            <w:r>
              <w:rPr>
                <w:rFonts w:ascii="Meiryo UI" w:hAnsi="Meiryo UI"/>
                <w:sz w:val="18"/>
              </w:rPr>
              <w:t>Q2結果を要確認</w:t>
            </w:r>
          </w:p>
        </w:tc>
      </w:tr>
      <w:tr>
        <w:tc>
          <w:tcPr>
            <w:tcW w:type="dxa" w:w="1881"/>
            <w:shd w:val="clear" w:color="auto" w:fill="DDEBF7"/>
          </w:tcPr>
          <w:p>
            <w:r>
              <w:rPr>
                <w:rFonts w:ascii="Meiryo UI" w:hAnsi="Meiryo UI"/>
                <w:sz w:val="18"/>
              </w:rPr>
              <w:t>サイバーセキュリティインシデント</w:t>
            </w:r>
          </w:p>
        </w:tc>
        <w:tc>
          <w:tcPr>
            <w:tcW w:type="dxa" w:w="1881"/>
            <w:shd w:val="clear" w:color="auto" w:fill="DDEBF7"/>
          </w:tcPr>
          <w:p>
            <w:r>
              <w:rPr>
                <w:rFonts w:ascii="Meiryo UI" w:hAnsi="Meiryo UI"/>
                <w:sz w:val="18"/>
              </w:rPr>
              <w:t>低</w:t>
            </w:r>
          </w:p>
        </w:tc>
        <w:tc>
          <w:tcPr>
            <w:tcW w:type="dxa" w:w="1881"/>
            <w:shd w:val="clear" w:color="auto" w:fill="DDEBF7"/>
          </w:tcPr>
          <w:p>
            <w:r>
              <w:rPr>
                <w:rFonts w:ascii="Meiryo UI" w:hAnsi="Meiryo UI"/>
                <w:sz w:val="18"/>
              </w:rPr>
              <w:t>高</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保険・対策確認</w:t>
            </w:r>
          </w:p>
        </w:tc>
      </w:tr>
    </w:tbl>
    <w:p/>
    <w:p>
      <w:pPr>
        <w:pStyle w:val="Heading3"/>
      </w:pPr>
      <w:r>
        <w:rPr>
          <w:rFonts w:ascii="Meiryo UI" w:hAnsi="Meiryo UI"/>
          <w:color w:val="2E74B5"/>
        </w:rPr>
        <w:t>7-2. シナリオ別業績推計</w:t>
      </w:r>
    </w:p>
    <w:p/>
    <w:p>
      <w:r>
        <w:rPr>
          <w:rFonts w:ascii="Meiryo UI" w:hAnsi="Meiryo UI"/>
          <w:sz w:val="20"/>
        </w:rPr>
        <w:t>ベアシナリオ（確率20%）:</w:t>
      </w:r>
    </w:p>
    <w:p>
      <w:pPr>
        <w:shd w:val="clear" w:color="auto" w:fill="F2F2F2"/>
      </w:pPr>
      <w:r>
        <w:rPr>
          <w:rFonts w:ascii="Courier New" w:hAnsi="Courier New"/>
          <w:sz w:val="16"/>
        </w:rPr>
        <w:t>前提: 大型案件前倒しの反動、Q2以降に利益率が10.8%水準に戻る</w:t>
        <w:br/>
        <w:t>FY2026 OP: ¥200-210M（ガイダンス未達リスク）</w:t>
        <w:br/>
        <w:t>株価インパクト: ¥784 → ¥520（-34%）</w:t>
        <w:br/>
        <w:t>→ ストップロス: ¥580（分割後）を推奨</w:t>
      </w:r>
    </w:p>
    <w:p/>
    <w:p>
      <w:r>
        <w:rPr>
          <w:rFonts w:ascii="Meiryo UI" w:hAnsi="Meiryo UI"/>
          <w:sz w:val="20"/>
        </w:rPr>
        <w:t>ベースシナリオ（確率55%）:</w:t>
      </w:r>
    </w:p>
    <w:p>
      <w:pPr>
        <w:shd w:val="clear" w:color="auto" w:fill="F2F2F2"/>
      </w:pPr>
      <w:r>
        <w:rPr>
          <w:rFonts w:ascii="Courier New" w:hAnsi="Courier New"/>
          <w:sz w:val="16"/>
        </w:rPr>
        <w:t>前提: 構造的改善が継続、Q2以降は季節性にしたがい推移</w:t>
        <w:br/>
        <w:t>FY2026 OP: ¥220-230M（ガイダンス+8-13%）</w:t>
        <w:br/>
        <w:t>株価: 12ヶ月で¥784到達</w:t>
      </w:r>
    </w:p>
    <w:p/>
    <w:p>
      <w:r>
        <w:rPr>
          <w:rFonts w:ascii="Meiryo UI" w:hAnsi="Meiryo UI"/>
          <w:sz w:val="20"/>
        </w:rPr>
        <w:t>ブルシナリオ（確率25%）:</w:t>
      </w:r>
    </w:p>
    <w:p>
      <w:pPr>
        <w:shd w:val="clear" w:color="auto" w:fill="F2F2F2"/>
      </w:pPr>
      <w:r>
        <w:rPr>
          <w:rFonts w:ascii="Courier New" w:hAnsi="Courier New"/>
          <w:sz w:val="16"/>
        </w:rPr>
        <w:t>前提: 新規大型顧客獲得、海外展開加速</w:t>
        <w:br/>
        <w:t>FY2026 OP: ¥240M超</w:t>
        <w:br/>
        <w:t>株価: 12ヶ月で¥1,025（ブルターゲット）</w:t>
      </w:r>
    </w:p>
    <w:p/>
    <w:p>
      <w:pPr>
        <w:pStyle w:val="Heading3"/>
      </w:pPr>
      <w:r>
        <w:rPr>
          <w:rFonts w:ascii="Meiryo UI" w:hAnsi="Meiryo UI"/>
          <w:color w:val="2E74B5"/>
        </w:rPr>
        <w:t>7-3. Q2発表でウォッチすべき指標</w:t>
      </w:r>
    </w:p>
    <w:p/>
    <w:p>
      <w:pPr>
        <w:shd w:val="clear" w:color="auto" w:fill="F2F2F2"/>
      </w:pPr>
      <w:r>
        <w:rPr>
          <w:rFonts w:ascii="Courier New" w:hAnsi="Courier New"/>
          <w:sz w:val="16"/>
        </w:rPr>
        <w:t>重要ウォッチポイント（2026年7月初旬のQ2発表時）:</w:t>
        <w:br/>
        <w:br/>
        <w:t>1. Q2 営業利益率: 15%超を維持できるか</w:t>
        <w:br/>
        <w:t xml:space="preserve">   → 14%以上なら「構造的改善が確認」→ BUY継続</w:t>
        <w:br/>
        <w:t xml:space="preserve">   → 10-11%に低下なら「一過性多め」→ 要再評価</w:t>
        <w:br/>
        <w:br/>
        <w:t>2. サブスクリプション収益の比率開示（注記）</w:t>
        <w:br/>
        <w:t xml:space="preserve">   → 上昇継続なら強力な買いシグナル</w:t>
        <w:br/>
        <w:br/>
        <w:t>3. 通期ガイダンスの修正有無</w:t>
        <w:br/>
        <w:t xml:space="preserve">   → 上方修正発表なら株価カタリスト</w:t>
        <w:br/>
        <w:t xml:space="preserve">   → 修正なしでも「保守的ガイダンス維持」として評価</w:t>
        <w:br/>
        <w:br/>
        <w:t>4. 新規案件受注状況のコメント</w:t>
        <w:br/>
        <w:t xml:space="preserve">   → パイプラインの質・量の確認</w:t>
      </w:r>
    </w:p>
    <w:p/>
    <w:p>
      <w:r>
        <w:t>──────────────────────────────────────────────────</w:t>
      </w:r>
    </w:p>
    <w:p/>
    <w:p>
      <w:pPr>
        <w:pStyle w:val="Heading2"/>
      </w:pPr>
      <w:r>
        <w:rPr>
          <w:rFonts w:ascii="Meiryo UI" w:hAnsi="Meiryo UI"/>
          <w:color w:val="2E74B5"/>
        </w:rPr>
        <w:t>8. 社長への推奨アクション</w:t>
      </w:r>
    </w:p>
    <w:p/>
    <w:p>
      <w:r>
        <w:rPr>
          <w:rFonts w:ascii="Meiryo UI" w:hAnsi="Meiryo UI"/>
          <w:sz w:val="20"/>
        </w:rPr>
        <w:t>&gt; 本セクションは、竹村トレードカンパニーが主要株主として経営陣との対話（エンゲージメント）を行う際の参考資料として作成。</w:t>
      </w:r>
    </w:p>
    <w:p/>
    <w:p>
      <w:pPr>
        <w:pStyle w:val="Heading3"/>
      </w:pPr>
      <w:r>
        <w:rPr>
          <w:rFonts w:ascii="Meiryo UI" w:hAnsi="Meiryo UI"/>
          <w:color w:val="2E74B5"/>
        </w:rPr>
        <w:t>8-1. 短期アクション（6ヶ月以内）</w:t>
      </w:r>
    </w:p>
    <w:p/>
    <w:p>
      <w:r>
        <w:rPr>
          <w:rFonts w:ascii="Meiryo UI" w:hAnsi="Meiryo UI"/>
          <w:sz w:val="20"/>
        </w:rPr>
        <w:t>[1] IR強化: 四半期ごとのサブスクリプション比率の開示</w:t>
      </w:r>
    </w:p>
    <w:p/>
    <w:p>
      <w:pPr>
        <w:shd w:val="clear" w:color="auto" w:fill="F2F2F2"/>
      </w:pPr>
      <w:r>
        <w:rPr>
          <w:rFonts w:ascii="Courier New" w:hAnsi="Courier New"/>
          <w:sz w:val="16"/>
        </w:rPr>
        <w:t>現状: サブスク比率の開示が不十分</w:t>
        <w:br/>
        <w:t>推奨: 四半期決算説明資料に「サブスクリプション収益比率」「ARR（年間経常収益）」を明記</w:t>
        <w:br/>
        <w:t>効果: 機関投資家・アナリストによるSaaS的評価軸での評価 → PERプレミアム+20-30%</w:t>
      </w:r>
    </w:p>
    <w:p/>
    <w:p>
      <w:r>
        <w:rPr>
          <w:rFonts w:ascii="Meiryo UI" w:hAnsi="Meiryo UI"/>
          <w:sz w:val="20"/>
        </w:rPr>
        <w:t>[2] 株式分割を機にした個人投資家向けIR拡充</w:t>
      </w:r>
    </w:p>
    <w:p/>
    <w:p>
      <w:pPr>
        <w:shd w:val="clear" w:color="auto" w:fill="F2F2F2"/>
      </w:pPr>
      <w:r>
        <w:rPr>
          <w:rFonts w:ascii="Courier New" w:hAnsi="Courier New"/>
          <w:sz w:val="16"/>
        </w:rPr>
        <w:t>推奨: 分割効力発生（6月1日）前後に個人投資家向けIR説明会・ウェビナーを開催</w:t>
        <w:br/>
        <w:t>具体策: Yahoo!ファイナンスブランドのオンラインIR、株主通信の充実</w:t>
        <w:br/>
        <w:t>効果: 個人株主数の増加 → 需要基盤拡大 → 流動性プレミアム</w:t>
      </w:r>
    </w:p>
    <w:p/>
    <w:p>
      <w:pPr>
        <w:pStyle w:val="Heading3"/>
      </w:pPr>
      <w:r>
        <w:rPr>
          <w:rFonts w:ascii="Meiryo UI" w:hAnsi="Meiryo UI"/>
          <w:color w:val="2E74B5"/>
        </w:rPr>
        <w:t>8-2. 中期アクション（1-2年）</w:t>
      </w:r>
    </w:p>
    <w:p/>
    <w:p>
      <w:r>
        <w:rPr>
          <w:rFonts w:ascii="Meiryo UI" w:hAnsi="Meiryo UI"/>
          <w:sz w:val="20"/>
        </w:rPr>
        <w:t>[3] 海外展開の本格化（ASEAN工場向け展開）</w:t>
      </w:r>
    </w:p>
    <w:p/>
    <w:p>
      <w:pPr>
        <w:shd w:val="clear" w:color="auto" w:fill="F2F2F2"/>
      </w:pPr>
      <w:r>
        <w:rPr>
          <w:rFonts w:ascii="Courier New" w:hAnsi="Courier New"/>
          <w:sz w:val="16"/>
        </w:rPr>
        <w:t>機会: タイ・ベトナムに進出した日系自動車Tier-1の海外工場でも同製品を展開可能</w:t>
        <w:br/>
        <w:t>推奨: 既存国内顧客の海外工場へのフォローイン展開を優先（低リスク・高確度）</w:t>
        <w:br/>
        <w:t>目標: 海外売上比率 5% → 20%（2027年まで）</w:t>
      </w:r>
    </w:p>
    <w:p/>
    <w:p>
      <w:r>
        <w:rPr>
          <w:rFonts w:ascii="Meiryo UI" w:hAnsi="Meiryo UI"/>
          <w:sz w:val="20"/>
        </w:rPr>
        <w:t>[4] 自社株買いの実施（余剰現金の効率的利用）</w:t>
      </w:r>
    </w:p>
    <w:p/>
    <w:p>
      <w:pPr>
        <w:shd w:val="clear" w:color="auto" w:fill="F2F2F2"/>
      </w:pPr>
      <w:r>
        <w:rPr>
          <w:rFonts w:ascii="Courier New" w:hAnsi="Courier New"/>
          <w:sz w:val="16"/>
        </w:rPr>
        <w:t>現状: 現金¥500-600M保有（自己資本比率91.6%）</w:t>
        <w:br/>
        <w:t>推奨: 200-300Mの自社株買いを実施（ROE改善 + EPS押し上げ）</w:t>
        <w:br/>
        <w:t>効果: EPS +5-10% → 株価への直接的なポジティブ影響</w:t>
      </w:r>
    </w:p>
    <w:p/>
    <w:p>
      <w:r>
        <w:rPr>
          <w:rFonts w:ascii="Meiryo UI" w:hAnsi="Meiryo UI"/>
          <w:sz w:val="20"/>
        </w:rPr>
        <w:t>[5] M&amp;A/提携による補完的技術取得</w:t>
      </w:r>
    </w:p>
    <w:p/>
    <w:p>
      <w:pPr>
        <w:shd w:val="clear" w:color="auto" w:fill="F2F2F2"/>
      </w:pPr>
      <w:r>
        <w:rPr>
          <w:rFonts w:ascii="Courier New" w:hAnsi="Courier New"/>
          <w:sz w:val="16"/>
        </w:rPr>
        <w:t>候補領域: 製造業向けAI品質管理の新技術</w:t>
        <w:br/>
        <w:t>推奨: 小型スタートアップ（時価総額¥500M-2,000M）の戦略的M&amp;A</w:t>
        <w:br/>
        <w:t>予算: ¥500-800M（手元現金で対応可能）</w:t>
      </w:r>
    </w:p>
    <w:p/>
    <w:p>
      <w:pPr>
        <w:pStyle w:val="Heading3"/>
      </w:pPr>
      <w:r>
        <w:rPr>
          <w:rFonts w:ascii="Meiryo UI" w:hAnsi="Meiryo UI"/>
          <w:color w:val="2E74B5"/>
        </w:rPr>
        <w:t>8-3. 経営陣への「メッセージ」</w:t>
      </w:r>
    </w:p>
    <w:p/>
    <w:p>
      <w:pPr>
        <w:shd w:val="clear" w:color="auto" w:fill="F2F2F2"/>
      </w:pPr>
      <w:r>
        <w:rPr>
          <w:rFonts w:ascii="Courier New" w:hAnsi="Courier New"/>
          <w:sz w:val="16"/>
        </w:rPr>
        <w:t>深井からの一言:</w:t>
        <w:br/>
        <w:br/>
        <w:t>「今回のQ1決算は、会社の潜在力を市場に対して初めて明確に示した決算でした。</w:t>
        <w:br/>
        <w:t>しかし現時点では、この改善が"構造的"であることが市場に十分に伝わっていません。</w:t>
        <w:br/>
        <w:br/>
        <w:t>サブスクリプション比率の改善とそれに伴う営業レバレッジの発現を、</w:t>
        <w:br/>
        <w:t>定量的に開示することで、株式市場での正当な評価を得ることができます。</w:t>
        <w:br/>
        <w:br/>
        <w:t>御社の真の価値は、現在の株価よりも高い。</w:t>
        <w:br/>
        <w:t>それを市場に証明するのが、次のIRの仕事です。」</w:t>
      </w:r>
    </w:p>
    <w:p/>
    <w:p>
      <w:r>
        <w:t>──────────────────────────────────────────────────</w:t>
      </w:r>
    </w:p>
    <w:p/>
    <w:p>
      <w:pPr>
        <w:pStyle w:val="Heading2"/>
      </w:pPr>
      <w:r>
        <w:rPr>
          <w:rFonts w:ascii="Meiryo UI" w:hAnsi="Meiryo UI"/>
          <w:color w:val="2E74B5"/>
        </w:rPr>
        <w:t>9. 投資判断サマリー</w:t>
      </w:r>
    </w:p>
    <w:p/>
    <w:p>
      <w:pPr>
        <w:pStyle w:val="Heading3"/>
      </w:pPr>
      <w:r>
        <w:rPr>
          <w:rFonts w:ascii="Meiryo UI" w:hAnsi="Meiryo UI"/>
          <w:color w:val="2E74B5"/>
        </w:rPr>
        <w:t>総合評価スコアカード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ビジネスモデルの質</w:t>
            </w:r>
          </w:p>
        </w:tc>
        <w:tc>
          <w:tcPr>
            <w:tcW w:type="dxa" w:w="3135"/>
          </w:tcPr>
          <w:p>
            <w:r>
              <w:rPr>
                <w:rFonts w:ascii="Meiryo UI" w:hAnsi="Meiryo UI"/>
                <w:sz w:val="18"/>
              </w:rPr>
              <w:t>★★★★☆</w:t>
            </w:r>
          </w:p>
        </w:tc>
        <w:tc>
          <w:tcPr>
            <w:tcW w:type="dxa" w:w="3135"/>
          </w:tcPr>
          <w:p>
            <w:r>
              <w:rPr>
                <w:rFonts w:ascii="Meiryo UI" w:hAnsi="Meiryo UI"/>
                <w:sz w:val="18"/>
              </w:rPr>
              <w:t>SaaS的高粘着モデル</w:t>
            </w:r>
          </w:p>
        </w:tc>
      </w:tr>
      <w:tr>
        <w:tc>
          <w:tcPr>
            <w:tcW w:type="dxa" w:w="3135"/>
            <w:shd w:val="clear" w:color="auto" w:fill="DDEBF7"/>
          </w:tcPr>
          <w:p>
            <w:r>
              <w:rPr>
                <w:rFonts w:ascii="Meiryo UI" w:hAnsi="Meiryo UI"/>
                <w:sz w:val="18"/>
              </w:rPr>
              <w:t>財務健全性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自己資本比率91.6%</w:t>
            </w:r>
          </w:p>
        </w:tc>
      </w:tr>
      <w:tr>
        <w:tc>
          <w:tcPr>
            <w:tcW w:type="dxa" w:w="3135"/>
          </w:tcPr>
          <w:p>
            <w:r>
              <w:rPr>
                <w:rFonts w:ascii="Meiryo UI" w:hAnsi="Meiryo UI"/>
                <w:sz w:val="18"/>
              </w:rPr>
              <w:t>成長性</w:t>
            </w:r>
          </w:p>
        </w:tc>
        <w:tc>
          <w:tcPr>
            <w:tcW w:type="dxa" w:w="3135"/>
          </w:tcPr>
          <w:p>
            <w:r>
              <w:rPr>
                <w:rFonts w:ascii="Meiryo UI" w:hAnsi="Meiryo UI"/>
                <w:sz w:val="18"/>
              </w:rPr>
              <w:t>★★★★☆</w:t>
            </w:r>
          </w:p>
        </w:tc>
        <w:tc>
          <w:tcPr>
            <w:tcW w:type="dxa" w:w="3135"/>
          </w:tcPr>
          <w:p>
            <w:r>
              <w:rPr>
                <w:rFonts w:ascii="Meiryo UI" w:hAnsi="Meiryo UI"/>
                <w:sz w:val="18"/>
              </w:rPr>
              <w:t>製造DX波乗り</w:t>
            </w:r>
          </w:p>
        </w:tc>
      </w:tr>
      <w:tr>
        <w:tc>
          <w:tcPr>
            <w:tcW w:type="dxa" w:w="3135"/>
            <w:shd w:val="clear" w:color="auto" w:fill="DDEBF7"/>
          </w:tcPr>
          <w:p>
            <w:r>
              <w:rPr>
                <w:rFonts w:ascii="Meiryo UI" w:hAnsi="Meiryo UI"/>
                <w:sz w:val="18"/>
              </w:rPr>
              <w:t>バリュエーション</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割安〜適正</w:t>
            </w:r>
          </w:p>
        </w:tc>
      </w:tr>
      <w:tr>
        <w:tc>
          <w:tcPr>
            <w:tcW w:type="dxa" w:w="3135"/>
          </w:tcPr>
          <w:p>
            <w:r>
              <w:rPr>
                <w:rFonts w:ascii="Meiryo UI" w:hAnsi="Meiryo UI"/>
                <w:sz w:val="18"/>
              </w:rPr>
              <w:t>株主還元</w:t>
            </w:r>
          </w:p>
        </w:tc>
        <w:tc>
          <w:tcPr>
            <w:tcW w:type="dxa" w:w="3135"/>
          </w:tcPr>
          <w:p>
            <w:r>
              <w:rPr>
                <w:rFonts w:ascii="Meiryo UI" w:hAnsi="Meiryo UI"/>
                <w:sz w:val="18"/>
              </w:rPr>
              <w:t>★★★★☆</w:t>
            </w:r>
          </w:p>
        </w:tc>
        <w:tc>
          <w:tcPr>
            <w:tcW w:type="dxa" w:w="3135"/>
          </w:tcPr>
          <w:p>
            <w:r>
              <w:rPr>
                <w:rFonts w:ascii="Meiryo UI" w:hAnsi="Meiryo UI"/>
                <w:sz w:val="18"/>
              </w:rPr>
              <w:t>増配+分割でシグナル強</w:t>
            </w:r>
          </w:p>
        </w:tc>
      </w:tr>
      <w:tr>
        <w:tc>
          <w:tcPr>
            <w:tcW w:type="dxa" w:w="3135"/>
            <w:shd w:val="clear" w:color="auto" w:fill="DDEBF7"/>
          </w:tcPr>
          <w:p>
            <w:r>
              <w:rPr>
                <w:rFonts w:ascii="Meiryo UI" w:hAnsi="Meiryo UI"/>
                <w:sz w:val="18"/>
              </w:rPr>
              <w:t>上方修正の質</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70%構造的</w:t>
            </w:r>
          </w:p>
        </w:tc>
      </w:tr>
      <w:tr>
        <w:tc>
          <w:tcPr>
            <w:tcW w:type="dxa" w:w="3135"/>
          </w:tcPr>
          <w:p>
            <w:r>
              <w:rPr>
                <w:rFonts w:ascii="Meiryo UI" w:hAnsi="Meiryo UI"/>
                <w:sz w:val="18"/>
              </w:rPr>
              <w:t>総合</w:t>
            </w:r>
          </w:p>
        </w:tc>
        <w:tc>
          <w:tcPr>
            <w:tcW w:type="dxa" w:w="3135"/>
          </w:tcPr>
          <w:p>
            <w:r>
              <w:rPr>
                <w:rFonts w:ascii="Meiryo UI" w:hAnsi="Meiryo UI"/>
                <w:sz w:val="18"/>
              </w:rPr>
              <w:t>★★★★☆</w:t>
            </w:r>
          </w:p>
        </w:tc>
        <w:tc>
          <w:tcPr>
            <w:tcW w:type="dxa" w:w="3135"/>
          </w:tcPr>
          <w:p>
            <w:r>
              <w:rPr>
                <w:rFonts w:ascii="Meiryo UI" w:hAnsi="Meiryo UI"/>
                <w:sz w:val="18"/>
              </w:rPr>
              <w:t>積極的BUY</w:t>
            </w:r>
          </w:p>
        </w:tc>
      </w:tr>
    </w:tbl>
    <w:p/>
    <w:p>
      <w:pPr>
        <w:pStyle w:val="Heading3"/>
      </w:pPr>
      <w:r>
        <w:rPr>
          <w:rFonts w:ascii="Meiryo UI" w:hAnsi="Meiryo UI"/>
          <w:color w:val="2E74B5"/>
        </w:rPr>
        <w:t>最終推奨</w:t>
      </w:r>
    </w:p>
    <w:p/>
    <w:p>
      <w:pPr>
        <w:shd w:val="clear" w:color="auto" w:fill="F2F2F2"/>
      </w:pPr>
      <w:r>
        <w:rPr>
          <w:rFonts w:ascii="Courier New" w:hAnsi="Courier New"/>
          <w:sz w:val="16"/>
        </w:rPr>
        <w:t>━━━━━━━━━━━━━━━━━━━━━━━━━━━━━━━━━━━</w:t>
        <w:br/>
        <w:t>投資判断:         BUY（積極買い推奨）</w:t>
        <w:br/>
        <w:t>目標株価（分割後）: ¥784（ベース）/ ¥1,025（ブル）</w:t>
        <w:br/>
        <w:t>現在株価（仮定）:   ~¥750（分割後ベース）</w:t>
        <w:br/>
        <w:t>期待リターン:       +4.5%（ベース）/ +36.7%（ブル）</w:t>
        <w:br/>
        <w:t>ストップロス:       ¥580（分割後）</w:t>
        <w:br/>
        <w:t>推奨保有期間:       12〜18ヶ月</w:t>
        <w:br/>
        <w:t>━━━━━━━━━━━━━━━━━━━━━━━━━━━━━━━━━━━</w:t>
        <w:br/>
        <w:br/>
        <w:t>【深井の最後の一言】</w:t>
        <w:br/>
        <w:t>「上方修正の70%は構造的。SaaSモデルの営業レバレッジはまだ発現途上。</w:t>
        <w:br/>
        <w:t xml:space="preserve"> 株式分割・増配はその自信の表れ。Q2を確認しながら積み上げる戦略が最適。」</w:t>
        <w:br/>
        <w:t>━━━━━━━━━━━━━━━━━━━━━━━━━━━━━━━━━━━</w:t>
      </w:r>
    </w:p>
    <w:p/>
    <w:p>
      <w:r>
        <w:t>──────────────────────────────────────────────────</w:t>
      </w:r>
    </w:p>
    <w:p/>
    <w:p>
      <w:r>
        <w:rPr>
          <w:rFonts w:ascii="Meiryo UI" w:hAnsi="Meiryo UI"/>
          <w:sz w:val="20"/>
        </w:rPr>
        <w:t>本レポートは2026年4月4日時点の情報に基づき作成。株価・業績推計は見通しであり、実際の結果と異なる場合があります。</w:t>
      </w:r>
    </w:p>
    <w:p/>
    <w:p>
      <w:r>
        <w:rPr>
          <w:rFonts w:ascii="Meiryo UI" w:hAnsi="Meiryo UI"/>
          <w:sz w:val="20"/>
        </w:rPr>
        <w:t>アナリスト: 深井 | 竹村トレードカンパニー | 2026年04月04日</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