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Deep Research：4479 マクアケ（Makuake）</w:t>
      </w:r>
    </w:p>
    <w:p/>
    <w:p/>
    <w:p>
      <w:pPr>
        <w:jc w:val="center"/>
      </w:pPr>
      <w:r>
        <w:rPr>
          <w:rFonts w:ascii="Meiryo UI" w:hAnsi="Meiryo UI"/>
          <w:sz w:val="24"/>
        </w:rPr>
        <w:t>アナリスト：深井</w:t>
      </w:r>
    </w:p>
    <w:p>
      <w:pPr>
        <w:jc w:val="center"/>
      </w:pPr>
      <w:r>
        <w:rPr>
          <w:rFonts w:ascii="Meiryo UI" w:hAnsi="Meiryo UI"/>
          <w:sz w:val="24"/>
        </w:rPr>
        <w:t>分析日：2026年04月20日</w:t>
      </w:r>
    </w:p>
    <w:p>
      <w:r>
        <w:br w:type="page"/>
      </w:r>
    </w:p>
    <w:p>
      <w:pPr>
        <w:pStyle w:val="Heading1"/>
      </w:pPr>
      <w:r>
        <w:rPr>
          <w:rFonts w:ascii="Meiryo UI" w:hAnsi="Meiryo UI"/>
          <w:color w:val="1F3864"/>
        </w:rPr>
        <w:t>Deep Research：4479 マクアケ（Makuake）</w:t>
      </w:r>
    </w:p>
    <w:p>
      <w:r>
        <w:rPr>
          <w:rFonts w:ascii="Meiryo UI" w:hAnsi="Meiryo UI"/>
          <w:sz w:val="20"/>
        </w:rPr>
        <w:t>作成日：2026年4月19日 | 竹村トレードカンパニー アナリストチーム</w:t>
      </w:r>
    </w:p>
    <w:p/>
    <w:p>
      <w:r>
        <w:t>──────────────────────────────────────────────────</w:t>
      </w:r>
    </w:p>
    <w:p/>
    <w:p>
      <w:pPr>
        <w:pStyle w:val="Heading2"/>
      </w:pPr>
      <w:r>
        <w:rPr>
          <w:rFonts w:ascii="Meiryo UI" w:hAnsi="Meiryo UI"/>
          <w:color w:val="2E74B5"/>
        </w:rPr>
        <w:t>【冒頭10秒サマリー】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条件付き BUY（浅井スコア +72）</w:t>
            </w:r>
          </w:p>
        </w:tc>
      </w:tr>
      <w:tr>
        <w:tc>
          <w:tcPr>
            <w:tcW w:type="dxa" w:w="4703"/>
            <w:shd w:val="clear" w:color="auto" w:fill="DDEBF7"/>
          </w:tcPr>
          <w:p>
            <w:r>
              <w:rPr>
                <w:rFonts w:ascii="Meiryo UI" w:hAnsi="Meiryo UI"/>
                <w:sz w:val="18"/>
              </w:rPr>
              <w:t>FV</w:t>
            </w:r>
          </w:p>
        </w:tc>
        <w:tc>
          <w:tcPr>
            <w:tcW w:type="dxa" w:w="4703"/>
            <w:shd w:val="clear" w:color="auto" w:fill="DDEBF7"/>
          </w:tcPr>
          <w:p>
            <w:r>
              <w:rPr>
                <w:rFonts w:ascii="Meiryo UI" w:hAnsi="Meiryo UI"/>
                <w:sz w:val="18"/>
              </w:rPr>
              <w:t>¥1,320〜¥1,450（深井予想EPS×PER30〜32倍）</w:t>
            </w:r>
          </w:p>
        </w:tc>
      </w:tr>
      <w:tr>
        <w:tc>
          <w:tcPr>
            <w:tcW w:type="dxa" w:w="4703"/>
          </w:tcPr>
          <w:p>
            <w:r>
              <w:rPr>
                <w:rFonts w:ascii="Meiryo UI" w:hAnsi="Meiryo UI"/>
                <w:sz w:val="18"/>
              </w:rPr>
              <w:t>安全域</w:t>
            </w:r>
          </w:p>
        </w:tc>
        <w:tc>
          <w:tcPr>
            <w:tcW w:type="dxa" w:w="4703"/>
          </w:tcPr>
          <w:p>
            <w:r>
              <w:rPr>
                <w:rFonts w:ascii="Meiryo UI" w:hAnsi="Meiryo UI"/>
                <w:sz w:val="18"/>
              </w:rPr>
              <w:t>現値¥1,035 → FVまで +27〜+40%</w:t>
            </w:r>
          </w:p>
        </w:tc>
      </w:tr>
      <w:tr>
        <w:tc>
          <w:tcPr>
            <w:tcW w:type="dxa" w:w="4703"/>
            <w:shd w:val="clear" w:color="auto" w:fill="DDEBF7"/>
          </w:tcPr>
          <w:p>
            <w:r>
              <w:rPr>
                <w:rFonts w:ascii="Meiryo UI" w:hAnsi="Meiryo UI"/>
                <w:sz w:val="18"/>
              </w:rPr>
              <w:t>弾丸①</w:t>
            </w:r>
          </w:p>
        </w:tc>
        <w:tc>
          <w:tcPr>
            <w:tcW w:type="dxa" w:w="4703"/>
            <w:shd w:val="clear" w:color="auto" w:fill="DDEBF7"/>
          </w:tcPr>
          <w:p>
            <w:r>
              <w:rPr>
                <w:rFonts w:ascii="Meiryo UI" w:hAnsi="Meiryo UI"/>
                <w:sz w:val="18"/>
              </w:rPr>
              <w:t>1Q進捗率83.5%（通期会社予想4億円に対し1Qだけで3.34億円を達成）</w:t>
            </w:r>
          </w:p>
        </w:tc>
      </w:tr>
      <w:tr>
        <w:tc>
          <w:tcPr>
            <w:tcW w:type="dxa" w:w="4703"/>
          </w:tcPr>
          <w:p>
            <w:r>
              <w:rPr>
                <w:rFonts w:ascii="Meiryo UI" w:hAnsi="Meiryo UI"/>
                <w:sz w:val="18"/>
              </w:rPr>
              <w:t>弾丸②</w:t>
            </w:r>
          </w:p>
        </w:tc>
        <w:tc>
          <w:tcPr>
            <w:tcW w:type="dxa" w:w="4703"/>
          </w:tcPr>
          <w:p>
            <w:r>
              <w:rPr>
                <w:rFonts w:ascii="Meiryo UI" w:hAnsi="Meiryo UI"/>
                <w:sz w:val="18"/>
              </w:rPr>
              <w:t>売上+49%・OP+233%：高単価戦略が完全に機能。GMV+45.1%で成長加速確認</w:t>
            </w:r>
          </w:p>
        </w:tc>
      </w:tr>
      <w:tr>
        <w:tc>
          <w:tcPr>
            <w:tcW w:type="dxa" w:w="4703"/>
            <w:shd w:val="clear" w:color="auto" w:fill="DDEBF7"/>
          </w:tcPr>
          <w:p>
            <w:r>
              <w:rPr>
                <w:rFonts w:ascii="Meiryo UI" w:hAnsi="Meiryo UI"/>
                <w:sz w:val="18"/>
              </w:rPr>
              <w:t>弾丸③</w:t>
            </w:r>
          </w:p>
        </w:tc>
        <w:tc>
          <w:tcPr>
            <w:tcW w:type="dxa" w:w="4703"/>
            <w:shd w:val="clear" w:color="auto" w:fill="DDEBF7"/>
          </w:tcPr>
          <w:p>
            <w:r>
              <w:rPr>
                <w:rFonts w:ascii="Meiryo UI" w:hAnsi="Meiryo UI"/>
                <w:sz w:val="18"/>
              </w:rPr>
              <w:t>購入型CF市場シェア52%の事実上の独占プラットフォーム（craco 2025/11調査）</w:t>
            </w:r>
          </w:p>
        </w:tc>
      </w:tr>
      <w:tr>
        <w:tc>
          <w:tcPr>
            <w:tcW w:type="dxa" w:w="4703"/>
          </w:tcPr>
          <w:p>
            <w:r>
              <w:rPr>
                <w:rFonts w:ascii="Meiryo UI" w:hAnsi="Meiryo UI"/>
                <w:sz w:val="18"/>
              </w:rPr>
              <w:t>主要リスク</w:t>
            </w:r>
          </w:p>
        </w:tc>
        <w:tc>
          <w:tcPr>
            <w:tcW w:type="dxa" w:w="4703"/>
          </w:tcPr>
          <w:p>
            <w:r>
              <w:rPr>
                <w:rFonts w:ascii="Meiryo UI" w:hAnsi="Meiryo UI"/>
                <w:sz w:val="18"/>
              </w:rPr>
              <w:t>旧中計GMV300億目標→実績165億（達成率55%）＝成長余地の過大評価リスク</w:t>
            </w:r>
          </w:p>
        </w:tc>
      </w:tr>
      <w:tr>
        <w:tc>
          <w:tcPr>
            <w:tcW w:type="dxa" w:w="4703"/>
            <w:shd w:val="clear" w:color="auto" w:fill="DDEBF7"/>
          </w:tcPr>
          <w:p>
            <w:r>
              <w:rPr>
                <w:rFonts w:ascii="Meiryo UI" w:hAnsi="Meiryo UI"/>
                <w:sz w:val="18"/>
              </w:rPr>
              <w:t>決算前エントリー</w:t>
            </w:r>
          </w:p>
        </w:tc>
        <w:tc>
          <w:tcPr>
            <w:tcW w:type="dxa" w:w="4703"/>
            <w:shd w:val="clear" w:color="auto" w:fill="DDEBF7"/>
          </w:tcPr>
          <w:p>
            <w:r>
              <w:rPr>
                <w:rFonts w:ascii="Meiryo UI" w:hAnsi="Meiryo UI"/>
                <w:sz w:val="18"/>
              </w:rPr>
              <w:t>可。4/28 2Q決算で上方修正カタリスト確率大</w:t>
            </w:r>
          </w:p>
        </w:tc>
      </w:tr>
    </w:tbl>
    <w:p/>
    <w:p>
      <w:r>
        <w:rPr>
          <w:rFonts w:ascii="Meiryo UI" w:hAnsi="Meiryo UI"/>
          <w:sz w:val="20"/>
        </w:rPr>
        <w:t>現在株価：¥1,035（2026/4/17終値）　時価総額：約132億円　発行済株式：1,275万株</w:t>
      </w:r>
    </w:p>
    <w:p/>
    <w:p>
      <w:r>
        <w:t>──────────────────────────────────────────────────</w:t>
      </w:r>
    </w:p>
    <w:p/>
    <w:p>
      <w:pPr>
        <w:pStyle w:val="Heading2"/>
      </w:pPr>
      <w:r>
        <w:rPr>
          <w:rFonts w:ascii="Meiryo UI" w:hAnsi="Meiryo UI"/>
          <w:color w:val="2E74B5"/>
        </w:rPr>
        <w:t>【IR連絡先】</w:t>
      </w:r>
    </w:p>
    <w:p/>
    <w:p>
      <w:pPr>
        <w:pStyle w:val="ListBullet"/>
      </w:pPr>
      <w:r>
        <w:rPr>
          <w:rFonts w:ascii="Meiryo UI" w:hAnsi="Meiryo UI"/>
          <w:sz w:val="20"/>
        </w:rPr>
        <w:t>IRページ： https://www.makuake.co.jp/ir/</w:t>
      </w:r>
    </w:p>
    <w:p>
      <w:pPr>
        <w:pStyle w:val="ListBullet"/>
      </w:pPr>
      <w:r>
        <w:rPr>
          <w:rFonts w:ascii="Meiryo UI" w:hAnsi="Meiryo UI"/>
          <w:sz w:val="20"/>
        </w:rPr>
        <w:t>IR問い合わせ： https://www.makuake.co.jp/ir/contact/</w:t>
      </w:r>
    </w:p>
    <w:p>
      <w:pPr>
        <w:pStyle w:val="ListBullet"/>
      </w:pPr>
      <w:r>
        <w:rPr>
          <w:rFonts w:ascii="Meiryo UI" w:hAnsi="Meiryo UI"/>
          <w:sz w:val="20"/>
        </w:rPr>
        <w:t>次回決算発表： 2026年4月28日（2Q中間決算）</w:t>
      </w:r>
    </w:p>
    <w:p/>
    <w:p>
      <w:r>
        <w:t>──────────────────────────────────────────────────</w:t>
      </w:r>
    </w:p>
    <w:p/>
    <w:p>
      <w:pPr>
        <w:pStyle w:val="Heading2"/>
      </w:pPr>
      <w:r>
        <w:rPr>
          <w:rFonts w:ascii="Meiryo UI" w:hAnsi="Meiryo UI"/>
          <w:color w:val="2E74B5"/>
        </w:rPr>
        <w:t>【事業モデルと収益構造】</w:t>
      </w:r>
    </w:p>
    <w:p/>
    <w:p>
      <w:pPr>
        <w:pStyle w:val="ListBullet"/>
      </w:pPr>
      <w:r>
        <w:rPr>
          <w:rFonts w:ascii="Meiryo UI" w:hAnsi="Meiryo UI"/>
          <w:sz w:val="20"/>
        </w:rPr>
        <w:t>手数料：起案者20% ＋ サポーター2.2%（2024年度導入）</w:t>
      </w:r>
    </w:p>
    <w:p>
      <w:pPr>
        <w:pStyle w:val="ListBullet"/>
      </w:pPr>
      <w:r>
        <w:rPr>
          <w:rFonts w:ascii="Meiryo UI" w:hAnsi="Meiryo UI"/>
          <w:sz w:val="20"/>
        </w:rPr>
        <w:t>広告配信代行サービス（Makuakeインサイト等、2025年度から本格展開）</w:t>
      </w:r>
    </w:p>
    <w:p>
      <w:pPr>
        <w:pStyle w:val="ListBullet"/>
      </w:pPr>
      <w:r>
        <w:rPr>
          <w:rFonts w:ascii="Meiryo UI" w:hAnsi="Meiryo UI"/>
          <w:sz w:val="20"/>
        </w:rPr>
        <w:t>GMV（応援購入総額）× 手数料が主収益源</w:t>
      </w:r>
    </w:p>
    <w:p/>
    <w:p>
      <w:r>
        <w:t>──────────────────────────────────────────────────</w:t>
      </w:r>
    </w:p>
    <w:p/>
    <w:p>
      <w:pPr>
        <w:pStyle w:val="Heading2"/>
      </w:pPr>
      <w:r>
        <w:rPr>
          <w:rFonts w:ascii="Meiryo UI" w:hAnsi="Meiryo UI"/>
          <w:color w:val="2E74B5"/>
        </w:rPr>
        <w:t>【成長余地分析】</w:t>
      </w:r>
    </w:p>
    <w:p/>
    <w:p>
      <w:pPr>
        <w:pStyle w:val="Heading3"/>
      </w:pPr>
      <w:r>
        <w:rPr>
          <w:rFonts w:ascii="Meiryo UI" w:hAnsi="Meiryo UI"/>
          <w:color w:val="2E74B5"/>
        </w:rPr>
        <w:t>TAMと浸透率</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Rationale</w:t>
            </w:r>
          </w:p>
        </w:tc>
      </w:tr>
      <w:tr>
        <w:tc>
          <w:tcPr>
            <w:tcW w:type="dxa" w:w="3135"/>
          </w:tcPr>
          <w:p>
            <w:r>
              <w:rPr>
                <w:rFonts w:ascii="Meiryo UI" w:hAnsi="Meiryo UI"/>
                <w:sz w:val="18"/>
              </w:rPr>
              <w:t>購入型CF市場規模</w:t>
            </w:r>
          </w:p>
        </w:tc>
        <w:tc>
          <w:tcPr>
            <w:tcW w:type="dxa" w:w="3135"/>
          </w:tcPr>
          <w:p>
            <w:r>
              <w:rPr>
                <w:rFonts w:ascii="Meiryo UI" w:hAnsi="Meiryo UI"/>
                <w:sz w:val="18"/>
              </w:rPr>
              <w:t>約432億円（2025年）</w:t>
            </w:r>
          </w:p>
        </w:tc>
        <w:tc>
          <w:tcPr>
            <w:tcW w:type="dxa" w:w="3135"/>
          </w:tcPr>
          <w:p>
            <w:r>
              <w:rPr>
                <w:rFonts w:ascii="Meiryo UI" w:hAnsi="Meiryo UI"/>
                <w:sz w:val="18"/>
              </w:rPr>
              <w:t>craco推計</w:t>
            </w:r>
          </w:p>
        </w:tc>
      </w:tr>
      <w:tr>
        <w:tc>
          <w:tcPr>
            <w:tcW w:type="dxa" w:w="3135"/>
            <w:shd w:val="clear" w:color="auto" w:fill="DDEBF7"/>
          </w:tcPr>
          <w:p>
            <w:r>
              <w:rPr>
                <w:rFonts w:ascii="Meiryo UI" w:hAnsi="Meiryo UI"/>
                <w:sz w:val="18"/>
              </w:rPr>
              <w:t>マクアケGMV（FY25）</w:t>
            </w:r>
          </w:p>
        </w:tc>
        <w:tc>
          <w:tcPr>
            <w:tcW w:type="dxa" w:w="3135"/>
            <w:shd w:val="clear" w:color="auto" w:fill="DDEBF7"/>
          </w:tcPr>
          <w:p>
            <w:r>
              <w:rPr>
                <w:rFonts w:ascii="Meiryo UI" w:hAnsi="Meiryo UI"/>
                <w:sz w:val="18"/>
              </w:rPr>
              <w:t>165.9億円</w:t>
            </w:r>
          </w:p>
        </w:tc>
        <w:tc>
          <w:tcPr>
            <w:tcW w:type="dxa" w:w="3135"/>
            <w:shd w:val="clear" w:color="auto" w:fill="DDEBF7"/>
          </w:tcPr>
          <w:p>
            <w:r>
              <w:rPr>
                <w:rFonts w:ascii="Meiryo UI" w:hAnsi="Meiryo UI"/>
                <w:sz w:val="18"/>
              </w:rPr>
              <w:t>決算短信</w:t>
            </w:r>
          </w:p>
        </w:tc>
      </w:tr>
      <w:tr>
        <w:tc>
          <w:tcPr>
            <w:tcW w:type="dxa" w:w="3135"/>
          </w:tcPr>
          <w:p>
            <w:r>
              <w:rPr>
                <w:rFonts w:ascii="Meiryo UI" w:hAnsi="Meiryo UI"/>
                <w:sz w:val="18"/>
              </w:rPr>
              <w:t>市場シェア</w:t>
            </w:r>
          </w:p>
        </w:tc>
        <w:tc>
          <w:tcPr>
            <w:tcW w:type="dxa" w:w="3135"/>
          </w:tcPr>
          <w:p>
            <w:r>
              <w:rPr>
                <w:rFonts w:ascii="Meiryo UI" w:hAnsi="Meiryo UI"/>
                <w:sz w:val="18"/>
              </w:rPr>
              <w:t>52.3%</w:t>
            </w:r>
          </w:p>
        </w:tc>
        <w:tc>
          <w:tcPr>
            <w:tcW w:type="dxa" w:w="3135"/>
          </w:tcPr>
          <w:p>
            <w:r>
              <w:rPr>
                <w:rFonts w:ascii="Meiryo UI" w:hAnsi="Meiryo UI"/>
                <w:sz w:val="18"/>
              </w:rPr>
              <w:t>craco 2025/11月次</w:t>
            </w:r>
          </w:p>
        </w:tc>
      </w:tr>
      <w:tr>
        <w:tc>
          <w:tcPr>
            <w:tcW w:type="dxa" w:w="3135"/>
            <w:shd w:val="clear" w:color="auto" w:fill="DDEBF7"/>
          </w:tcPr>
          <w:p>
            <w:r>
              <w:rPr>
                <w:rFonts w:ascii="Meiryo UI" w:hAnsi="Meiryo UI"/>
                <w:sz w:val="18"/>
              </w:rPr>
              <w:t>浸透率</w:t>
            </w:r>
          </w:p>
        </w:tc>
        <w:tc>
          <w:tcPr>
            <w:tcW w:type="dxa" w:w="3135"/>
            <w:shd w:val="clear" w:color="auto" w:fill="DDEBF7"/>
          </w:tcPr>
          <w:p>
            <w:r>
              <w:rPr>
                <w:rFonts w:ascii="Meiryo UI" w:hAnsi="Meiryo UI"/>
                <w:sz w:val="18"/>
              </w:rPr>
              <w:t>3.8%（広義TAM比）</w:t>
            </w:r>
          </w:p>
        </w:tc>
        <w:tc>
          <w:tcPr>
            <w:tcW w:type="dxa" w:w="3135"/>
            <w:shd w:val="clear" w:color="auto" w:fill="DDEBF7"/>
          </w:tcPr>
          <w:p>
            <w:r>
              <w:rPr>
                <w:rFonts w:ascii="Meiryo UI" w:hAnsi="Meiryo UI"/>
                <w:sz w:val="18"/>
              </w:rPr>
              <w:t>超低浸透</w:t>
            </w:r>
          </w:p>
        </w:tc>
      </w:tr>
    </w:tbl>
    <w:p/>
    <w:p>
      <w:pPr>
        <w:pStyle w:val="Heading3"/>
      </w:pPr>
      <w:r>
        <w:rPr>
          <w:rFonts w:ascii="Meiryo UI" w:hAnsi="Meiryo UI"/>
          <w:color w:val="2E74B5"/>
        </w:rPr>
        <w:t>GMV推移実績</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GMV</w:t>
            </w:r>
          </w:p>
        </w:tc>
        <w:tc>
          <w:tcPr>
            <w:tcW w:type="dxa" w:w="2351"/>
            <w:shd w:val="clear" w:color="auto" w:fill="2E74B5"/>
          </w:tcPr>
          <w:p>
            <w:r>
              <w:rPr>
                <w:rFonts w:ascii="Meiryo UI" w:hAnsi="Meiryo UI"/>
                <w:b/>
                <w:color w:val="FFFFFF"/>
                <w:sz w:val="18"/>
              </w:rPr>
              <w:t>前年比</w:t>
            </w:r>
          </w:p>
        </w:tc>
        <w:tc>
          <w:tcPr>
            <w:tcW w:type="dxa" w:w="2351"/>
            <w:shd w:val="clear" w:color="auto" w:fill="2E74B5"/>
          </w:tcPr>
          <w:p>
            <w:r>
              <w:rPr>
                <w:rFonts w:ascii="Meiryo UI" w:hAnsi="Meiryo UI"/>
                <w:b/>
                <w:color w:val="FFFFFF"/>
                <w:sz w:val="18"/>
              </w:rPr>
              <w:t>備考</w:t>
            </w:r>
          </w:p>
        </w:tc>
      </w:tr>
      <w:tr>
        <w:tc>
          <w:tcPr>
            <w:tcW w:type="dxa" w:w="2351"/>
          </w:tcPr>
          <w:p>
            <w:r>
              <w:rPr>
                <w:rFonts w:ascii="Meiryo UI" w:hAnsi="Meiryo UI"/>
                <w:sz w:val="18"/>
              </w:rPr>
              <w:t>FY2023</w:t>
            </w:r>
          </w:p>
        </w:tc>
        <w:tc>
          <w:tcPr>
            <w:tcW w:type="dxa" w:w="2351"/>
          </w:tcPr>
          <w:p>
            <w:r>
              <w:rPr>
                <w:rFonts w:ascii="Meiryo UI" w:hAnsi="Meiryo UI"/>
                <w:sz w:val="18"/>
              </w:rPr>
              <w:t>≒185億</w:t>
            </w:r>
          </w:p>
        </w:tc>
        <w:tc>
          <w:tcPr>
            <w:tcW w:type="dxa" w:w="2351"/>
          </w:tcPr>
          <w:p>
            <w:r>
              <w:rPr>
                <w:rFonts w:ascii="Meiryo UI" w:hAnsi="Meiryo UI"/>
                <w:sz w:val="18"/>
              </w:rPr>
              <w:t>大幅減</w:t>
            </w:r>
          </w:p>
        </w:tc>
        <w:tc>
          <w:tcPr>
            <w:tcW w:type="dxa" w:w="2351"/>
          </w:tcPr>
          <w:p>
            <w:r>
              <w:rPr>
                <w:rFonts w:ascii="Meiryo UI" w:hAnsi="Meiryo UI"/>
                <w:sz w:val="18"/>
              </w:rPr>
              <w:t>コロナ特需反動</w:t>
            </w:r>
          </w:p>
        </w:tc>
      </w:tr>
      <w:tr>
        <w:tc>
          <w:tcPr>
            <w:tcW w:type="dxa" w:w="2351"/>
            <w:shd w:val="clear" w:color="auto" w:fill="DDEBF7"/>
          </w:tcPr>
          <w:p>
            <w:r>
              <w:rPr>
                <w:rFonts w:ascii="Meiryo UI" w:hAnsi="Meiryo UI"/>
                <w:sz w:val="18"/>
              </w:rPr>
              <w:t>FY2024</w:t>
            </w:r>
          </w:p>
        </w:tc>
        <w:tc>
          <w:tcPr>
            <w:tcW w:type="dxa" w:w="2351"/>
            <w:shd w:val="clear" w:color="auto" w:fill="DDEBF7"/>
          </w:tcPr>
          <w:p>
            <w:r>
              <w:rPr>
                <w:rFonts w:ascii="Meiryo UI" w:hAnsi="Meiryo UI"/>
                <w:sz w:val="18"/>
              </w:rPr>
              <w:t>≒166億</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底打ち</w:t>
            </w:r>
          </w:p>
        </w:tc>
      </w:tr>
      <w:tr>
        <w:tc>
          <w:tcPr>
            <w:tcW w:type="dxa" w:w="2351"/>
          </w:tcPr>
          <w:p>
            <w:r>
              <w:rPr>
                <w:rFonts w:ascii="Meiryo UI" w:hAnsi="Meiryo UI"/>
                <w:sz w:val="18"/>
              </w:rPr>
              <w:t>FY2025</w:t>
            </w:r>
          </w:p>
        </w:tc>
        <w:tc>
          <w:tcPr>
            <w:tcW w:type="dxa" w:w="2351"/>
          </w:tcPr>
          <w:p>
            <w:r>
              <w:rPr>
                <w:rFonts w:ascii="Meiryo UI" w:hAnsi="Meiryo UI"/>
                <w:sz w:val="18"/>
              </w:rPr>
              <w:t>165.9億</w:t>
            </w:r>
          </w:p>
        </w:tc>
        <w:tc>
          <w:tcPr>
            <w:tcW w:type="dxa" w:w="2351"/>
          </w:tcPr>
          <w:p>
            <w:r>
              <w:rPr>
                <w:rFonts w:ascii="Meiryo UI" w:hAnsi="Meiryo UI"/>
                <w:sz w:val="18"/>
              </w:rPr>
              <w:t>▲0.1%</w:t>
            </w:r>
          </w:p>
        </w:tc>
        <w:tc>
          <w:tcPr>
            <w:tcW w:type="dxa" w:w="2351"/>
          </w:tcPr>
          <w:p>
            <w:r>
              <w:rPr>
                <w:rFonts w:ascii="Meiryo UI" w:hAnsi="Meiryo UI"/>
                <w:sz w:val="18"/>
              </w:rPr>
              <w:t>高単価戦略転換完了</w:t>
            </w:r>
          </w:p>
        </w:tc>
      </w:tr>
      <w:tr>
        <w:tc>
          <w:tcPr>
            <w:tcW w:type="dxa" w:w="2351"/>
            <w:shd w:val="clear" w:color="auto" w:fill="DDEBF7"/>
          </w:tcPr>
          <w:p>
            <w:r>
              <w:rPr>
                <w:rFonts w:ascii="Meiryo UI" w:hAnsi="Meiryo UI"/>
                <w:sz w:val="18"/>
              </w:rPr>
              <w:t>FY2026 1Q（25/10-12）</w:t>
            </w:r>
          </w:p>
        </w:tc>
        <w:tc>
          <w:tcPr>
            <w:tcW w:type="dxa" w:w="2351"/>
            <w:shd w:val="clear" w:color="auto" w:fill="DDEBF7"/>
          </w:tcPr>
          <w:p>
            <w:r>
              <w:rPr>
                <w:rFonts w:ascii="Meiryo UI" w:hAnsi="Meiryo UI"/>
                <w:sz w:val="18"/>
              </w:rPr>
              <w:t>56.9億</w:t>
            </w:r>
          </w:p>
        </w:tc>
        <w:tc>
          <w:tcPr>
            <w:tcW w:type="dxa" w:w="2351"/>
            <w:shd w:val="clear" w:color="auto" w:fill="DDEBF7"/>
          </w:tcPr>
          <w:p>
            <w:r>
              <w:rPr>
                <w:rFonts w:ascii="Meiryo UI" w:hAnsi="Meiryo UI"/>
                <w:sz w:val="18"/>
              </w:rPr>
              <w:t>+45.1%</w:t>
            </w:r>
          </w:p>
        </w:tc>
        <w:tc>
          <w:tcPr>
            <w:tcW w:type="dxa" w:w="2351"/>
            <w:shd w:val="clear" w:color="auto" w:fill="DDEBF7"/>
          </w:tcPr>
          <w:p>
            <w:r>
              <w:rPr>
                <w:rFonts w:ascii="Meiryo UI" w:hAnsi="Meiryo UI"/>
                <w:sz w:val="18"/>
              </w:rPr>
              <w:t>高単価本格寄与</w:t>
            </w:r>
          </w:p>
        </w:tc>
      </w:tr>
    </w:tbl>
    <w:p/>
    <w:p>
      <w:pPr>
        <w:pStyle w:val="Heading3"/>
      </w:pPr>
      <w:r>
        <w:rPr>
          <w:rFonts w:ascii="Meiryo UI" w:hAnsi="Meiryo UI"/>
          <w:color w:val="2E74B5"/>
        </w:rPr>
        <w:t>3年後（FY28）GMV予測</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GMV</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ブル</w:t>
            </w:r>
          </w:p>
        </w:tc>
        <w:tc>
          <w:tcPr>
            <w:tcW w:type="dxa" w:w="3135"/>
          </w:tcPr>
          <w:p>
            <w:r>
              <w:rPr>
                <w:rFonts w:ascii="Meiryo UI" w:hAnsi="Meiryo UI"/>
                <w:sz w:val="18"/>
              </w:rPr>
              <w:t>¥280億</w:t>
            </w:r>
          </w:p>
        </w:tc>
        <w:tc>
          <w:tcPr>
            <w:tcW w:type="dxa" w:w="3135"/>
          </w:tcPr>
          <w:p>
            <w:r>
              <w:rPr>
                <w:rFonts w:ascii="Meiryo UI" w:hAnsi="Meiryo UI"/>
                <w:sz w:val="18"/>
              </w:rPr>
              <w:t>AI活用+B2B展開本格化</w:t>
            </w:r>
          </w:p>
        </w:tc>
      </w:tr>
      <w:tr>
        <w:tc>
          <w:tcPr>
            <w:tcW w:type="dxa" w:w="3135"/>
            <w:shd w:val="clear" w:color="auto" w:fill="DDEBF7"/>
          </w:tcPr>
          <w:p>
            <w:r>
              <w:rPr>
                <w:rFonts w:ascii="Meiryo UI" w:hAnsi="Meiryo UI"/>
                <w:sz w:val="18"/>
              </w:rPr>
              <w:t>ベース</w:t>
            </w:r>
          </w:p>
        </w:tc>
        <w:tc>
          <w:tcPr>
            <w:tcW w:type="dxa" w:w="3135"/>
            <w:shd w:val="clear" w:color="auto" w:fill="DDEBF7"/>
          </w:tcPr>
          <w:p>
            <w:r>
              <w:rPr>
                <w:rFonts w:ascii="Meiryo UI" w:hAnsi="Meiryo UI"/>
                <w:sz w:val="18"/>
              </w:rPr>
              <w:t>¥220億</w:t>
            </w:r>
          </w:p>
        </w:tc>
        <w:tc>
          <w:tcPr>
            <w:tcW w:type="dxa" w:w="3135"/>
            <w:shd w:val="clear" w:color="auto" w:fill="DDEBF7"/>
          </w:tcPr>
          <w:p>
            <w:r>
              <w:rPr>
                <w:rFonts w:ascii="Meiryo UI" w:hAnsi="Meiryo UI"/>
                <w:sz w:val="18"/>
              </w:rPr>
              <w:t>年率10%成長・高単価継続</w:t>
            </w:r>
          </w:p>
        </w:tc>
      </w:tr>
      <w:tr>
        <w:tc>
          <w:tcPr>
            <w:tcW w:type="dxa" w:w="3135"/>
          </w:tcPr>
          <w:p>
            <w:r>
              <w:rPr>
                <w:rFonts w:ascii="Meiryo UI" w:hAnsi="Meiryo UI"/>
                <w:sz w:val="18"/>
              </w:rPr>
              <w:t>ベア</w:t>
            </w:r>
          </w:p>
        </w:tc>
        <w:tc>
          <w:tcPr>
            <w:tcW w:type="dxa" w:w="3135"/>
          </w:tcPr>
          <w:p>
            <w:r>
              <w:rPr>
                <w:rFonts w:ascii="Meiryo UI" w:hAnsi="Meiryo UI"/>
                <w:sz w:val="18"/>
              </w:rPr>
              <w:t>¥160億</w:t>
            </w:r>
          </w:p>
        </w:tc>
        <w:tc>
          <w:tcPr>
            <w:tcW w:type="dxa" w:w="3135"/>
          </w:tcPr>
          <w:p>
            <w:r>
              <w:rPr>
                <w:rFonts w:ascii="Meiryo UI" w:hAnsi="Meiryo UI"/>
                <w:sz w:val="18"/>
              </w:rPr>
              <w:t>CAMPFIRE競合激化+市場飽和</w:t>
            </w:r>
          </w:p>
        </w:tc>
      </w:tr>
    </w:tbl>
    <w:p/>
    <w:p>
      <w:r>
        <w:t>──────────────────────────────────────────────────</w:t>
      </w:r>
    </w:p>
    <w:p/>
    <w:p>
      <w:pPr>
        <w:pStyle w:val="Heading2"/>
      </w:pPr>
      <w:r>
        <w:rPr>
          <w:rFonts w:ascii="Meiryo UI" w:hAnsi="Meiryo UI"/>
          <w:color w:val="2E74B5"/>
        </w:rPr>
        <w:t>【最新決算と業績推移】</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w:t>
            </w:r>
          </w:p>
        </w:tc>
        <w:tc>
          <w:tcPr>
            <w:tcW w:type="dxa" w:w="2351"/>
            <w:shd w:val="clear" w:color="auto" w:fill="2E74B5"/>
          </w:tcPr>
          <w:p>
            <w:r>
              <w:rPr>
                <w:rFonts w:ascii="Meiryo UI" w:hAnsi="Meiryo UI"/>
                <w:b/>
                <w:color w:val="FFFFFF"/>
                <w:sz w:val="18"/>
              </w:rPr>
              <w:t>売上高</w:t>
            </w:r>
          </w:p>
        </w:tc>
        <w:tc>
          <w:tcPr>
            <w:tcW w:type="dxa" w:w="2351"/>
            <w:shd w:val="clear" w:color="auto" w:fill="2E74B5"/>
          </w:tcPr>
          <w:p>
            <w:r>
              <w:rPr>
                <w:rFonts w:ascii="Meiryo UI" w:hAnsi="Meiryo UI"/>
                <w:b/>
                <w:color w:val="FFFFFF"/>
                <w:sz w:val="18"/>
              </w:rPr>
              <w:t>営業利益</w:t>
            </w:r>
          </w:p>
        </w:tc>
        <w:tc>
          <w:tcPr>
            <w:tcW w:type="dxa" w:w="2351"/>
            <w:shd w:val="clear" w:color="auto" w:fill="2E74B5"/>
          </w:tcPr>
          <w:p>
            <w:r>
              <w:rPr>
                <w:rFonts w:ascii="Meiryo UI" w:hAnsi="Meiryo UI"/>
                <w:b/>
                <w:color w:val="FFFFFF"/>
                <w:sz w:val="18"/>
              </w:rPr>
              <w:t>営業利益率</w:t>
            </w:r>
          </w:p>
        </w:tc>
      </w:tr>
      <w:tr>
        <w:tc>
          <w:tcPr>
            <w:tcW w:type="dxa" w:w="2351"/>
          </w:tcPr>
          <w:p>
            <w:r>
              <w:rPr>
                <w:rFonts w:ascii="Meiryo UI" w:hAnsi="Meiryo UI"/>
                <w:sz w:val="18"/>
              </w:rPr>
              <w:t>FY2023</w:t>
            </w:r>
          </w:p>
        </w:tc>
        <w:tc>
          <w:tcPr>
            <w:tcW w:type="dxa" w:w="2351"/>
          </w:tcPr>
          <w:p>
            <w:r>
              <w:rPr>
                <w:rFonts w:ascii="Meiryo UI" w:hAnsi="Meiryo UI"/>
                <w:sz w:val="18"/>
              </w:rPr>
              <w:t>≒32億</w:t>
            </w:r>
          </w:p>
        </w:tc>
        <w:tc>
          <w:tcPr>
            <w:tcW w:type="dxa" w:w="2351"/>
          </w:tcPr>
          <w:p>
            <w:r>
              <w:rPr>
                <w:rFonts w:ascii="Meiryo UI" w:hAnsi="Meiryo UI"/>
                <w:sz w:val="18"/>
              </w:rPr>
              <w:t>▲4.9億</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FY2024</w:t>
            </w:r>
          </w:p>
        </w:tc>
        <w:tc>
          <w:tcPr>
            <w:tcW w:type="dxa" w:w="2351"/>
            <w:shd w:val="clear" w:color="auto" w:fill="DDEBF7"/>
          </w:tcPr>
          <w:p>
            <w:r>
              <w:rPr>
                <w:rFonts w:ascii="Meiryo UI" w:hAnsi="Meiryo UI"/>
                <w:sz w:val="18"/>
              </w:rPr>
              <w:t>≒36.5億</w:t>
            </w:r>
          </w:p>
        </w:tc>
        <w:tc>
          <w:tcPr>
            <w:tcW w:type="dxa" w:w="2351"/>
            <w:shd w:val="clear" w:color="auto" w:fill="DDEBF7"/>
          </w:tcPr>
          <w:p>
            <w:r>
              <w:rPr>
                <w:rFonts w:ascii="Meiryo UI" w:hAnsi="Meiryo UI"/>
                <w:sz w:val="18"/>
              </w:rPr>
              <w:t>▲0.6億</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FY2025</w:t>
            </w:r>
          </w:p>
        </w:tc>
        <w:tc>
          <w:tcPr>
            <w:tcW w:type="dxa" w:w="2351"/>
          </w:tcPr>
          <w:p>
            <w:r>
              <w:rPr>
                <w:rFonts w:ascii="Meiryo UI" w:hAnsi="Meiryo UI"/>
                <w:sz w:val="18"/>
              </w:rPr>
              <w:t>45.8億</w:t>
            </w:r>
          </w:p>
        </w:tc>
        <w:tc>
          <w:tcPr>
            <w:tcW w:type="dxa" w:w="2351"/>
          </w:tcPr>
          <w:p>
            <w:r>
              <w:rPr>
                <w:rFonts w:ascii="Meiryo UI" w:hAnsi="Meiryo UI"/>
                <w:sz w:val="18"/>
              </w:rPr>
              <w:t>+4.5億</w:t>
            </w:r>
          </w:p>
        </w:tc>
        <w:tc>
          <w:tcPr>
            <w:tcW w:type="dxa" w:w="2351"/>
          </w:tcPr>
          <w:p>
            <w:r>
              <w:rPr>
                <w:rFonts w:ascii="Meiryo UI" w:hAnsi="Meiryo UI"/>
                <w:sz w:val="18"/>
              </w:rPr>
              <w:t>9.8%</w:t>
            </w:r>
          </w:p>
        </w:tc>
      </w:tr>
      <w:tr>
        <w:tc>
          <w:tcPr>
            <w:tcW w:type="dxa" w:w="2351"/>
            <w:shd w:val="clear" w:color="auto" w:fill="DDEBF7"/>
          </w:tcPr>
          <w:p>
            <w:r>
              <w:rPr>
                <w:rFonts w:ascii="Meiryo UI" w:hAnsi="Meiryo UI"/>
                <w:sz w:val="18"/>
              </w:rPr>
              <w:t>FY2026E（会社予想）</w:t>
            </w:r>
          </w:p>
        </w:tc>
        <w:tc>
          <w:tcPr>
            <w:tcW w:type="dxa" w:w="2351"/>
            <w:shd w:val="clear" w:color="auto" w:fill="DDEBF7"/>
          </w:tcPr>
          <w:p>
            <w:r>
              <w:rPr>
                <w:rFonts w:ascii="Meiryo UI" w:hAnsi="Meiryo UI"/>
                <w:sz w:val="18"/>
              </w:rPr>
              <w:t>47.6億</w:t>
            </w:r>
          </w:p>
        </w:tc>
        <w:tc>
          <w:tcPr>
            <w:tcW w:type="dxa" w:w="2351"/>
            <w:shd w:val="clear" w:color="auto" w:fill="DDEBF7"/>
          </w:tcPr>
          <w:p>
            <w:r>
              <w:rPr>
                <w:rFonts w:ascii="Meiryo UI" w:hAnsi="Meiryo UI"/>
                <w:sz w:val="18"/>
              </w:rPr>
              <w:t>4.0億</w:t>
            </w:r>
          </w:p>
        </w:tc>
        <w:tc>
          <w:tcPr>
            <w:tcW w:type="dxa" w:w="2351"/>
            <w:shd w:val="clear" w:color="auto" w:fill="DDEBF7"/>
          </w:tcPr>
          <w:p>
            <w:r>
              <w:rPr>
                <w:rFonts w:ascii="Meiryo UI" w:hAnsi="Meiryo UI"/>
                <w:sz w:val="18"/>
              </w:rPr>
              <w:t>8.4%</w:t>
            </w:r>
          </w:p>
        </w:tc>
      </w:tr>
    </w:tbl>
    <w:p/>
    <w:p>
      <w:r>
        <w:rPr>
          <w:rFonts w:ascii="Meiryo UI" w:hAnsi="Meiryo UI"/>
          <w:sz w:val="20"/>
        </w:rPr>
        <w:t>FY2026 1Q実績（2025/10-12）</w:t>
      </w:r>
    </w:p>
    <w:p>
      <w:pPr>
        <w:pStyle w:val="ListBullet"/>
      </w:pPr>
      <w:r>
        <w:rPr>
          <w:rFonts w:ascii="Meiryo UI" w:hAnsi="Meiryo UI"/>
          <w:sz w:val="20"/>
        </w:rPr>
        <w:t>売上高：14.63億円（前年同期比+49.2%）</w:t>
      </w:r>
    </w:p>
    <w:p>
      <w:pPr>
        <w:pStyle w:val="ListBullet"/>
      </w:pPr>
      <w:r>
        <w:rPr>
          <w:rFonts w:ascii="Meiryo UI" w:hAnsi="Meiryo UI"/>
          <w:sz w:val="20"/>
        </w:rPr>
        <w:t>営業利益：3.34億円（同+232.6%）</w:t>
      </w:r>
    </w:p>
    <w:p>
      <w:pPr>
        <w:pStyle w:val="ListBullet"/>
      </w:pPr>
      <w:r>
        <w:rPr>
          <w:rFonts w:ascii="Meiryo UI" w:hAnsi="Meiryo UI"/>
          <w:sz w:val="20"/>
        </w:rPr>
        <w:t>GMV：56.9億円（同+45.1%）</w:t>
      </w:r>
    </w:p>
    <w:p>
      <w:pPr>
        <w:pStyle w:val="ListBullet"/>
      </w:pPr>
      <w:r>
        <w:rPr>
          <w:rFonts w:ascii="Meiryo UI" w:hAnsi="Meiryo UI"/>
          <w:sz w:val="20"/>
        </w:rPr>
        <w:t>通期会社予想4.0億円に対する1Q進捗率：83.5%（異常に高い）</w:t>
      </w:r>
    </w:p>
    <w:p/>
    <w:p>
      <w:r>
        <w:t>──────────────────────────────────────────────────</w:t>
      </w:r>
    </w:p>
    <w:p/>
    <w:p>
      <w:pPr>
        <w:pStyle w:val="Heading2"/>
      </w:pPr>
      <w:r>
        <w:rPr>
          <w:rFonts w:ascii="Meiryo UI" w:hAnsi="Meiryo UI"/>
          <w:color w:val="2E74B5"/>
        </w:rPr>
        <w:t>【決算サプライズ余地（4/28発表）】</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FY26通期OP</w:t>
            </w:r>
          </w:p>
        </w:tc>
        <w:tc>
          <w:tcPr>
            <w:tcW w:type="dxa" w:w="3135"/>
            <w:shd w:val="clear" w:color="auto" w:fill="2E74B5"/>
          </w:tcPr>
          <w:p>
            <w:r>
              <w:rPr>
                <w:rFonts w:ascii="Meiryo UI" w:hAnsi="Meiryo UI"/>
                <w:b/>
                <w:color w:val="FFFFFF"/>
                <w:sz w:val="18"/>
              </w:rPr>
              <w:t>株価インパクト</w:t>
            </w:r>
          </w:p>
        </w:tc>
      </w:tr>
      <w:tr>
        <w:tc>
          <w:tcPr>
            <w:tcW w:type="dxa" w:w="3135"/>
          </w:tcPr>
          <w:p>
            <w:r>
              <w:rPr>
                <w:rFonts w:ascii="Meiryo UI" w:hAnsi="Meiryo UI"/>
                <w:sz w:val="18"/>
              </w:rPr>
              <w:t>会社予想</w:t>
            </w:r>
          </w:p>
        </w:tc>
        <w:tc>
          <w:tcPr>
            <w:tcW w:type="dxa" w:w="3135"/>
          </w:tcPr>
          <w:p>
            <w:r>
              <w:rPr>
                <w:rFonts w:ascii="Meiryo UI" w:hAnsi="Meiryo UI"/>
                <w:sz w:val="18"/>
              </w:rPr>
              <w:t>4.0億円</w:t>
            </w:r>
          </w:p>
        </w:tc>
        <w:tc>
          <w:tcPr>
            <w:tcW w:type="dxa" w:w="3135"/>
          </w:tcPr>
          <w:p>
            <w:r>
              <w:rPr>
                <w:rFonts w:ascii="Meiryo UI" w:hAnsi="Meiryo UI"/>
                <w:sz w:val="18"/>
              </w:rPr>
              <w:t>現状織込済</w:t>
            </w:r>
          </w:p>
        </w:tc>
      </w:tr>
      <w:tr>
        <w:tc>
          <w:tcPr>
            <w:tcW w:type="dxa" w:w="3135"/>
            <w:shd w:val="clear" w:color="auto" w:fill="DDEBF7"/>
          </w:tcPr>
          <w:p>
            <w:r>
              <w:rPr>
                <w:rFonts w:ascii="Meiryo UI" w:hAnsi="Meiryo UI"/>
                <w:sz w:val="18"/>
              </w:rPr>
              <w:t>深井予想（ブル）</w:t>
            </w:r>
          </w:p>
        </w:tc>
        <w:tc>
          <w:tcPr>
            <w:tcW w:type="dxa" w:w="3135"/>
            <w:shd w:val="clear" w:color="auto" w:fill="DDEBF7"/>
          </w:tcPr>
          <w:p>
            <w:r>
              <w:rPr>
                <w:rFonts w:ascii="Meiryo UI" w:hAnsi="Meiryo UI"/>
                <w:sz w:val="18"/>
              </w:rPr>
              <w:t>6.5〜7.0億円</w:t>
            </w:r>
          </w:p>
        </w:tc>
        <w:tc>
          <w:tcPr>
            <w:tcW w:type="dxa" w:w="3135"/>
            <w:shd w:val="clear" w:color="auto" w:fill="DDEBF7"/>
          </w:tcPr>
          <w:p>
            <w:r>
              <w:rPr>
                <w:rFonts w:ascii="Meiryo UI" w:hAnsi="Meiryo UI"/>
                <w:sz w:val="18"/>
              </w:rPr>
              <w:t>+30〜+50%</w:t>
            </w:r>
          </w:p>
        </w:tc>
      </w:tr>
      <w:tr>
        <w:tc>
          <w:tcPr>
            <w:tcW w:type="dxa" w:w="3135"/>
          </w:tcPr>
          <w:p>
            <w:r>
              <w:rPr>
                <w:rFonts w:ascii="Meiryo UI" w:hAnsi="Meiryo UI"/>
                <w:sz w:val="18"/>
              </w:rPr>
              <w:t>ベア</w:t>
            </w:r>
          </w:p>
        </w:tc>
        <w:tc>
          <w:tcPr>
            <w:tcW w:type="dxa" w:w="3135"/>
          </w:tcPr>
          <w:p>
            <w:r>
              <w:rPr>
                <w:rFonts w:ascii="Meiryo UI" w:hAnsi="Meiryo UI"/>
                <w:sz w:val="18"/>
              </w:rPr>
              <w:t>3.0億円</w:t>
            </w:r>
          </w:p>
        </w:tc>
        <w:tc>
          <w:tcPr>
            <w:tcW w:type="dxa" w:w="3135"/>
          </w:tcPr>
          <w:p>
            <w:r>
              <w:rPr>
                <w:rFonts w:ascii="Meiryo UI" w:hAnsi="Meiryo UI"/>
                <w:sz w:val="18"/>
              </w:rPr>
              <w:t>▲15〜▲20%</w:t>
            </w:r>
          </w:p>
        </w:tc>
      </w:tr>
    </w:tbl>
    <w:p/>
    <w:p>
      <w:r>
        <w:rPr>
          <w:rFonts w:ascii="Meiryo UI" w:hAnsi="Meiryo UI"/>
          <w:sz w:val="20"/>
        </w:rPr>
        <w:t>深井予想根拠：</w:t>
      </w:r>
    </w:p>
    <w:p>
      <w:pPr>
        <w:pStyle w:val="ListNumber"/>
      </w:pPr>
      <w:r>
        <w:rPr>
          <w:rFonts w:ascii="Meiryo UI" w:hAnsi="Meiryo UI"/>
          <w:sz w:val="20"/>
        </w:rPr>
        <w:t>1Q進捗83%は会社の保守的ガイダンス癖を示唆（FY25も上方修正→大幅超過）</w:t>
      </w:r>
    </w:p>
    <w:p>
      <w:pPr>
        <w:pStyle w:val="ListNumber"/>
      </w:pPr>
      <w:r>
        <w:rPr>
          <w:rFonts w:ascii="Meiryo UI" w:hAnsi="Meiryo UI"/>
          <w:sz w:val="20"/>
        </w:rPr>
        <w:t>広告配信代行サービスが急拡大中</w:t>
      </w:r>
    </w:p>
    <w:p>
      <w:pPr>
        <w:pStyle w:val="ListNumber"/>
      </w:pPr>
      <w:r>
        <w:rPr>
          <w:rFonts w:ascii="Meiryo UI" w:hAnsi="Meiryo UI"/>
          <w:sz w:val="20"/>
        </w:rPr>
        <w:t>サポーター利用料2.2%（年換算165億×2.2%=3.6億円）が安定寄与</w:t>
      </w:r>
    </w:p>
    <w:p/>
    <w:p>
      <w:r>
        <w:t>──────────────────────────────────────────────────</w:t>
      </w:r>
    </w:p>
    <w:p/>
    <w:p>
      <w:pPr>
        <w:pStyle w:val="Heading2"/>
      </w:pPr>
      <w:r>
        <w:rPr>
          <w:rFonts w:ascii="Meiryo UI" w:hAnsi="Meiryo UI"/>
          <w:color w:val="2E74B5"/>
        </w:rPr>
        <w:t>【FV算出】</w:t>
      </w:r>
    </w:p>
    <w:p/>
    <w:p>
      <w:pPr>
        <w:pStyle w:val="Heading3"/>
      </w:pPr>
      <w:r>
        <w:rPr>
          <w:rFonts w:ascii="Meiryo UI" w:hAnsi="Meiryo UI"/>
          <w:color w:val="2E74B5"/>
        </w:rPr>
        <w:t>PER法（主軸）</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EPS想定</w:t>
            </w:r>
          </w:p>
        </w:tc>
        <w:tc>
          <w:tcPr>
            <w:tcW w:type="dxa" w:w="3135"/>
            <w:shd w:val="clear" w:color="auto" w:fill="2E74B5"/>
          </w:tcPr>
          <w:p>
            <w:r>
              <w:rPr>
                <w:rFonts w:ascii="Meiryo UI" w:hAnsi="Meiryo UI"/>
                <w:b/>
                <w:color w:val="FFFFFF"/>
                <w:sz w:val="18"/>
              </w:rPr>
              <w:t>PER30倍</w:t>
            </w:r>
          </w:p>
        </w:tc>
        <w:tc>
          <w:tcPr>
            <w:tcW w:type="dxa" w:w="3135"/>
            <w:shd w:val="clear" w:color="auto" w:fill="2E74B5"/>
          </w:tcPr>
          <w:p>
            <w:r>
              <w:rPr>
                <w:rFonts w:ascii="Meiryo UI" w:hAnsi="Meiryo UI"/>
                <w:b/>
                <w:color w:val="FFFFFF"/>
                <w:sz w:val="18"/>
              </w:rPr>
              <w:t>PER35倍</w:t>
            </w:r>
          </w:p>
        </w:tc>
      </w:tr>
      <w:tr>
        <w:tc>
          <w:tcPr>
            <w:tcW w:type="dxa" w:w="3135"/>
          </w:tcPr>
          <w:p>
            <w:r>
              <w:rPr>
                <w:rFonts w:ascii="Meiryo UI" w:hAnsi="Meiryo UI"/>
                <w:sz w:val="18"/>
              </w:rPr>
              <w:t>会社予想¥28</w:t>
            </w:r>
          </w:p>
        </w:tc>
        <w:tc>
          <w:tcPr>
            <w:tcW w:type="dxa" w:w="3135"/>
          </w:tcPr>
          <w:p>
            <w:r>
              <w:rPr>
                <w:rFonts w:ascii="Meiryo UI" w:hAnsi="Meiryo UI"/>
                <w:sz w:val="18"/>
              </w:rPr>
              <w:t>¥840</w:t>
            </w:r>
          </w:p>
        </w:tc>
        <w:tc>
          <w:tcPr>
            <w:tcW w:type="dxa" w:w="3135"/>
          </w:tcPr>
          <w:p>
            <w:r>
              <w:rPr>
                <w:rFonts w:ascii="Meiryo UI" w:hAnsi="Meiryo UI"/>
                <w:sz w:val="18"/>
              </w:rPr>
              <w:t>¥980</w:t>
            </w:r>
          </w:p>
        </w:tc>
      </w:tr>
      <w:tr>
        <w:tc>
          <w:tcPr>
            <w:tcW w:type="dxa" w:w="3135"/>
            <w:shd w:val="clear" w:color="auto" w:fill="DDEBF7"/>
          </w:tcPr>
          <w:p>
            <w:r>
              <w:rPr>
                <w:rFonts w:ascii="Meiryo UI" w:hAnsi="Meiryo UI"/>
                <w:sz w:val="18"/>
              </w:rPr>
              <w:t>深井予想¥45</w:t>
            </w:r>
          </w:p>
        </w:tc>
        <w:tc>
          <w:tcPr>
            <w:tcW w:type="dxa" w:w="3135"/>
            <w:shd w:val="clear" w:color="auto" w:fill="DDEBF7"/>
          </w:tcPr>
          <w:p>
            <w:r>
              <w:rPr>
                <w:rFonts w:ascii="Meiryo UI" w:hAnsi="Meiryo UI"/>
                <w:sz w:val="18"/>
              </w:rPr>
              <w:t>¥1,350</w:t>
            </w:r>
          </w:p>
        </w:tc>
        <w:tc>
          <w:tcPr>
            <w:tcW w:type="dxa" w:w="3135"/>
            <w:shd w:val="clear" w:color="auto" w:fill="DDEBF7"/>
          </w:tcPr>
          <w:p>
            <w:r>
              <w:rPr>
                <w:rFonts w:ascii="Meiryo UI" w:hAnsi="Meiryo UI"/>
                <w:sz w:val="18"/>
              </w:rPr>
              <w:t>¥1,575</w:t>
            </w:r>
          </w:p>
        </w:tc>
      </w:tr>
      <w:tr>
        <w:tc>
          <w:tcPr>
            <w:tcW w:type="dxa" w:w="3135"/>
          </w:tcPr>
          <w:p>
            <w:r>
              <w:rPr>
                <w:rFonts w:ascii="Meiryo UI" w:hAnsi="Meiryo UI"/>
                <w:sz w:val="18"/>
              </w:rPr>
              <w:t>深井予想¥55</w:t>
            </w:r>
          </w:p>
        </w:tc>
        <w:tc>
          <w:tcPr>
            <w:tcW w:type="dxa" w:w="3135"/>
          </w:tcPr>
          <w:p>
            <w:r>
              <w:rPr>
                <w:rFonts w:ascii="Meiryo UI" w:hAnsi="Meiryo UI"/>
                <w:sz w:val="18"/>
              </w:rPr>
              <w:t>¥1,650</w:t>
            </w:r>
          </w:p>
        </w:tc>
        <w:tc>
          <w:tcPr>
            <w:tcW w:type="dxa" w:w="3135"/>
          </w:tcPr>
          <w:p>
            <w:r>
              <w:rPr>
                <w:rFonts w:ascii="Meiryo UI" w:hAnsi="Meiryo UI"/>
                <w:sz w:val="18"/>
              </w:rPr>
              <w:t>¥1,925</w:t>
            </w:r>
          </w:p>
        </w:tc>
      </w:tr>
    </w:tbl>
    <w:p/>
    <w:p>
      <w:r>
        <w:rPr>
          <w:rFonts w:ascii="Meiryo UI" w:hAnsi="Meiryo UI"/>
          <w:sz w:val="20"/>
        </w:rPr>
        <w:t>適用PER：30〜35倍</w:t>
      </w:r>
    </w:p>
    <w:p>
      <w:r>
        <w:rPr>
          <w:rFonts w:ascii="Meiryo UI" w:hAnsi="Meiryo UI"/>
          <w:sz w:val="20"/>
        </w:rPr>
        <w:t>Rationale：国内プラットフォーム型グロース小型株（黒字転換後）の類似PER25〜35倍。CyberAgent傘下・CF市場独占プレミアム加算。</w:t>
      </w:r>
    </w:p>
    <w:p/>
    <w:p>
      <w:pPr>
        <w:pStyle w:val="Heading3"/>
      </w:pPr>
      <w:r>
        <w:rPr>
          <w:rFonts w:ascii="Meiryo UI" w:hAnsi="Meiryo UI"/>
          <w:color w:val="2E74B5"/>
        </w:rPr>
        <w:t>EV/GMV法（補完）</w:t>
      </w:r>
    </w:p>
    <w:p/>
    <w:p>
      <w:pPr>
        <w:pStyle w:val="ListBullet"/>
      </w:pPr>
      <w:r>
        <w:rPr>
          <w:rFonts w:ascii="Meiryo UI" w:hAnsi="Meiryo UI"/>
          <w:sz w:val="20"/>
        </w:rPr>
        <w:t>現EV：≒84億円 / FY25 GMV：165.9億円</w:t>
      </w:r>
    </w:p>
    <w:p>
      <w:pPr>
        <w:pStyle w:val="ListBullet"/>
      </w:pPr>
      <w:r>
        <w:rPr>
          <w:rFonts w:ascii="Meiryo UI" w:hAnsi="Meiryo UI"/>
          <w:sz w:val="20"/>
        </w:rPr>
        <w:t>EV/GMV：0.51倍（購入型CF先行事例0.8〜1.5倍が適正範囲）</w:t>
      </w:r>
    </w:p>
    <w:p>
      <w:pPr>
        <w:pStyle w:val="ListBullet"/>
      </w:pPr>
      <w:r>
        <w:rPr>
          <w:rFonts w:ascii="Meiryo UI" w:hAnsi="Meiryo UI"/>
          <w:sz w:val="20"/>
        </w:rPr>
        <w:t>GMV法FV：¥1,130/株（保守的）</w:t>
      </w:r>
    </w:p>
    <w:p/>
    <w:p>
      <w:pPr>
        <w:pStyle w:val="Heading3"/>
      </w:pPr>
      <w:r>
        <w:rPr>
          <w:rFonts w:ascii="Meiryo UI" w:hAnsi="Meiryo UI"/>
          <w:color w:val="2E74B5"/>
        </w:rPr>
        <w:t>統合FV</w:t>
      </w:r>
    </w:p>
    <w:p/>
    <w:p>
      <w:r>
        <w:rPr>
          <w:rFonts w:ascii="Meiryo UI" w:hAnsi="Meiryo UI"/>
          <w:sz w:val="20"/>
        </w:rPr>
        <w:t>FV：¥1,150〜¥1,575（中央値¥1,320〜¥1,450）</w:t>
      </w:r>
    </w:p>
    <w:p>
      <w:r>
        <w:rPr>
          <w:rFonts w:ascii="Meiryo UI" w:hAnsi="Meiryo UI"/>
          <w:sz w:val="20"/>
        </w:rPr>
        <w:t>Rf=2.380%（財務省日次CSV）、ERP=5.0%、β=0.90</w:t>
      </w:r>
    </w:p>
    <w:p/>
    <w:p>
      <w:r>
        <w:t>──────────────────────────────────────────────────</w:t>
      </w:r>
    </w:p>
    <w:p/>
    <w:p>
      <w:pPr>
        <w:pStyle w:val="Heading2"/>
      </w:pPr>
      <w:r>
        <w:rPr>
          <w:rFonts w:ascii="Meiryo UI" w:hAnsi="Meiryo UI"/>
          <w:color w:val="2E74B5"/>
        </w:rPr>
        <w:t>【不動産含み益】</w:t>
      </w:r>
    </w:p>
    <w:p/>
    <w:p>
      <w:r>
        <w:rPr>
          <w:rFonts w:ascii="Meiryo UI" w:hAnsi="Meiryo UI"/>
          <w:sz w:val="20"/>
        </w:rPr>
        <w:t>該当なし。 プラットフォーム運営会社。主要資産はキャッシュ・売掛金・ソフトウェア。</w:t>
      </w:r>
    </w:p>
    <w:p/>
    <w:p>
      <w:r>
        <w:t>──────────────────────────────────────────────────</w:t>
      </w:r>
    </w:p>
    <w:p/>
    <w:p>
      <w:pPr>
        <w:pStyle w:val="Heading2"/>
      </w:pPr>
      <w:r>
        <w:rPr>
          <w:rFonts w:ascii="Meiryo UI" w:hAnsi="Meiryo UI"/>
          <w:color w:val="2E74B5"/>
        </w:rPr>
        <w:t>【リスクシナリオ定量】</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確率</w:t>
            </w:r>
          </w:p>
        </w:tc>
        <w:tc>
          <w:tcPr>
            <w:tcW w:type="dxa" w:w="3135"/>
            <w:shd w:val="clear" w:color="auto" w:fill="2E74B5"/>
          </w:tcPr>
          <w:p>
            <w:r>
              <w:rPr>
                <w:rFonts w:ascii="Meiryo UI" w:hAnsi="Meiryo UI"/>
                <w:b/>
                <w:color w:val="FFFFFF"/>
                <w:sz w:val="18"/>
              </w:rPr>
              <w:t>到達株価</w:t>
            </w:r>
          </w:p>
        </w:tc>
      </w:tr>
      <w:tr>
        <w:tc>
          <w:tcPr>
            <w:tcW w:type="dxa" w:w="3135"/>
          </w:tcPr>
          <w:p>
            <w:r>
              <w:rPr>
                <w:rFonts w:ascii="Meiryo UI" w:hAnsi="Meiryo UI"/>
                <w:sz w:val="18"/>
              </w:rPr>
              <w:t>ブル</w:t>
            </w:r>
          </w:p>
        </w:tc>
        <w:tc>
          <w:tcPr>
            <w:tcW w:type="dxa" w:w="3135"/>
          </w:tcPr>
          <w:p>
            <w:r>
              <w:rPr>
                <w:rFonts w:ascii="Meiryo UI" w:hAnsi="Meiryo UI"/>
                <w:sz w:val="18"/>
              </w:rPr>
              <w:t>30%</w:t>
            </w:r>
          </w:p>
        </w:tc>
        <w:tc>
          <w:tcPr>
            <w:tcW w:type="dxa" w:w="3135"/>
          </w:tcPr>
          <w:p>
            <w:r>
              <w:rPr>
                <w:rFonts w:ascii="Meiryo UI" w:hAnsi="Meiryo UI"/>
                <w:sz w:val="18"/>
              </w:rPr>
              <w:t>¥1,450〜¥1,650</w:t>
            </w:r>
          </w:p>
        </w:tc>
      </w:tr>
      <w:tr>
        <w:tc>
          <w:tcPr>
            <w:tcW w:type="dxa" w:w="3135"/>
            <w:shd w:val="clear" w:color="auto" w:fill="DDEBF7"/>
          </w:tcPr>
          <w:p>
            <w:r>
              <w:rPr>
                <w:rFonts w:ascii="Meiryo UI" w:hAnsi="Meiryo UI"/>
                <w:sz w:val="18"/>
              </w:rPr>
              <w:t>ベース</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¥1,140〜¥1,240</w:t>
            </w:r>
          </w:p>
        </w:tc>
      </w:tr>
      <w:tr>
        <w:tc>
          <w:tcPr>
            <w:tcW w:type="dxa" w:w="3135"/>
          </w:tcPr>
          <w:p>
            <w:r>
              <w:rPr>
                <w:rFonts w:ascii="Meiryo UI" w:hAnsi="Meiryo UI"/>
                <w:sz w:val="18"/>
              </w:rPr>
              <w:t>ベア</w:t>
            </w:r>
          </w:p>
        </w:tc>
        <w:tc>
          <w:tcPr>
            <w:tcW w:type="dxa" w:w="3135"/>
          </w:tcPr>
          <w:p>
            <w:r>
              <w:rPr>
                <w:rFonts w:ascii="Meiryo UI" w:hAnsi="Meiryo UI"/>
                <w:sz w:val="18"/>
              </w:rPr>
              <w:t>20%</w:t>
            </w:r>
          </w:p>
        </w:tc>
        <w:tc>
          <w:tcPr>
            <w:tcW w:type="dxa" w:w="3135"/>
          </w:tcPr>
          <w:p>
            <w:r>
              <w:rPr>
                <w:rFonts w:ascii="Meiryo UI" w:hAnsi="Meiryo UI"/>
                <w:sz w:val="18"/>
              </w:rPr>
              <w:t>¥725〜¥830</w:t>
            </w:r>
          </w:p>
        </w:tc>
      </w:tr>
    </w:tbl>
    <w:p/>
    <w:p>
      <w:r>
        <w:rPr>
          <w:rFonts w:ascii="Meiryo UI" w:hAnsi="Meiryo UI"/>
          <w:sz w:val="20"/>
        </w:rPr>
        <w:t>ベアリスク：</w:t>
      </w:r>
    </w:p>
    <w:p>
      <w:pPr>
        <w:pStyle w:val="ListBullet"/>
      </w:pPr>
      <w:r>
        <w:rPr>
          <w:rFonts w:ascii="Meiryo UI" w:hAnsi="Meiryo UI"/>
          <w:sz w:val="20"/>
        </w:rPr>
        <w:t>CAMPFIRE：件数首位（955件/月）でシェア侵食リスク</w:t>
      </w:r>
    </w:p>
    <w:p>
      <w:pPr>
        <w:pStyle w:val="ListBullet"/>
      </w:pPr>
      <w:r>
        <w:rPr>
          <w:rFonts w:ascii="Meiryo UI" w:hAnsi="Meiryo UI"/>
          <w:sz w:val="20"/>
        </w:rPr>
        <w:t>旧中計GMV300億未達（55%）＝実行力への疑問</w:t>
      </w:r>
    </w:p>
    <w:p>
      <w:pPr>
        <w:pStyle w:val="ListBullet"/>
      </w:pPr>
      <w:r>
        <w:rPr>
          <w:rFonts w:ascii="Meiryo UI" w:hAnsi="Meiryo UI"/>
          <w:sz w:val="20"/>
        </w:rPr>
        <w:t>AI・基幹システム費用超過リスク</w:t>
      </w:r>
    </w:p>
    <w:p/>
    <w:p>
      <w:r>
        <w:t>──────────────────────────────────────────────────</w:t>
      </w:r>
    </w:p>
    <w:p/>
    <w:p>
      <w:pPr>
        <w:pStyle w:val="Heading2"/>
      </w:pPr>
      <w:r>
        <w:rPr>
          <w:rFonts w:ascii="Meiryo UI" w:hAnsi="Meiryo UI"/>
          <w:color w:val="2E74B5"/>
        </w:rPr>
        <w:t>【IR質問状】</w:t>
      </w:r>
    </w:p>
    <w:p/>
    <w:p>
      <w:r>
        <w:rPr>
          <w:rFonts w:ascii="Meiryo UI" w:hAnsi="Meiryo UI"/>
          <w:sz w:val="20"/>
        </w:rPr>
        <w:t>宛先： マクアケ株式会社 IR担当（https://www.makuake.co.jp/ir/contact/）</w:t>
      </w:r>
    </w:p>
    <w:p>
      <w:r>
        <w:rPr>
          <w:rFonts w:ascii="Meiryo UI" w:hAnsi="Meiryo UI"/>
          <w:sz w:val="20"/>
        </w:rPr>
        <w:t>件名： 投資検討に際するご質問（竹村トレードカンパニー）</w:t>
      </w:r>
    </w:p>
    <w:p/>
    <w:p>
      <w:r>
        <w:rPr>
          <w:rFonts w:ascii="Meiryo UI" w:hAnsi="Meiryo UI"/>
          <w:sz w:val="20"/>
        </w:rPr>
        <w:t>竹村トレードカンパニーの竹村と申します。貴社株式への投資検討にあたり、以下5点についてご教示いただけますと幸いです。</w:t>
      </w:r>
    </w:p>
    <w:p/>
    <w:p>
      <w:r>
        <w:rPr>
          <w:rFonts w:ascii="Meiryo UI" w:hAnsi="Meiryo UI"/>
          <w:sz w:val="20"/>
        </w:rPr>
        <w:t>Q1【GMV成長ロードマップ】</w:t>
      </w:r>
    </w:p>
    <w:p>
      <w:r>
        <w:rPr>
          <w:rFonts w:ascii="Meiryo UI" w:hAnsi="Meiryo UI"/>
          <w:sz w:val="20"/>
        </w:rPr>
        <w:t>旧中期経営計画（FY23-25）においてGMV300億円目標に対し実績165.9億円にとどまりました。FY26以降の新たな中期目標（GMV・売上・営業利益）と具体的施策をご説明ください。</w:t>
      </w:r>
    </w:p>
    <w:p/>
    <w:p>
      <w:r>
        <w:rPr>
          <w:rFonts w:ascii="Meiryo UI" w:hAnsi="Meiryo UI"/>
          <w:sz w:val="20"/>
        </w:rPr>
        <w:t>Q2【広告配信代行サービスの収益貢献】</w:t>
      </w:r>
    </w:p>
    <w:p>
      <w:r>
        <w:rPr>
          <w:rFonts w:ascii="Meiryo UI" w:hAnsi="Meiryo UI"/>
          <w:sz w:val="20"/>
        </w:rPr>
        <w:t>FY26 1Qで売上+49%・OP+233%を達成した主因として同サービスの拡大が挙げられます。売上高・粗利率・顧客数について定量的にご開示いただけますか。</w:t>
      </w:r>
    </w:p>
    <w:p/>
    <w:p>
      <w:r>
        <w:rPr>
          <w:rFonts w:ascii="Meiryo UI" w:hAnsi="Meiryo UI"/>
          <w:sz w:val="20"/>
        </w:rPr>
        <w:t>Q3【サポーター利用料（2.2%）の通期貢献】</w:t>
      </w:r>
    </w:p>
    <w:p>
      <w:r>
        <w:rPr>
          <w:rFonts w:ascii="Meiryo UI" w:hAnsi="Meiryo UI"/>
          <w:sz w:val="20"/>
        </w:rPr>
        <w:t>FY25通期・FY26 1Qにおける収入総額と、導入前後での利用者数・GMVへの影響をお聞かせください。</w:t>
      </w:r>
    </w:p>
    <w:p/>
    <w:p>
      <w:r>
        <w:rPr>
          <w:rFonts w:ascii="Meiryo UI" w:hAnsi="Meiryo UI"/>
          <w:sz w:val="20"/>
        </w:rPr>
        <w:t>Q4【AI投資・基幹システム刷新の規模と回収シナリオ】</w:t>
      </w:r>
    </w:p>
    <w:p>
      <w:r>
        <w:rPr>
          <w:rFonts w:ascii="Meiryo UI" w:hAnsi="Meiryo UI"/>
          <w:sz w:val="20"/>
        </w:rPr>
        <w:t>FY26を「投資の年」と位置付けておられますが、総投資額・費用計上タイミング・ROI目標をお教えください。</w:t>
      </w:r>
    </w:p>
    <w:p/>
    <w:p>
      <w:r>
        <w:rPr>
          <w:rFonts w:ascii="Meiryo UI" w:hAnsi="Meiryo UI"/>
          <w:sz w:val="20"/>
        </w:rPr>
        <w:t>Q5【CAMPFIRE との差別化戦略】</w:t>
      </w:r>
    </w:p>
    <w:p>
      <w:r>
        <w:rPr>
          <w:rFonts w:ascii="Meiryo UI" w:hAnsi="Meiryo UI"/>
          <w:sz w:val="20"/>
        </w:rPr>
        <w:t>プロジェクト件数でCAMPFIREが首位に立っています。高単価・高品質戦略を維持しながらプロジェクト件数でも成長を取り戻すための施策と競争優位性をご説明ください。</w:t>
      </w:r>
    </w:p>
    <w:p/>
    <w:p>
      <w:r>
        <w:rPr>
          <w:rFonts w:ascii="Meiryo UI" w:hAnsi="Meiryo UI"/>
          <w:sz w:val="20"/>
        </w:rPr>
        <w:t>竹村トレードカンパニー　竹村</w:t>
      </w:r>
    </w:p>
    <w:p/>
    <w:p>
      <w:r>
        <w:t>──────────────────────────────────────────────────</w:t>
      </w:r>
    </w:p>
    <w:p/>
    <w:p>
      <w:r>
        <w:rPr>
          <w:rFonts w:ascii="Meiryo UI" w:hAnsi="Meiryo UI"/>
          <w:sz w:val="20"/>
        </w:rPr>
        <w:t>Sources: マクアケIR公式、決算短信（FY25・1Q）、craco市場調査2025/11、gamebiz、minkabu</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