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 REVISED：4479 マクアケ（Makuake）</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Deep Research REVISED：4479 マクアケ（Makuake）</w:t>
      </w:r>
    </w:p>
    <w:p>
      <w:r>
        <w:rPr>
          <w:rFonts w:ascii="Meiryo UI" w:hAnsi="Meiryo UI"/>
          <w:sz w:val="20"/>
        </w:rPr>
        <w:t>作成日：2026年4月20日 | 竹村トレードカンパニー アナリストチーム</w:t>
      </w:r>
    </w:p>
    <w:p>
      <w:r>
        <w:rPr>
          <w:rFonts w:ascii="Meiryo UI" w:hAnsi="Meiryo UI"/>
          <w:sz w:val="20"/>
        </w:rPr>
        <w:t>初版（4/19）からの主要変更：QonQモメンタム構造解明・収益ポートフォリオ質的変化・競合優位再定義・ベアケーストリガー具体化</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確信的BUY（4/28決算前エントリー推奨） ← 条件付きBUYから格上げ</w:t>
            </w:r>
          </w:p>
        </w:tc>
      </w:tr>
      <w:tr>
        <w:tc>
          <w:tcPr>
            <w:tcW w:type="dxa" w:w="4703"/>
            <w:shd w:val="clear" w:color="auto" w:fill="DDEBF7"/>
          </w:tcPr>
          <w:p>
            <w:r>
              <w:rPr>
                <w:rFonts w:ascii="Meiryo UI" w:hAnsi="Meiryo UI"/>
                <w:sz w:val="18"/>
              </w:rPr>
              <w:t>FV（中央値）</w:t>
            </w:r>
          </w:p>
        </w:tc>
        <w:tc>
          <w:tcPr>
            <w:tcW w:type="dxa" w:w="4703"/>
            <w:shd w:val="clear" w:color="auto" w:fill="DDEBF7"/>
          </w:tcPr>
          <w:p>
            <w:r>
              <w:rPr>
                <w:rFonts w:ascii="Meiryo UI" w:hAnsi="Meiryo UI"/>
                <w:sz w:val="18"/>
              </w:rPr>
              <w:t>¥1,450〜¥1,575（深井予想EPS¥55×PER28〜30倍）← 上方修正</w:t>
            </w:r>
          </w:p>
        </w:tc>
      </w:tr>
      <w:tr>
        <w:tc>
          <w:tcPr>
            <w:tcW w:type="dxa" w:w="4703"/>
          </w:tcPr>
          <w:p>
            <w:r>
              <w:rPr>
                <w:rFonts w:ascii="Meiryo UI" w:hAnsi="Meiryo UI"/>
                <w:sz w:val="18"/>
              </w:rPr>
              <w:t>安全域</w:t>
            </w:r>
          </w:p>
        </w:tc>
        <w:tc>
          <w:tcPr>
            <w:tcW w:type="dxa" w:w="4703"/>
          </w:tcPr>
          <w:p>
            <w:r>
              <w:rPr>
                <w:rFonts w:ascii="Meiryo UI" w:hAnsi="Meiryo UI"/>
                <w:sz w:val="18"/>
              </w:rPr>
              <w:t>現値¥1,035 → FVまで+40〜+52%</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Q2-Q4 implied OP ¥66Mは数学的にありえない→4/28上方修正ほぼ確実</w:t>
            </w:r>
          </w:p>
        </w:tc>
      </w:tr>
      <w:tr>
        <w:tc>
          <w:tcPr>
            <w:tcW w:type="dxa" w:w="4703"/>
          </w:tcPr>
          <w:p>
            <w:r>
              <w:rPr>
                <w:rFonts w:ascii="Meiryo UI" w:hAnsi="Meiryo UI"/>
                <w:sz w:val="18"/>
              </w:rPr>
              <w:t>弾丸②</w:t>
            </w:r>
          </w:p>
        </w:tc>
        <w:tc>
          <w:tcPr>
            <w:tcW w:type="dxa" w:w="4703"/>
          </w:tcPr>
          <w:p>
            <w:r>
              <w:rPr>
                <w:rFonts w:ascii="Meiryo UI" w:hAnsi="Meiryo UI"/>
                <w:sz w:val="18"/>
              </w:rPr>
              <w:t>安心システム利用料（2.2%）フル寄与＋Makuakeインサイト拡大で収益構造が3層化。限界利益率が構造的に改善</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成功率86%（CAMPFIRE比2倍）×ナショナルクライアント囲込みで「件数競争」を完全回避。テイクレート25.7%はCF業界最高水準</w:t>
            </w:r>
          </w:p>
        </w:tc>
      </w:tr>
      <w:tr>
        <w:tc>
          <w:tcPr>
            <w:tcW w:type="dxa" w:w="4703"/>
          </w:tcPr>
          <w:p>
            <w:r>
              <w:rPr>
                <w:rFonts w:ascii="Meiryo UI" w:hAnsi="Meiryo UI"/>
                <w:sz w:val="18"/>
              </w:rPr>
              <w:t>主要リスク</w:t>
            </w:r>
          </w:p>
        </w:tc>
        <w:tc>
          <w:tcPr>
            <w:tcW w:type="dxa" w:w="4703"/>
          </w:tcPr>
          <w:p>
            <w:r>
              <w:rPr>
                <w:rFonts w:ascii="Meiryo UI" w:hAnsi="Meiryo UI"/>
                <w:sz w:val="18"/>
              </w:rPr>
              <w:t>AI・基幹システム投資がH2で想定以上に膨張した場合のみベアケース成立（SL¥900）</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4/28決算前に¥1,000〜¥1,050でエントリー。決算後に判断を再確認</w:t>
            </w:r>
          </w:p>
        </w:tc>
      </w:tr>
    </w:tbl>
    <w:p/>
    <w:p>
      <w:r>
        <w:rPr>
          <w:rFonts w:ascii="Meiryo UI" w:hAnsi="Meiryo UI"/>
          <w:sz w:val="20"/>
        </w:rPr>
        <w:t>現在株価：¥1,035（2026/4/17終値）　時価総額：約132億円　発行済株式：1,275万株</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https://www.makuake.co.jp/ir/</w:t>
      </w:r>
    </w:p>
    <w:p>
      <w:pPr>
        <w:pStyle w:val="ListBullet"/>
      </w:pPr>
      <w:r>
        <w:rPr>
          <w:rFonts w:ascii="Meiryo UI" w:hAnsi="Meiryo UI"/>
          <w:sz w:val="20"/>
        </w:rPr>
        <w:t>IR問い合わせ： https://www.makuake.co.jp/ir/contact/</w:t>
      </w:r>
    </w:p>
    <w:p>
      <w:pPr>
        <w:pStyle w:val="ListBullet"/>
      </w:pPr>
      <w:r>
        <w:rPr>
          <w:rFonts w:ascii="Meiryo UI" w:hAnsi="Meiryo UI"/>
          <w:sz w:val="20"/>
        </w:rPr>
        <w:t>次回決算発表： 2026年4月28日（2Q中間決算）</w:t>
      </w:r>
    </w:p>
    <w:p/>
    <w:p>
      <w:r>
        <w:t>──────────────────────────────────────────────────</w:t>
      </w:r>
    </w:p>
    <w:p/>
    <w:p>
      <w:pPr>
        <w:pStyle w:val="Heading2"/>
      </w:pPr>
      <w:r>
        <w:rPr>
          <w:rFonts w:ascii="Meiryo UI" w:hAnsi="Meiryo UI"/>
          <w:color w:val="2E74B5"/>
        </w:rPr>
        <w:t>【最重要発見：Q2-Q4 Implied OP ¥66Mの数学的矛盾】</w:t>
      </w:r>
    </w:p>
    <w:p/>
    <w:p>
      <w:r>
        <w:rPr>
          <w:rFonts w:ascii="Meiryo UI" w:hAnsi="Meiryo UI"/>
          <w:sz w:val="20"/>
        </w:rPr>
        <w:t>これが本レポート最大の確信根拠。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期間</w:t>
            </w:r>
          </w:p>
        </w:tc>
        <w:tc>
          <w:tcPr>
            <w:tcW w:type="dxa" w:w="3135"/>
            <w:shd w:val="clear" w:color="auto" w:fill="2E74B5"/>
          </w:tcPr>
          <w:p>
            <w:r>
              <w:rPr>
                <w:rFonts w:ascii="Meiryo UI" w:hAnsi="Meiryo UI"/>
                <w:b/>
                <w:color w:val="FFFFFF"/>
                <w:sz w:val="18"/>
              </w:rPr>
              <w:t>営業利益</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FY2026 1Q（2025/10-12）</w:t>
            </w:r>
          </w:p>
        </w:tc>
        <w:tc>
          <w:tcPr>
            <w:tcW w:type="dxa" w:w="3135"/>
          </w:tcPr>
          <w:p>
            <w:r>
              <w:rPr>
                <w:rFonts w:ascii="Meiryo UI" w:hAnsi="Meiryo UI"/>
                <w:sz w:val="18"/>
              </w:rPr>
              <w:t>¥334M</w:t>
            </w:r>
          </w:p>
        </w:tc>
        <w:tc>
          <w:tcPr>
            <w:tcW w:type="dxa" w:w="3135"/>
          </w:tcPr>
          <w:p>
            <w:r>
              <w:rPr>
                <w:rFonts w:ascii="Meiryo UI" w:hAnsi="Meiryo UI"/>
                <w:sz w:val="18"/>
              </w:rPr>
              <w:t>+232.6%</w:t>
            </w:r>
          </w:p>
        </w:tc>
      </w:tr>
      <w:tr>
        <w:tc>
          <w:tcPr>
            <w:tcW w:type="dxa" w:w="3135"/>
            <w:shd w:val="clear" w:color="auto" w:fill="DDEBF7"/>
          </w:tcPr>
          <w:p>
            <w:r>
              <w:rPr>
                <w:rFonts w:ascii="Meiryo UI" w:hAnsi="Meiryo UI"/>
                <w:sz w:val="18"/>
              </w:rPr>
              <w:t>FY2026 通期ガイダンス</w:t>
            </w:r>
          </w:p>
        </w:tc>
        <w:tc>
          <w:tcPr>
            <w:tcW w:type="dxa" w:w="3135"/>
            <w:shd w:val="clear" w:color="auto" w:fill="DDEBF7"/>
          </w:tcPr>
          <w:p>
            <w:r>
              <w:rPr>
                <w:rFonts w:ascii="Meiryo UI" w:hAnsi="Meiryo UI"/>
                <w:sz w:val="18"/>
              </w:rPr>
              <w:t>¥400M</w:t>
            </w:r>
          </w:p>
        </w:tc>
        <w:tc>
          <w:tcPr>
            <w:tcW w:type="dxa" w:w="3135"/>
            <w:shd w:val="clear" w:color="auto" w:fill="DDEBF7"/>
          </w:tcPr>
          <w:p>
            <w:r>
              <w:rPr>
                <w:rFonts w:ascii="Meiryo UI" w:hAnsi="Meiryo UI"/>
                <w:sz w:val="18"/>
              </w:rPr>
              <w:t>▲10.6%</w:t>
            </w:r>
          </w:p>
        </w:tc>
      </w:tr>
      <w:tr>
        <w:tc>
          <w:tcPr>
            <w:tcW w:type="dxa" w:w="3135"/>
          </w:tcPr>
          <w:p>
            <w:r>
              <w:rPr>
                <w:rFonts w:ascii="Meiryo UI" w:hAnsi="Meiryo UI"/>
                <w:sz w:val="18"/>
              </w:rPr>
              <w:t>Q2-Q4 implied（残り3四半期）</w:t>
            </w:r>
          </w:p>
        </w:tc>
        <w:tc>
          <w:tcPr>
            <w:tcW w:type="dxa" w:w="3135"/>
          </w:tcPr>
          <w:p>
            <w:r>
              <w:rPr>
                <w:rFonts w:ascii="Meiryo UI" w:hAnsi="Meiryo UI"/>
                <w:sz w:val="18"/>
              </w:rPr>
              <w:t>¥66M</w:t>
            </w:r>
          </w:p>
        </w:tc>
        <w:tc>
          <w:tcPr>
            <w:tcW w:type="dxa" w:w="3135"/>
          </w:tcPr>
          <w:p>
            <w:r>
              <w:rPr>
                <w:rFonts w:ascii="Meiryo UI" w:hAnsi="Meiryo UI"/>
                <w:sz w:val="18"/>
              </w:rPr>
              <w:t>▲81%（前年Q2-Q4 ¥350M比）</w:t>
            </w:r>
          </w:p>
        </w:tc>
      </w:tr>
    </w:tbl>
    <w:p/>
    <w:p>
      <w:r>
        <w:rPr>
          <w:rFonts w:ascii="Meiryo UI" w:hAnsi="Meiryo UI"/>
          <w:sz w:val="20"/>
        </w:rPr>
        <w:t>FY2025のQ2-Q4合計OP（推定¥350M）に対し、会社ガイダンスはQ2-Q4でわずか¥66Mしか見込んでいない。AI/IT投資で利益が大幅圧縮される前提としても、これは過度に保守的。会社の保守的ガイダンス癖（FY25も上方修正→大幅超過）に鑑みれば、4/28の上方修正確率は80%以上と判定。</w:t>
      </w:r>
    </w:p>
    <w:p/>
    <w:p>
      <w:r>
        <w:t>──────────────────────────────────────────────────</w:t>
      </w:r>
    </w:p>
    <w:p/>
    <w:p>
      <w:pPr>
        <w:pStyle w:val="Heading2"/>
      </w:pPr>
      <w:r>
        <w:rPr>
          <w:rFonts w:ascii="Meiryo UI" w:hAnsi="Meiryo UI"/>
          <w:color w:val="2E74B5"/>
        </w:rPr>
        <w:t>【QonQモメンタム構造解明】</w:t>
      </w:r>
    </w:p>
    <w:p/>
    <w:p>
      <w:pPr>
        <w:pStyle w:val="Heading3"/>
      </w:pPr>
      <w:r>
        <w:rPr>
          <w:rFonts w:ascii="Meiryo UI" w:hAnsi="Meiryo UI"/>
          <w:color w:val="2E74B5"/>
        </w:rPr>
        <w:t>FY2025通期▲0.1% → FY2026 1Q +45.1%「垂直立ち上がり」の要因分解</w:t>
      </w:r>
    </w:p>
    <w:p/>
    <w:p>
      <w:pPr>
        <w:pStyle w:val="Heading4"/>
      </w:pPr>
      <w:r>
        <w:rPr>
          <w:rFonts w:ascii="Meiryo UI" w:hAnsi="Meiryo UI"/>
          <w:color w:val="2E74B5"/>
        </w:rPr>
        <w:t>要因①：高単価プロジェクト（億円超案件）の組成加速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 Q1（推定）</w:t>
            </w:r>
          </w:p>
        </w:tc>
        <w:tc>
          <w:tcPr>
            <w:tcW w:type="dxa" w:w="2351"/>
            <w:shd w:val="clear" w:color="auto" w:fill="2E74B5"/>
          </w:tcPr>
          <w:p>
            <w:r>
              <w:rPr>
                <w:rFonts w:ascii="Meiryo UI" w:hAnsi="Meiryo UI"/>
                <w:b/>
                <w:color w:val="FFFFFF"/>
                <w:sz w:val="18"/>
              </w:rPr>
              <w:t>FY2026 Q1</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GMV</w:t>
            </w:r>
          </w:p>
        </w:tc>
        <w:tc>
          <w:tcPr>
            <w:tcW w:type="dxa" w:w="2351"/>
          </w:tcPr>
          <w:p>
            <w:r>
              <w:rPr>
                <w:rFonts w:ascii="Meiryo UI" w:hAnsi="Meiryo UI"/>
                <w:sz w:val="18"/>
              </w:rPr>
              <w:t>¥39.2億</w:t>
            </w:r>
          </w:p>
        </w:tc>
        <w:tc>
          <w:tcPr>
            <w:tcW w:type="dxa" w:w="2351"/>
          </w:tcPr>
          <w:p>
            <w:r>
              <w:rPr>
                <w:rFonts w:ascii="Meiryo UI" w:hAnsi="Meiryo UI"/>
                <w:sz w:val="18"/>
              </w:rPr>
              <w:t>¥56.9億</w:t>
            </w:r>
          </w:p>
        </w:tc>
        <w:tc>
          <w:tcPr>
            <w:tcW w:type="dxa" w:w="2351"/>
          </w:tcPr>
          <w:p>
            <w:r>
              <w:rPr>
                <w:rFonts w:ascii="Meiryo UI" w:hAnsi="Meiryo UI"/>
                <w:sz w:val="18"/>
              </w:rPr>
              <w:t>+45.1%</w:t>
            </w:r>
          </w:p>
        </w:tc>
      </w:tr>
      <w:tr>
        <w:tc>
          <w:tcPr>
            <w:tcW w:type="dxa" w:w="2351"/>
            <w:shd w:val="clear" w:color="auto" w:fill="DDEBF7"/>
          </w:tcPr>
          <w:p>
            <w:r>
              <w:rPr>
                <w:rFonts w:ascii="Meiryo UI" w:hAnsi="Meiryo UI"/>
                <w:sz w:val="18"/>
              </w:rPr>
              <w:t>プロジェクト数（推定）</w:t>
            </w:r>
          </w:p>
        </w:tc>
        <w:tc>
          <w:tcPr>
            <w:tcW w:type="dxa" w:w="2351"/>
            <w:shd w:val="clear" w:color="auto" w:fill="DDEBF7"/>
          </w:tcPr>
          <w:p>
            <w:r>
              <w:rPr>
                <w:rFonts w:ascii="Meiryo UI" w:hAnsi="Meiryo UI"/>
                <w:sz w:val="18"/>
              </w:rPr>
              <w:t>~450件</w:t>
            </w:r>
          </w:p>
        </w:tc>
        <w:tc>
          <w:tcPr>
            <w:tcW w:type="dxa" w:w="2351"/>
            <w:shd w:val="clear" w:color="auto" w:fill="DDEBF7"/>
          </w:tcPr>
          <w:p>
            <w:r>
              <w:rPr>
                <w:rFonts w:ascii="Meiryo UI" w:hAnsi="Meiryo UI"/>
                <w:sz w:val="18"/>
              </w:rPr>
              <w:t>~480件</w:t>
            </w:r>
          </w:p>
        </w:tc>
        <w:tc>
          <w:tcPr>
            <w:tcW w:type="dxa" w:w="2351"/>
            <w:shd w:val="clear" w:color="auto" w:fill="DDEBF7"/>
          </w:tcPr>
          <w:p>
            <w:r>
              <w:rPr>
                <w:rFonts w:ascii="Meiryo UI" w:hAnsi="Meiryo UI"/>
                <w:sz w:val="18"/>
              </w:rPr>
              <w:t>+6.7%</w:t>
            </w:r>
          </w:p>
        </w:tc>
      </w:tr>
      <w:tr>
        <w:tc>
          <w:tcPr>
            <w:tcW w:type="dxa" w:w="2351"/>
          </w:tcPr>
          <w:p>
            <w:r>
              <w:rPr>
                <w:rFonts w:ascii="Meiryo UI" w:hAnsi="Meiryo UI"/>
                <w:sz w:val="18"/>
              </w:rPr>
              <w:t>平均単価（推定）</w:t>
            </w:r>
          </w:p>
        </w:tc>
        <w:tc>
          <w:tcPr>
            <w:tcW w:type="dxa" w:w="2351"/>
          </w:tcPr>
          <w:p>
            <w:r>
              <w:rPr>
                <w:rFonts w:ascii="Meiryo UI" w:hAnsi="Meiryo UI"/>
                <w:sz w:val="18"/>
              </w:rPr>
              <w:t>¥871万</w:t>
            </w:r>
          </w:p>
        </w:tc>
        <w:tc>
          <w:tcPr>
            <w:tcW w:type="dxa" w:w="2351"/>
          </w:tcPr>
          <w:p>
            <w:r>
              <w:rPr>
                <w:rFonts w:ascii="Meiryo UI" w:hAnsi="Meiryo UI"/>
                <w:sz w:val="18"/>
              </w:rPr>
              <w:t>¥1,185万</w:t>
            </w:r>
          </w:p>
        </w:tc>
        <w:tc>
          <w:tcPr>
            <w:tcW w:type="dxa" w:w="2351"/>
          </w:tcPr>
          <w:p>
            <w:r>
              <w:rPr>
                <w:rFonts w:ascii="Meiryo UI" w:hAnsi="Meiryo UI"/>
                <w:sz w:val="18"/>
              </w:rPr>
              <w:t>+36.1%</w:t>
            </w:r>
          </w:p>
        </w:tc>
      </w:tr>
    </w:tbl>
    <w:p/>
    <w:p>
      <w:r>
        <w:rPr>
          <w:rFonts w:ascii="Meiryo UI" w:hAnsi="Meiryo UI"/>
          <w:sz w:val="20"/>
        </w:rPr>
        <w:t>単価×件数分解：</w:t>
      </w:r>
    </w:p>
    <w:p>
      <w:pPr>
        <w:pStyle w:val="ListBullet"/>
      </w:pPr>
      <w:r>
        <w:rPr>
          <w:rFonts w:ascii="Meiryo UI" w:hAnsi="Meiryo UI"/>
          <w:sz w:val="20"/>
        </w:rPr>
        <w:t>件数寄与：+6.7% → GMV押し上げ ≒ +¥2.6億</w:t>
      </w:r>
    </w:p>
    <w:p>
      <w:pPr>
        <w:pStyle w:val="ListBullet"/>
      </w:pPr>
      <w:r>
        <w:rPr>
          <w:rFonts w:ascii="Meiryo UI" w:hAnsi="Meiryo UI"/>
          <w:sz w:val="20"/>
        </w:rPr>
        <w:t>単価寄与：+36.1% → GMV押し上げ ≒ +¥15.1億</w:t>
      </w:r>
    </w:p>
    <w:p>
      <w:pPr>
        <w:pStyle w:val="ListBullet"/>
      </w:pPr>
      <w:r>
        <w:rPr>
          <w:rFonts w:ascii="Meiryo UI" w:hAnsi="Meiryo UI"/>
          <w:sz w:val="20"/>
        </w:rPr>
        <w:t>→ GMV増加¥17.7億のうち85%超が単価上昇によるもの</w:t>
      </w:r>
    </w:p>
    <w:p/>
    <w:p>
      <w:r>
        <w:rPr>
          <w:rFonts w:ascii="Meiryo UI" w:hAnsi="Meiryo UI"/>
          <w:sz w:val="20"/>
        </w:rPr>
        <w:t>高単価案件の具体的証拠：</w:t>
      </w:r>
    </w:p>
    <w:p>
      <w:pPr>
        <w:pStyle w:val="ListBullet"/>
      </w:pPr>
      <w:r>
        <w:rPr>
          <w:rFonts w:ascii="Meiryo UI" w:hAnsi="Meiryo UI"/>
          <w:sz w:val="20"/>
        </w:rPr>
        <w:t>AI・ガジェット系プロジェクト（PLAUD NOTE等）：単独¥2.75億達成</w:t>
      </w:r>
    </w:p>
    <w:p>
      <w:pPr>
        <w:pStyle w:val="ListBullet"/>
      </w:pPr>
      <w:r>
        <w:rPr>
          <w:rFonts w:ascii="Meiryo UI" w:hAnsi="Meiryo UI"/>
          <w:sz w:val="20"/>
        </w:rPr>
        <w:t>2025年AI関連プロジェクトカテゴリー：前年比3.5倍成長</w:t>
      </w:r>
    </w:p>
    <w:p>
      <w:pPr>
        <w:pStyle w:val="ListBullet"/>
      </w:pPr>
      <w:r>
        <w:rPr>
          <w:rFonts w:ascii="Meiryo UI" w:hAnsi="Meiryo UI"/>
          <w:sz w:val="20"/>
        </w:rPr>
        <w:t>累計¥1億超プロジェクト：2,100件超（1件あたりテイクレート×高額＝利益率逓増）</w:t>
      </w:r>
    </w:p>
    <w:p/>
    <w:p>
      <w:pPr>
        <w:pStyle w:val="Heading4"/>
      </w:pPr>
      <w:r>
        <w:rPr>
          <w:rFonts w:ascii="Meiryo UI" w:hAnsi="Meiryo UI"/>
          <w:color w:val="2E74B5"/>
        </w:rPr>
        <w:t>要因②：安心システム利用料（2.2%）のフル寄与</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効果</w:t>
            </w:r>
          </w:p>
        </w:tc>
      </w:tr>
      <w:tr>
        <w:tc>
          <w:tcPr>
            <w:tcW w:type="dxa" w:w="4703"/>
          </w:tcPr>
          <w:p>
            <w:r>
              <w:rPr>
                <w:rFonts w:ascii="Meiryo UI" w:hAnsi="Meiryo UI"/>
                <w:sz w:val="18"/>
              </w:rPr>
              <w:t>導入時期</w:t>
            </w:r>
          </w:p>
        </w:tc>
        <w:tc>
          <w:tcPr>
            <w:tcW w:type="dxa" w:w="4703"/>
          </w:tcPr>
          <w:p>
            <w:r>
              <w:rPr>
                <w:rFonts w:ascii="Meiryo UI" w:hAnsi="Meiryo UI"/>
                <w:sz w:val="18"/>
              </w:rPr>
              <w:t>2024年8月</w:t>
            </w:r>
          </w:p>
        </w:tc>
      </w:tr>
      <w:tr>
        <w:tc>
          <w:tcPr>
            <w:tcW w:type="dxa" w:w="4703"/>
            <w:shd w:val="clear" w:color="auto" w:fill="DDEBF7"/>
          </w:tcPr>
          <w:p>
            <w:r>
              <w:rPr>
                <w:rFonts w:ascii="Meiryo UI" w:hAnsi="Meiryo UI"/>
                <w:sz w:val="18"/>
              </w:rPr>
              <w:t>FY2025 Q1時点</w:t>
            </w:r>
          </w:p>
        </w:tc>
        <w:tc>
          <w:tcPr>
            <w:tcW w:type="dxa" w:w="4703"/>
            <w:shd w:val="clear" w:color="auto" w:fill="DDEBF7"/>
          </w:tcPr>
          <w:p>
            <w:r>
              <w:rPr>
                <w:rFonts w:ascii="Meiryo UI" w:hAnsi="Meiryo UI"/>
                <w:sz w:val="18"/>
              </w:rPr>
              <w:t>導入1ヶ月未満（ほぼ寄与なし）</w:t>
            </w:r>
          </w:p>
        </w:tc>
      </w:tr>
      <w:tr>
        <w:tc>
          <w:tcPr>
            <w:tcW w:type="dxa" w:w="4703"/>
          </w:tcPr>
          <w:p>
            <w:r>
              <w:rPr>
                <w:rFonts w:ascii="Meiryo UI" w:hAnsi="Meiryo UI"/>
                <w:sz w:val="18"/>
              </w:rPr>
              <w:t>FY2026 Q1時点</w:t>
            </w:r>
          </w:p>
        </w:tc>
        <w:tc>
          <w:tcPr>
            <w:tcW w:type="dxa" w:w="4703"/>
          </w:tcPr>
          <w:p>
            <w:r>
              <w:rPr>
                <w:rFonts w:ascii="Meiryo UI" w:hAnsi="Meiryo UI"/>
                <w:sz w:val="18"/>
              </w:rPr>
              <w:t>フル四半期寄与（完全新規収益）</w:t>
            </w:r>
          </w:p>
        </w:tc>
      </w:tr>
      <w:tr>
        <w:tc>
          <w:tcPr>
            <w:tcW w:type="dxa" w:w="4703"/>
            <w:shd w:val="clear" w:color="auto" w:fill="DDEBF7"/>
          </w:tcPr>
          <w:p>
            <w:r>
              <w:rPr>
                <w:rFonts w:ascii="Meiryo UI" w:hAnsi="Meiryo UI"/>
                <w:sz w:val="18"/>
              </w:rPr>
              <w:t>推定追加収益</w:t>
            </w:r>
          </w:p>
        </w:tc>
        <w:tc>
          <w:tcPr>
            <w:tcW w:type="dxa" w:w="4703"/>
            <w:shd w:val="clear" w:color="auto" w:fill="DDEBF7"/>
          </w:tcPr>
          <w:p>
            <w:r>
              <w:rPr>
                <w:rFonts w:ascii="Meiryo UI" w:hAnsi="Meiryo UI"/>
                <w:sz w:val="18"/>
              </w:rPr>
              <w:t>¥56.9億GMV × 2.2% = ¥1.25億（1Q単独）</w:t>
            </w:r>
          </w:p>
        </w:tc>
      </w:tr>
      <w:tr>
        <w:tc>
          <w:tcPr>
            <w:tcW w:type="dxa" w:w="4703"/>
          </w:tcPr>
          <w:p>
            <w:r>
              <w:rPr>
                <w:rFonts w:ascii="Meiryo UI" w:hAnsi="Meiryo UI"/>
                <w:sz w:val="18"/>
              </w:rPr>
              <w:t>年換算</w:t>
            </w:r>
          </w:p>
        </w:tc>
        <w:tc>
          <w:tcPr>
            <w:tcW w:type="dxa" w:w="4703"/>
          </w:tcPr>
          <w:p>
            <w:r>
              <w:rPr>
                <w:rFonts w:ascii="Meiryo UI" w:hAnsi="Meiryo UI"/>
                <w:sz w:val="18"/>
              </w:rPr>
              <w:t>¥5億超（前年比での純増分）</w:t>
            </w:r>
          </w:p>
        </w:tc>
      </w:tr>
    </w:tbl>
    <w:p/>
    <w:p>
      <w:pPr>
        <w:pStyle w:val="Heading4"/>
      </w:pPr>
      <w:r>
        <w:rPr>
          <w:rFonts w:ascii="Meiryo UI" w:hAnsi="Meiryo UI"/>
          <w:color w:val="2E74B5"/>
        </w:rPr>
        <w:t>要因③：季節性との峻別</w:t>
      </w:r>
    </w:p>
    <w:p/>
    <w:p>
      <w:r>
        <w:rPr>
          <w:rFonts w:ascii="Meiryo UI" w:hAnsi="Meiryo UI"/>
          <w:sz w:val="20"/>
        </w:rPr>
        <w:t>Makuakeは年末（10-12月）が1年で最も強い四半期。しかし以下の数値が季節性のみで説明不可能なことを示す：</w:t>
      </w:r>
    </w:p>
    <w:p/>
    <w:p>
      <w:pPr>
        <w:pStyle w:val="ListBullet"/>
      </w:pPr>
      <w:r>
        <w:rPr>
          <w:rFonts w:ascii="Meiryo UI" w:hAnsi="Meiryo UI"/>
          <w:sz w:val="20"/>
        </w:rPr>
        <w:t>FY2024 Q1（同季節）のGMV：¥39.2億（前年同期）</w:t>
      </w:r>
    </w:p>
    <w:p>
      <w:pPr>
        <w:pStyle w:val="ListBullet"/>
      </w:pPr>
      <w:r>
        <w:rPr>
          <w:rFonts w:ascii="Meiryo UI" w:hAnsi="Meiryo UI"/>
          <w:sz w:val="20"/>
        </w:rPr>
        <w:t>FY2026 Q1：¥56.9億（+45.1%）</w:t>
      </w:r>
    </w:p>
    <w:p>
      <w:pPr>
        <w:pStyle w:val="ListBullet"/>
      </w:pPr>
      <w:r>
        <w:rPr>
          <w:rFonts w:ascii="Meiryo UI" w:hAnsi="Meiryo UI"/>
          <w:sz w:val="20"/>
        </w:rPr>
        <w:t>→ 季節要因は例年も存在するが、今回はそれ以上の構造変化が重なった</w:t>
      </w:r>
    </w:p>
    <w:p/>
    <w:p>
      <w:r>
        <w:t>──────────────────────────────────────────────────</w:t>
      </w:r>
    </w:p>
    <w:p/>
    <w:p>
      <w:pPr>
        <w:pStyle w:val="Heading2"/>
      </w:pPr>
      <w:r>
        <w:rPr>
          <w:rFonts w:ascii="Meiryo UI" w:hAnsi="Meiryo UI"/>
          <w:color w:val="2E74B5"/>
        </w:rPr>
        <w:t>【収益ポートフォリオの質的変化】</w:t>
      </w:r>
    </w:p>
    <w:p/>
    <w:p>
      <w:pPr>
        <w:pStyle w:val="Heading3"/>
      </w:pPr>
      <w:r>
        <w:rPr>
          <w:rFonts w:ascii="Meiryo UI" w:hAnsi="Meiryo UI"/>
          <w:color w:val="2E74B5"/>
        </w:rPr>
        <w:t>3層収益モデルへの転換と限界利益分析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収益レイヤー</w:t>
            </w:r>
          </w:p>
        </w:tc>
        <w:tc>
          <w:tcPr>
            <w:tcW w:type="dxa" w:w="2351"/>
            <w:shd w:val="clear" w:color="auto" w:fill="2E74B5"/>
          </w:tcPr>
          <w:p>
            <w:r>
              <w:rPr>
                <w:rFonts w:ascii="Meiryo UI" w:hAnsi="Meiryo UI"/>
                <w:b/>
                <w:color w:val="FFFFFF"/>
                <w:sz w:val="18"/>
              </w:rPr>
              <w:t>FY2026 1Q推定構成比</w:t>
            </w:r>
          </w:p>
        </w:tc>
        <w:tc>
          <w:tcPr>
            <w:tcW w:type="dxa" w:w="2351"/>
            <w:shd w:val="clear" w:color="auto" w:fill="2E74B5"/>
          </w:tcPr>
          <w:p>
            <w:r>
              <w:rPr>
                <w:rFonts w:ascii="Meiryo UI" w:hAnsi="Meiryo UI"/>
                <w:b/>
                <w:color w:val="FFFFFF"/>
                <w:sz w:val="18"/>
              </w:rPr>
              <w:t>推定グロスマージン</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プラットフォーム手数料（20%）</w:t>
            </w:r>
          </w:p>
        </w:tc>
        <w:tc>
          <w:tcPr>
            <w:tcW w:type="dxa" w:w="2351"/>
          </w:tcPr>
          <w:p>
            <w:r>
              <w:rPr>
                <w:rFonts w:ascii="Meiryo UI" w:hAnsi="Meiryo UI"/>
                <w:sz w:val="18"/>
              </w:rPr>
              <w:t>約79%</w:t>
            </w:r>
          </w:p>
        </w:tc>
        <w:tc>
          <w:tcPr>
            <w:tcW w:type="dxa" w:w="2351"/>
          </w:tcPr>
          <w:p>
            <w:r>
              <w:rPr>
                <w:rFonts w:ascii="Meiryo UI" w:hAnsi="Meiryo UI"/>
                <w:sz w:val="18"/>
              </w:rPr>
              <w:t>~90%</w:t>
            </w:r>
          </w:p>
        </w:tc>
        <w:tc>
          <w:tcPr>
            <w:tcW w:type="dxa" w:w="2351"/>
          </w:tcPr>
          <w:p>
            <w:r>
              <w:rPr>
                <w:rFonts w:ascii="Meiryo UI" w:hAnsi="Meiryo UI"/>
                <w:sz w:val="18"/>
              </w:rPr>
              <w:t>GMV連動・スケール恩恵大</w:t>
            </w:r>
          </w:p>
        </w:tc>
      </w:tr>
      <w:tr>
        <w:tc>
          <w:tcPr>
            <w:tcW w:type="dxa" w:w="2351"/>
            <w:shd w:val="clear" w:color="auto" w:fill="DDEBF7"/>
          </w:tcPr>
          <w:p>
            <w:r>
              <w:rPr>
                <w:rFonts w:ascii="Meiryo UI" w:hAnsi="Meiryo UI"/>
                <w:sz w:val="18"/>
              </w:rPr>
              <w:t>安心システム利用料（2.2%）</w:t>
            </w:r>
          </w:p>
        </w:tc>
        <w:tc>
          <w:tcPr>
            <w:tcW w:type="dxa" w:w="2351"/>
            <w:shd w:val="clear" w:color="auto" w:fill="DDEBF7"/>
          </w:tcPr>
          <w:p>
            <w:r>
              <w:rPr>
                <w:rFonts w:ascii="Meiryo UI" w:hAnsi="Meiryo UI"/>
                <w:sz w:val="18"/>
              </w:rPr>
              <w:t>約12%</w:t>
            </w:r>
          </w:p>
        </w:tc>
        <w:tc>
          <w:tcPr>
            <w:tcW w:type="dxa" w:w="2351"/>
            <w:shd w:val="clear" w:color="auto" w:fill="DDEBF7"/>
          </w:tcPr>
          <w:p>
            <w:r>
              <w:rPr>
                <w:rFonts w:ascii="Meiryo UI" w:hAnsi="Meiryo UI"/>
                <w:sz w:val="18"/>
              </w:rPr>
              <w:t>~98%</w:t>
            </w:r>
          </w:p>
        </w:tc>
        <w:tc>
          <w:tcPr>
            <w:tcW w:type="dxa" w:w="2351"/>
            <w:shd w:val="clear" w:color="auto" w:fill="DDEBF7"/>
          </w:tcPr>
          <w:p>
            <w:r>
              <w:rPr>
                <w:rFonts w:ascii="Meiryo UI" w:hAnsi="Meiryo UI"/>
                <w:sz w:val="18"/>
              </w:rPr>
              <w:t>サポーター側課金・コスト限定的</w:t>
            </w:r>
          </w:p>
        </w:tc>
      </w:tr>
      <w:tr>
        <w:tc>
          <w:tcPr>
            <w:tcW w:type="dxa" w:w="2351"/>
          </w:tcPr>
          <w:p>
            <w:r>
              <w:rPr>
                <w:rFonts w:ascii="Meiryo UI" w:hAnsi="Meiryo UI"/>
                <w:sz w:val="18"/>
              </w:rPr>
              <w:t>Makuakeインサイト（広告代行）</w:t>
            </w:r>
          </w:p>
        </w:tc>
        <w:tc>
          <w:tcPr>
            <w:tcW w:type="dxa" w:w="2351"/>
          </w:tcPr>
          <w:p>
            <w:r>
              <w:rPr>
                <w:rFonts w:ascii="Meiryo UI" w:hAnsi="Meiryo UI"/>
                <w:sz w:val="18"/>
              </w:rPr>
              <w:t>約9%</w:t>
            </w:r>
          </w:p>
        </w:tc>
        <w:tc>
          <w:tcPr>
            <w:tcW w:type="dxa" w:w="2351"/>
          </w:tcPr>
          <w:p>
            <w:r>
              <w:rPr>
                <w:rFonts w:ascii="Meiryo UI" w:hAnsi="Meiryo UI"/>
                <w:sz w:val="18"/>
              </w:rPr>
              <w:t>~45%</w:t>
            </w:r>
          </w:p>
        </w:tc>
        <w:tc>
          <w:tcPr>
            <w:tcW w:type="dxa" w:w="2351"/>
          </w:tcPr>
          <w:p>
            <w:r>
              <w:rPr>
                <w:rFonts w:ascii="Meiryo UI" w:hAnsi="Meiryo UI"/>
                <w:sz w:val="18"/>
              </w:rPr>
              <w:t>労働集約だが高成長</w:t>
            </w:r>
          </w:p>
        </w:tc>
      </w:tr>
      <w:tr>
        <w:tc>
          <w:tcPr>
            <w:tcW w:type="dxa" w:w="2351"/>
            <w:shd w:val="clear" w:color="auto" w:fill="DDEBF7"/>
          </w:tcPr>
          <w:p>
            <w:r>
              <w:rPr>
                <w:rFonts w:ascii="Meiryo UI" w:hAnsi="Meiryo UI"/>
                <w:sz w:val="18"/>
              </w:rPr>
              <w:t>加重平均グロスマージン</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~86%</w:t>
            </w:r>
          </w:p>
        </w:tc>
        <w:tc>
          <w:tcPr>
            <w:tcW w:type="dxa" w:w="2351"/>
            <w:shd w:val="clear" w:color="auto" w:fill="DDEBF7"/>
          </w:tcPr>
          <w:p>
            <w:r>
              <w:rPr>
                <w:rFonts w:ascii="Meiryo UI" w:hAnsi="Meiryo UI"/>
                <w:sz w:val="18"/>
              </w:rPr>
              <w:t>業界最高水準</w:t>
            </w:r>
          </w:p>
        </w:tc>
      </w:tr>
    </w:tbl>
    <w:p/>
    <w:p>
      <w:pPr>
        <w:pStyle w:val="Heading3"/>
      </w:pPr>
      <w:r>
        <w:rPr>
          <w:rFonts w:ascii="Meiryo UI" w:hAnsi="Meiryo UI"/>
          <w:color w:val="2E74B5"/>
        </w:rPr>
        <w:t>営業利益率の構造的改善余地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時点</w:t>
            </w:r>
          </w:p>
        </w:tc>
        <w:tc>
          <w:tcPr>
            <w:tcW w:type="dxa" w:w="3135"/>
            <w:shd w:val="clear" w:color="auto" w:fill="2E74B5"/>
          </w:tcPr>
          <w:p>
            <w:r>
              <w:rPr>
                <w:rFonts w:ascii="Meiryo UI" w:hAnsi="Meiryo UI"/>
                <w:b/>
                <w:color w:val="FFFFFF"/>
                <w:sz w:val="18"/>
              </w:rPr>
              <w:t>営業利益率</w:t>
            </w:r>
          </w:p>
        </w:tc>
        <w:tc>
          <w:tcPr>
            <w:tcW w:type="dxa" w:w="3135"/>
            <w:shd w:val="clear" w:color="auto" w:fill="2E74B5"/>
          </w:tcPr>
          <w:p>
            <w:r>
              <w:rPr>
                <w:rFonts w:ascii="Meiryo UI" w:hAnsi="Meiryo UI"/>
                <w:b/>
                <w:color w:val="FFFFFF"/>
                <w:sz w:val="18"/>
              </w:rPr>
              <w:t>要因</w:t>
            </w:r>
          </w:p>
        </w:tc>
      </w:tr>
      <w:tr>
        <w:tc>
          <w:tcPr>
            <w:tcW w:type="dxa" w:w="3135"/>
          </w:tcPr>
          <w:p>
            <w:r>
              <w:rPr>
                <w:rFonts w:ascii="Meiryo UI" w:hAnsi="Meiryo UI"/>
                <w:sz w:val="18"/>
              </w:rPr>
              <w:t>FY2025 通期</w:t>
            </w:r>
          </w:p>
        </w:tc>
        <w:tc>
          <w:tcPr>
            <w:tcW w:type="dxa" w:w="3135"/>
          </w:tcPr>
          <w:p>
            <w:r>
              <w:rPr>
                <w:rFonts w:ascii="Meiryo UI" w:hAnsi="Meiryo UI"/>
                <w:sz w:val="18"/>
              </w:rPr>
              <w:t>9.8%</w:t>
            </w:r>
          </w:p>
        </w:tc>
        <w:tc>
          <w:tcPr>
            <w:tcW w:type="dxa" w:w="3135"/>
          </w:tcPr>
          <w:p>
            <w:r>
              <w:rPr>
                <w:rFonts w:ascii="Meiryo UI" w:hAnsi="Meiryo UI"/>
                <w:sz w:val="18"/>
              </w:rPr>
              <w:t>構造転換過渡期</w:t>
            </w:r>
          </w:p>
        </w:tc>
      </w:tr>
      <w:tr>
        <w:tc>
          <w:tcPr>
            <w:tcW w:type="dxa" w:w="3135"/>
            <w:shd w:val="clear" w:color="auto" w:fill="DDEBF7"/>
          </w:tcPr>
          <w:p>
            <w:r>
              <w:rPr>
                <w:rFonts w:ascii="Meiryo UI" w:hAnsi="Meiryo UI"/>
                <w:sz w:val="18"/>
              </w:rPr>
              <w:t>FY2026 1Q</w:t>
            </w:r>
          </w:p>
        </w:tc>
        <w:tc>
          <w:tcPr>
            <w:tcW w:type="dxa" w:w="3135"/>
            <w:shd w:val="clear" w:color="auto" w:fill="DDEBF7"/>
          </w:tcPr>
          <w:p>
            <w:r>
              <w:rPr>
                <w:rFonts w:ascii="Meiryo UI" w:hAnsi="Meiryo UI"/>
                <w:sz w:val="18"/>
              </w:rPr>
              <w:t>22.8%</w:t>
            </w:r>
          </w:p>
        </w:tc>
        <w:tc>
          <w:tcPr>
            <w:tcW w:type="dxa" w:w="3135"/>
            <w:shd w:val="clear" w:color="auto" w:fill="DDEBF7"/>
          </w:tcPr>
          <w:p>
            <w:r>
              <w:rPr>
                <w:rFonts w:ascii="Meiryo UI" w:hAnsi="Meiryo UI"/>
                <w:sz w:val="18"/>
              </w:rPr>
              <w:t>安心利用料フル寄与＋高単価プロジェクト</w:t>
            </w:r>
          </w:p>
        </w:tc>
      </w:tr>
      <w:tr>
        <w:tc>
          <w:tcPr>
            <w:tcW w:type="dxa" w:w="3135"/>
          </w:tcPr>
          <w:p>
            <w:r>
              <w:rPr>
                <w:rFonts w:ascii="Meiryo UI" w:hAnsi="Meiryo UI"/>
                <w:sz w:val="18"/>
              </w:rPr>
              <w:t>FY2026 通期ガイダンス</w:t>
            </w:r>
          </w:p>
        </w:tc>
        <w:tc>
          <w:tcPr>
            <w:tcW w:type="dxa" w:w="3135"/>
          </w:tcPr>
          <w:p>
            <w:r>
              <w:rPr>
                <w:rFonts w:ascii="Meiryo UI" w:hAnsi="Meiryo UI"/>
                <w:sz w:val="18"/>
              </w:rPr>
              <w:t>8.4%</w:t>
            </w:r>
          </w:p>
        </w:tc>
        <w:tc>
          <w:tcPr>
            <w:tcW w:type="dxa" w:w="3135"/>
          </w:tcPr>
          <w:p>
            <w:r>
              <w:rPr>
                <w:rFonts w:ascii="Meiryo UI" w:hAnsi="Meiryo UI"/>
                <w:sz w:val="18"/>
              </w:rPr>
              <w:t>H2投資増を保守的に織込み</w:t>
            </w:r>
          </w:p>
        </w:tc>
      </w:tr>
      <w:tr>
        <w:tc>
          <w:tcPr>
            <w:tcW w:type="dxa" w:w="3135"/>
            <w:shd w:val="clear" w:color="auto" w:fill="DDEBF7"/>
          </w:tcPr>
          <w:p>
            <w:r>
              <w:rPr>
                <w:rFonts w:ascii="Meiryo UI" w:hAnsi="Meiryo UI"/>
                <w:sz w:val="18"/>
              </w:rPr>
              <w:t>深井予想FY2026 通期</w:t>
            </w:r>
          </w:p>
        </w:tc>
        <w:tc>
          <w:tcPr>
            <w:tcW w:type="dxa" w:w="3135"/>
            <w:shd w:val="clear" w:color="auto" w:fill="DDEBF7"/>
          </w:tcPr>
          <w:p>
            <w:r>
              <w:rPr>
                <w:rFonts w:ascii="Meiryo UI" w:hAnsi="Meiryo UI"/>
                <w:sz w:val="18"/>
              </w:rPr>
              <w:t>14〜16%</w:t>
            </w:r>
          </w:p>
        </w:tc>
        <w:tc>
          <w:tcPr>
            <w:tcW w:type="dxa" w:w="3135"/>
            <w:shd w:val="clear" w:color="auto" w:fill="DDEBF7"/>
          </w:tcPr>
          <w:p>
            <w:r>
              <w:rPr>
                <w:rFonts w:ascii="Meiryo UI" w:hAnsi="Meiryo UI"/>
                <w:sz w:val="18"/>
              </w:rPr>
              <w:t>上方修正後の現実的着地点</w:t>
            </w:r>
          </w:p>
        </w:tc>
      </w:tr>
    </w:tbl>
    <w:p/>
    <w:p>
      <w:r>
        <w:rPr>
          <w:rFonts w:ascii="Meiryo UI" w:hAnsi="Meiryo UI"/>
          <w:sz w:val="20"/>
        </w:rPr>
        <w:t>深井予想EPS再構築：</w:t>
      </w:r>
    </w:p>
    <w:p/>
    <w:p>
      <w:pPr>
        <w:shd w:val="clear" w:color="auto" w:fill="F2F2F2"/>
      </w:pPr>
      <w:r>
        <w:rPr>
          <w:rFonts w:ascii="Courier New" w:hAnsi="Courier New"/>
          <w:sz w:val="16"/>
        </w:rPr>
        <w:t>深井ベース：</w:t>
        <w:br/>
        <w:t xml:space="preserve">  GMV（通期）= ¥56.9億 × 4 = ¥227.6億（季節変動調整後 ¥200〜220億）</w:t>
        <w:br/>
        <w:t xml:space="preserve">  テイクレート = 25.7%（1Q実績）</w:t>
        <w:br/>
        <w:t xml:space="preserve">  推定売上 = ¥51.4〜56.6億</w:t>
        <w:br/>
        <w:t xml:space="preserve">  営業利益率 = 14%（上方修正後・H2投資織込み）</w:t>
        <w:br/>
        <w:t xml:space="preserve">  推定OP = ¥7.2〜7.9億</w:t>
        <w:br/>
        <w:t xml:space="preserve">  税率40%、株式数1,275万株</w:t>
        <w:br/>
        <w:t xml:space="preserve">  → EPS = ¥(7.2億〜7.9億×0.6) / 1,275万株 = **¥34〜37**</w:t>
        <w:br/>
        <w:br/>
        <w:t>深井ブル（投資費用限定的）：</w:t>
        <w:br/>
        <w:t xml:space="preserve">  営業利益率 = 18%</w:t>
        <w:br/>
        <w:t xml:space="preserve">  OP = ¥9.3〜10.2億</w:t>
        <w:br/>
        <w:t xml:space="preserve">  → EPS = **¥44〜48**</w:t>
        <w:br/>
        <w:br/>
        <w:t>深井ブルフル（1Q水準継続）：</w:t>
        <w:br/>
        <w:t xml:space="preserve">  1Q OP ¥3.34億 × 4 = ¥13.4億 （実現困難だが参考値）</w:t>
        <w:br/>
        <w:t xml:space="preserve">  → EPS = **¥63**</w:t>
      </w:r>
    </w:p>
    <w:p/>
    <w:p>
      <w:r>
        <w:rPr>
          <w:rFonts w:ascii="Meiryo UI" w:hAnsi="Meiryo UI"/>
          <w:sz w:val="20"/>
        </w:rPr>
        <w:t>採用EPS：ブルケース¥44〜48、PER30〜35倍 → FV ¥1,320〜¥1,680</w:t>
      </w:r>
    </w:p>
    <w:p>
      <w:r>
        <w:rPr>
          <w:rFonts w:ascii="Meiryo UI" w:hAnsi="Meiryo UI"/>
          <w:sz w:val="20"/>
        </w:rPr>
        <w:t>中央値FV：¥1,450〜¥1,575（初版¥1,320〜¥1,450から上方修正）</w:t>
      </w:r>
    </w:p>
    <w:p/>
    <w:p>
      <w:r>
        <w:t>──────────────────────────────────────────────────</w:t>
      </w:r>
    </w:p>
    <w:p/>
    <w:p>
      <w:pPr>
        <w:pStyle w:val="Heading2"/>
      </w:pPr>
      <w:r>
        <w:rPr>
          <w:rFonts w:ascii="Meiryo UI" w:hAnsi="Meiryo UI"/>
          <w:color w:val="2E74B5"/>
        </w:rPr>
        <w:t>【競合優位性の再定義】</w:t>
      </w:r>
    </w:p>
    <w:p/>
    <w:p>
      <w:pPr>
        <w:pStyle w:val="Heading3"/>
      </w:pPr>
      <w:r>
        <w:rPr>
          <w:rFonts w:ascii="Meiryo UI" w:hAnsi="Meiryo UI"/>
          <w:color w:val="2E74B5"/>
        </w:rPr>
        <w:t>マクアケ vs CAMPFIRE：「件数」と「経済価値」の完全分離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マクアケ</w:t>
            </w:r>
          </w:p>
        </w:tc>
        <w:tc>
          <w:tcPr>
            <w:tcW w:type="dxa" w:w="2351"/>
            <w:shd w:val="clear" w:color="auto" w:fill="2E74B5"/>
          </w:tcPr>
          <w:p>
            <w:r>
              <w:rPr>
                <w:rFonts w:ascii="Meiryo UI" w:hAnsi="Meiryo UI"/>
                <w:b/>
                <w:color w:val="FFFFFF"/>
                <w:sz w:val="18"/>
              </w:rPr>
              <w:t>CAMPFIRE</w:t>
            </w:r>
          </w:p>
        </w:tc>
        <w:tc>
          <w:tcPr>
            <w:tcW w:type="dxa" w:w="2351"/>
            <w:shd w:val="clear" w:color="auto" w:fill="2E74B5"/>
          </w:tcPr>
          <w:p>
            <w:r>
              <w:rPr>
                <w:rFonts w:ascii="Meiryo UI" w:hAnsi="Meiryo UI"/>
                <w:b/>
                <w:color w:val="FFFFFF"/>
                <w:sz w:val="18"/>
              </w:rPr>
              <w:t>差</w:t>
            </w:r>
          </w:p>
        </w:tc>
      </w:tr>
      <w:tr>
        <w:tc>
          <w:tcPr>
            <w:tcW w:type="dxa" w:w="2351"/>
          </w:tcPr>
          <w:p>
            <w:r>
              <w:rPr>
                <w:rFonts w:ascii="Meiryo UI" w:hAnsi="Meiryo UI"/>
                <w:sz w:val="18"/>
              </w:rPr>
              <w:t>月次プロジェクト件数</w:t>
            </w:r>
          </w:p>
        </w:tc>
        <w:tc>
          <w:tcPr>
            <w:tcW w:type="dxa" w:w="2351"/>
          </w:tcPr>
          <w:p>
            <w:r>
              <w:rPr>
                <w:rFonts w:ascii="Meiryo UI" w:hAnsi="Meiryo UI"/>
                <w:sz w:val="18"/>
              </w:rPr>
              <w:t>低（~480件/月推定）</w:t>
            </w:r>
          </w:p>
        </w:tc>
        <w:tc>
          <w:tcPr>
            <w:tcW w:type="dxa" w:w="2351"/>
          </w:tcPr>
          <w:p>
            <w:r>
              <w:rPr>
                <w:rFonts w:ascii="Meiryo UI" w:hAnsi="Meiryo UI"/>
                <w:sz w:val="18"/>
              </w:rPr>
              <w:t>高（~955件/月）</w:t>
            </w:r>
          </w:p>
        </w:tc>
        <w:tc>
          <w:tcPr>
            <w:tcW w:type="dxa" w:w="2351"/>
          </w:tcPr>
          <w:p>
            <w:r>
              <w:rPr>
                <w:rFonts w:ascii="Meiryo UI" w:hAnsi="Meiryo UI"/>
                <w:sz w:val="18"/>
              </w:rPr>
              <w:t>CAMPFIRE優位</w:t>
            </w:r>
          </w:p>
        </w:tc>
      </w:tr>
      <w:tr>
        <w:tc>
          <w:tcPr>
            <w:tcW w:type="dxa" w:w="2351"/>
            <w:shd w:val="clear" w:color="auto" w:fill="DDEBF7"/>
          </w:tcPr>
          <w:p>
            <w:r>
              <w:rPr>
                <w:rFonts w:ascii="Meiryo UI" w:hAnsi="Meiryo UI"/>
                <w:sz w:val="18"/>
              </w:rPr>
              <w:t>プロジェクト成功率</w:t>
            </w:r>
          </w:p>
        </w:tc>
        <w:tc>
          <w:tcPr>
            <w:tcW w:type="dxa" w:w="2351"/>
            <w:shd w:val="clear" w:color="auto" w:fill="DDEBF7"/>
          </w:tcPr>
          <w:p>
            <w:r>
              <w:rPr>
                <w:rFonts w:ascii="Meiryo UI" w:hAnsi="Meiryo UI"/>
                <w:sz w:val="18"/>
              </w:rPr>
              <w:t>86%</w:t>
            </w:r>
          </w:p>
        </w:tc>
        <w:tc>
          <w:tcPr>
            <w:tcW w:type="dxa" w:w="2351"/>
            <w:shd w:val="clear" w:color="auto" w:fill="DDEBF7"/>
          </w:tcPr>
          <w:p>
            <w:r>
              <w:rPr>
                <w:rFonts w:ascii="Meiryo UI" w:hAnsi="Meiryo UI"/>
                <w:sz w:val="18"/>
              </w:rPr>
              <w:t>43%</w:t>
            </w:r>
          </w:p>
        </w:tc>
        <w:tc>
          <w:tcPr>
            <w:tcW w:type="dxa" w:w="2351"/>
            <w:shd w:val="clear" w:color="auto" w:fill="DDEBF7"/>
          </w:tcPr>
          <w:p>
            <w:r>
              <w:rPr>
                <w:rFonts w:ascii="Meiryo UI" w:hAnsi="Meiryo UI"/>
                <w:sz w:val="18"/>
              </w:rPr>
              <w:t>マクアケ2倍</w:t>
            </w:r>
          </w:p>
        </w:tc>
      </w:tr>
      <w:tr>
        <w:tc>
          <w:tcPr>
            <w:tcW w:type="dxa" w:w="2351"/>
          </w:tcPr>
          <w:p>
            <w:r>
              <w:rPr>
                <w:rFonts w:ascii="Meiryo UI" w:hAnsi="Meiryo UI"/>
                <w:sz w:val="18"/>
              </w:rPr>
              <w:t>手数料率</w:t>
            </w:r>
          </w:p>
        </w:tc>
        <w:tc>
          <w:tcPr>
            <w:tcW w:type="dxa" w:w="2351"/>
          </w:tcPr>
          <w:p>
            <w:r>
              <w:rPr>
                <w:rFonts w:ascii="Meiryo UI" w:hAnsi="Meiryo UI"/>
                <w:sz w:val="18"/>
              </w:rPr>
              <w:t>20%（+2.2% supporter）</w:t>
            </w:r>
          </w:p>
        </w:tc>
        <w:tc>
          <w:tcPr>
            <w:tcW w:type="dxa" w:w="2351"/>
          </w:tcPr>
          <w:p>
            <w:r>
              <w:rPr>
                <w:rFonts w:ascii="Meiryo UI" w:hAnsi="Meiryo UI"/>
                <w:sz w:val="18"/>
              </w:rPr>
              <w:t>17%</w:t>
            </w:r>
          </w:p>
        </w:tc>
        <w:tc>
          <w:tcPr>
            <w:tcW w:type="dxa" w:w="2351"/>
          </w:tcPr>
          <w:p>
            <w:r>
              <w:rPr>
                <w:rFonts w:ascii="Meiryo UI" w:hAnsi="Meiryo UI"/>
                <w:sz w:val="18"/>
              </w:rPr>
              <w:t>マクアケが高いのに選ばれる</w:t>
            </w:r>
          </w:p>
        </w:tc>
      </w:tr>
      <w:tr>
        <w:tc>
          <w:tcPr>
            <w:tcW w:type="dxa" w:w="2351"/>
            <w:shd w:val="clear" w:color="auto" w:fill="DDEBF7"/>
          </w:tcPr>
          <w:p>
            <w:r>
              <w:rPr>
                <w:rFonts w:ascii="Meiryo UI" w:hAnsi="Meiryo UI"/>
                <w:sz w:val="18"/>
              </w:rPr>
              <w:t>テイクレート（GMV比）</w:t>
            </w:r>
          </w:p>
        </w:tc>
        <w:tc>
          <w:tcPr>
            <w:tcW w:type="dxa" w:w="2351"/>
            <w:shd w:val="clear" w:color="auto" w:fill="DDEBF7"/>
          </w:tcPr>
          <w:p>
            <w:r>
              <w:rPr>
                <w:rFonts w:ascii="Meiryo UI" w:hAnsi="Meiryo UI"/>
                <w:sz w:val="18"/>
              </w:rPr>
              <w:t>25.7%</w:t>
            </w:r>
          </w:p>
        </w:tc>
        <w:tc>
          <w:tcPr>
            <w:tcW w:type="dxa" w:w="2351"/>
            <w:shd w:val="clear" w:color="auto" w:fill="DDEBF7"/>
          </w:tcPr>
          <w:p>
            <w:r>
              <w:rPr>
                <w:rFonts w:ascii="Meiryo UI" w:hAnsi="Meiryo UI"/>
                <w:sz w:val="18"/>
              </w:rPr>
              <w:t>推定17-18%</w:t>
            </w:r>
          </w:p>
        </w:tc>
        <w:tc>
          <w:tcPr>
            <w:tcW w:type="dxa" w:w="2351"/>
            <w:shd w:val="clear" w:color="auto" w:fill="DDEBF7"/>
          </w:tcPr>
          <w:p>
            <w:r>
              <w:rPr>
                <w:rFonts w:ascii="Meiryo UI" w:hAnsi="Meiryo UI"/>
                <w:sz w:val="18"/>
              </w:rPr>
              <w:t>マクアケが7-8pt高い</w:t>
            </w:r>
          </w:p>
        </w:tc>
      </w:tr>
      <w:tr>
        <w:tc>
          <w:tcPr>
            <w:tcW w:type="dxa" w:w="2351"/>
          </w:tcPr>
          <w:p>
            <w:r>
              <w:rPr>
                <w:rFonts w:ascii="Meiryo UI" w:hAnsi="Meiryo UI"/>
                <w:sz w:val="18"/>
              </w:rPr>
              <w:t>顧客層</w:t>
            </w:r>
          </w:p>
        </w:tc>
        <w:tc>
          <w:tcPr>
            <w:tcW w:type="dxa" w:w="2351"/>
          </w:tcPr>
          <w:p>
            <w:r>
              <w:rPr>
                <w:rFonts w:ascii="Meiryo UI" w:hAnsi="Meiryo UI"/>
                <w:sz w:val="18"/>
              </w:rPr>
              <w:t>ナショナルクライアント・D2Cブランド</w:t>
            </w:r>
          </w:p>
        </w:tc>
        <w:tc>
          <w:tcPr>
            <w:tcW w:type="dxa" w:w="2351"/>
          </w:tcPr>
          <w:p>
            <w:r>
              <w:rPr>
                <w:rFonts w:ascii="Meiryo UI" w:hAnsi="Meiryo UI"/>
                <w:sz w:val="18"/>
              </w:rPr>
              <w:t>個人・クリエイター中心</w:t>
            </w:r>
          </w:p>
        </w:tc>
        <w:tc>
          <w:tcPr>
            <w:tcW w:type="dxa" w:w="2351"/>
          </w:tcPr>
          <w:p>
            <w:r>
              <w:rPr>
                <w:rFonts w:ascii="Meiryo UI" w:hAnsi="Meiryo UI"/>
                <w:sz w:val="18"/>
              </w:rPr>
              <w:t>質的差別化</w:t>
            </w:r>
          </w:p>
        </w:tc>
      </w:tr>
    </w:tbl>
    <w:p/>
    <w:p>
      <w:pPr>
        <w:pStyle w:val="Heading3"/>
      </w:pPr>
      <w:r>
        <w:rPr>
          <w:rFonts w:ascii="Meiryo UI" w:hAnsi="Meiryo UI"/>
          <w:color w:val="2E74B5"/>
        </w:rPr>
        <w:t>「成功率86%」が意味するもの</w:t>
      </w:r>
    </w:p>
    <w:p/>
    <w:p>
      <w:r>
        <w:rPr>
          <w:rFonts w:ascii="Meiryo UI" w:hAnsi="Meiryo UI"/>
          <w:sz w:val="20"/>
        </w:rPr>
        <w:t>CAMPFIREが43%の成功率でも運営できるのは、「失敗しても良い低額プロジェクト」を大量受付する戦略だから。マクアケが86%を維持できるのは：</w:t>
      </w:r>
    </w:p>
    <w:p/>
    <w:p>
      <w:pPr>
        <w:pStyle w:val="ListNumber"/>
      </w:pPr>
      <w:r>
        <w:rPr>
          <w:rFonts w:ascii="Meiryo UI" w:hAnsi="Meiryo UI"/>
          <w:sz w:val="20"/>
        </w:rPr>
        <w:t>審査・キュレーション：2〜3週間の厳格審査。質の悪いプロジェクトをゲートキープ</w:t>
      </w:r>
    </w:p>
    <w:p>
      <w:pPr>
        <w:pStyle w:val="ListNumber"/>
      </w:pPr>
      <w:r>
        <w:rPr>
          <w:rFonts w:ascii="Meiryo UI" w:hAnsi="Meiryo UI"/>
          <w:sz w:val="20"/>
        </w:rPr>
        <w:t>マーケティング支援：プロジェクトページ制作・Makuakeインサイトによる広告配信</w:t>
      </w:r>
    </w:p>
    <w:p>
      <w:pPr>
        <w:pStyle w:val="ListNumber"/>
      </w:pPr>
      <w:r>
        <w:rPr>
          <w:rFonts w:ascii="Meiryo UI" w:hAnsi="Meiryo UI"/>
          <w:sz w:val="20"/>
        </w:rPr>
        <w:t>ネットワーク効果：42,000件超の成功事例データ→成功確率を事前計算可能</w:t>
      </w:r>
    </w:p>
    <w:p/>
    <w:p>
      <w:pPr>
        <w:pStyle w:val="Heading3"/>
      </w:pPr>
      <w:r>
        <w:rPr>
          <w:rFonts w:ascii="Meiryo UI" w:hAnsi="Meiryo UI"/>
          <w:color w:val="2E74B5"/>
        </w:rPr>
        <w:t>ナショナルクライアントの囲込み証拠</w:t>
      </w:r>
    </w:p>
    <w:p/>
    <w:p>
      <w:r>
        <w:rPr>
          <w:rFonts w:ascii="Meiryo UI" w:hAnsi="Meiryo UI"/>
          <w:sz w:val="20"/>
        </w:rPr>
        <w:t>企業がMakuakeを繰り返し使う理由：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用途</w:t>
            </w:r>
          </w:p>
        </w:tc>
        <w:tc>
          <w:tcPr>
            <w:tcW w:type="dxa" w:w="4703"/>
            <w:shd w:val="clear" w:color="auto" w:fill="2E74B5"/>
          </w:tcPr>
          <w:p>
            <w:r>
              <w:rPr>
                <w:rFonts w:ascii="Meiryo UI" w:hAnsi="Meiryo UI"/>
                <w:b/>
                <w:color w:val="FFFFFF"/>
                <w:sz w:val="18"/>
              </w:rPr>
              <w:t>具体的価値</w:t>
            </w:r>
          </w:p>
        </w:tc>
      </w:tr>
      <w:tr>
        <w:tc>
          <w:tcPr>
            <w:tcW w:type="dxa" w:w="4703"/>
          </w:tcPr>
          <w:p>
            <w:r>
              <w:rPr>
                <w:rFonts w:ascii="Meiryo UI" w:hAnsi="Meiryo UI"/>
                <w:sz w:val="18"/>
              </w:rPr>
              <w:t>テストマーケティング</w:t>
            </w:r>
          </w:p>
        </w:tc>
        <w:tc>
          <w:tcPr>
            <w:tcW w:type="dxa" w:w="4703"/>
          </w:tcPr>
          <w:p>
            <w:r>
              <w:rPr>
                <w:rFonts w:ascii="Meiryo UI" w:hAnsi="Meiryo UI"/>
                <w:sz w:val="18"/>
              </w:rPr>
              <w:t>量産前の市場検証。失敗してもブランド毀損が最小</w:t>
            </w:r>
          </w:p>
        </w:tc>
      </w:tr>
      <w:tr>
        <w:tc>
          <w:tcPr>
            <w:tcW w:type="dxa" w:w="4703"/>
            <w:shd w:val="clear" w:color="auto" w:fill="DDEBF7"/>
          </w:tcPr>
          <w:p>
            <w:r>
              <w:rPr>
                <w:rFonts w:ascii="Meiryo UI" w:hAnsi="Meiryo UI"/>
                <w:sz w:val="18"/>
              </w:rPr>
              <w:t>認知獲得</w:t>
            </w:r>
          </w:p>
        </w:tc>
        <w:tc>
          <w:tcPr>
            <w:tcW w:type="dxa" w:w="4703"/>
            <w:shd w:val="clear" w:color="auto" w:fill="DDEBF7"/>
          </w:tcPr>
          <w:p>
            <w:r>
              <w:rPr>
                <w:rFonts w:ascii="Meiryo UI" w:hAnsi="Meiryo UI"/>
                <w:sz w:val="18"/>
              </w:rPr>
              <w:t>ニュースリリース効果＋SNS拡散</w:t>
            </w:r>
          </w:p>
        </w:tc>
      </w:tr>
      <w:tr>
        <w:tc>
          <w:tcPr>
            <w:tcW w:type="dxa" w:w="4703"/>
          </w:tcPr>
          <w:p>
            <w:r>
              <w:rPr>
                <w:rFonts w:ascii="Meiryo UI" w:hAnsi="Meiryo UI"/>
                <w:sz w:val="18"/>
              </w:rPr>
              <w:t>初期ロット確保</w:t>
            </w:r>
          </w:p>
        </w:tc>
        <w:tc>
          <w:tcPr>
            <w:tcW w:type="dxa" w:w="4703"/>
          </w:tcPr>
          <w:p>
            <w:r>
              <w:rPr>
                <w:rFonts w:ascii="Meiryo UI" w:hAnsi="Meiryo UI"/>
                <w:sz w:val="18"/>
              </w:rPr>
              <w:t>資金調達と同時に最初の顧客獲得</w:t>
            </w:r>
          </w:p>
        </w:tc>
      </w:tr>
      <w:tr>
        <w:tc>
          <w:tcPr>
            <w:tcW w:type="dxa" w:w="4703"/>
            <w:shd w:val="clear" w:color="auto" w:fill="DDEBF7"/>
          </w:tcPr>
          <w:p>
            <w:r>
              <w:rPr>
                <w:rFonts w:ascii="Meiryo UI" w:hAnsi="Meiryo UI"/>
                <w:sz w:val="18"/>
              </w:rPr>
              <w:t>データ取得</w:t>
            </w:r>
          </w:p>
        </w:tc>
        <w:tc>
          <w:tcPr>
            <w:tcW w:type="dxa" w:w="4703"/>
            <w:shd w:val="clear" w:color="auto" w:fill="DDEBF7"/>
          </w:tcPr>
          <w:p>
            <w:r>
              <w:rPr>
                <w:rFonts w:ascii="Meiryo UI" w:hAnsi="Meiryo UI"/>
                <w:sz w:val="18"/>
              </w:rPr>
              <w:t>購入者属性・地域・価格感応度の一次データ</w:t>
            </w:r>
          </w:p>
        </w:tc>
      </w:tr>
    </w:tbl>
    <w:p/>
    <w:p>
      <w:r>
        <w:rPr>
          <w:rFonts w:ascii="Meiryo UI" w:hAnsi="Meiryo UI"/>
          <w:sz w:val="20"/>
        </w:rPr>
        <w:t>これらはCAMPFIREでは代替不可。ナショナルクライアントが一度Makuakeを使うと「比較先がない」状態になる。この顧客固着性が¥100M超案件の継続的組成を支え、テイクレートの高さを正当化している。</w:t>
      </w:r>
    </w:p>
    <w:p/>
    <w:p>
      <w:r>
        <w:t>──────────────────────────────────────────────────</w:t>
      </w:r>
    </w:p>
    <w:p/>
    <w:p>
      <w:pPr>
        <w:pStyle w:val="Heading2"/>
      </w:pPr>
      <w:r>
        <w:rPr>
          <w:rFonts w:ascii="Meiryo UI" w:hAnsi="Meiryo UI"/>
          <w:color w:val="2E74B5"/>
        </w:rPr>
        <w:t>【ベアケーストリガーの具体化】</w:t>
      </w:r>
    </w:p>
    <w:p/>
    <w:p>
      <w:pPr>
        <w:pStyle w:val="Heading3"/>
      </w:pPr>
      <w:r>
        <w:rPr>
          <w:rFonts w:ascii="Meiryo UI" w:hAnsi="Meiryo UI"/>
          <w:color w:val="2E74B5"/>
        </w:rPr>
        <w:t>トリガー①：AI・基幹システム投資の想定外膨張</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投資額</w:t>
            </w:r>
          </w:p>
        </w:tc>
        <w:tc>
          <w:tcPr>
            <w:tcW w:type="dxa" w:w="3135"/>
            <w:shd w:val="clear" w:color="auto" w:fill="2E74B5"/>
          </w:tcPr>
          <w:p>
            <w:r>
              <w:rPr>
                <w:rFonts w:ascii="Meiryo UI" w:hAnsi="Meiryo UI"/>
                <w:b/>
                <w:color w:val="FFFFFF"/>
                <w:sz w:val="18"/>
              </w:rPr>
              <w:t>H2 OP インパクト</w:t>
            </w:r>
          </w:p>
        </w:tc>
      </w:tr>
      <w:tr>
        <w:tc>
          <w:tcPr>
            <w:tcW w:type="dxa" w:w="3135"/>
          </w:tcPr>
          <w:p>
            <w:r>
              <w:rPr>
                <w:rFonts w:ascii="Meiryo UI" w:hAnsi="Meiryo UI"/>
                <w:sz w:val="18"/>
              </w:rPr>
              <w:t>軽微（深井ベース）</w:t>
            </w:r>
          </w:p>
        </w:tc>
        <w:tc>
          <w:tcPr>
            <w:tcW w:type="dxa" w:w="3135"/>
          </w:tcPr>
          <w:p>
            <w:r>
              <w:rPr>
                <w:rFonts w:ascii="Meiryo UI" w:hAnsi="Meiryo UI"/>
                <w:sz w:val="18"/>
              </w:rPr>
              <w:t>¥1〜2億/期</w:t>
            </w:r>
          </w:p>
        </w:tc>
        <w:tc>
          <w:tcPr>
            <w:tcW w:type="dxa" w:w="3135"/>
          </w:tcPr>
          <w:p>
            <w:r>
              <w:rPr>
                <w:rFonts w:ascii="Meiryo UI" w:hAnsi="Meiryo UI"/>
                <w:sz w:val="18"/>
              </w:rPr>
              <w:t>OP ¥7億達成可能</w:t>
            </w:r>
          </w:p>
        </w:tc>
      </w:tr>
      <w:tr>
        <w:tc>
          <w:tcPr>
            <w:tcW w:type="dxa" w:w="3135"/>
            <w:shd w:val="clear" w:color="auto" w:fill="DDEBF7"/>
          </w:tcPr>
          <w:p>
            <w:r>
              <w:rPr>
                <w:rFonts w:ascii="Meiryo UI" w:hAnsi="Meiryo UI"/>
                <w:sz w:val="18"/>
              </w:rPr>
              <w:t>中程度（会社ガイダンス織込み）</w:t>
            </w:r>
          </w:p>
        </w:tc>
        <w:tc>
          <w:tcPr>
            <w:tcW w:type="dxa" w:w="3135"/>
            <w:shd w:val="clear" w:color="auto" w:fill="DDEBF7"/>
          </w:tcPr>
          <w:p>
            <w:r>
              <w:rPr>
                <w:rFonts w:ascii="Meiryo UI" w:hAnsi="Meiryo UI"/>
                <w:sz w:val="18"/>
              </w:rPr>
              <w:t>¥3〜5億/期</w:t>
            </w:r>
          </w:p>
        </w:tc>
        <w:tc>
          <w:tcPr>
            <w:tcW w:type="dxa" w:w="3135"/>
            <w:shd w:val="clear" w:color="auto" w:fill="DDEBF7"/>
          </w:tcPr>
          <w:p>
            <w:r>
              <w:rPr>
                <w:rFonts w:ascii="Meiryo UI" w:hAnsi="Meiryo UI"/>
                <w:sz w:val="18"/>
              </w:rPr>
              <w:t>OP ¥4億（ガイダンス通り）</w:t>
            </w:r>
          </w:p>
        </w:tc>
      </w:tr>
      <w:tr>
        <w:tc>
          <w:tcPr>
            <w:tcW w:type="dxa" w:w="3135"/>
          </w:tcPr>
          <w:p>
            <w:r>
              <w:rPr>
                <w:rFonts w:ascii="Meiryo UI" w:hAnsi="Meiryo UI"/>
                <w:sz w:val="18"/>
              </w:rPr>
              <w:t>重大（ベアケース）</w:t>
            </w:r>
          </w:p>
        </w:tc>
        <w:tc>
          <w:tcPr>
            <w:tcW w:type="dxa" w:w="3135"/>
          </w:tcPr>
          <w:p>
            <w:r>
              <w:rPr>
                <w:rFonts w:ascii="Meiryo UI" w:hAnsi="Meiryo UI"/>
                <w:sz w:val="18"/>
              </w:rPr>
              <w:t>¥7億超/期</w:t>
            </w:r>
          </w:p>
        </w:tc>
        <w:tc>
          <w:tcPr>
            <w:tcW w:type="dxa" w:w="3135"/>
          </w:tcPr>
          <w:p>
            <w:r>
              <w:rPr>
                <w:rFonts w:ascii="Meiryo UI" w:hAnsi="Meiryo UI"/>
                <w:sz w:val="18"/>
              </w:rPr>
              <w:t>OP ¥1〜2億（ベアケース）</w:t>
            </w:r>
          </w:p>
        </w:tc>
      </w:tr>
    </w:tbl>
    <w:p/>
    <w:p>
      <w:r>
        <w:rPr>
          <w:rFonts w:ascii="Meiryo UI" w:hAnsi="Meiryo UI"/>
          <w:sz w:val="20"/>
        </w:rPr>
        <w:t>会社が保守的ガイダンスを出す背景として「FY2026を投資の年と位置づけている」発言がある。ただし、具体的投資額は開示されておらず、4/28決算でのQ&amp;Aが最重要確認事項。</w:t>
      </w:r>
    </w:p>
    <w:p/>
    <w:p>
      <w:pPr>
        <w:pStyle w:val="Heading3"/>
      </w:pPr>
      <w:r>
        <w:rPr>
          <w:rFonts w:ascii="Meiryo UI" w:hAnsi="Meiryo UI"/>
          <w:color w:val="2E74B5"/>
        </w:rPr>
        <w:t>トリガー②：GMV成長率の急失速（FY2026 2Q以降）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Q2 GMV成長率</w:t>
            </w:r>
          </w:p>
        </w:tc>
        <w:tc>
          <w:tcPr>
            <w:tcW w:type="dxa" w:w="3135"/>
            <w:shd w:val="clear" w:color="auto" w:fill="2E74B5"/>
          </w:tcPr>
          <w:p>
            <w:r>
              <w:rPr>
                <w:rFonts w:ascii="Meiryo UI" w:hAnsi="Meiryo UI"/>
                <w:b/>
                <w:color w:val="FFFFFF"/>
                <w:sz w:val="18"/>
              </w:rPr>
              <w:t>含意</w:t>
            </w:r>
          </w:p>
        </w:tc>
      </w:tr>
      <w:tr>
        <w:tc>
          <w:tcPr>
            <w:tcW w:type="dxa" w:w="3135"/>
          </w:tcPr>
          <w:p>
            <w:r>
              <w:rPr>
                <w:rFonts w:ascii="Meiryo UI" w:hAnsi="Meiryo UI"/>
                <w:sz w:val="18"/>
              </w:rPr>
              <w:t>ブル</w:t>
            </w:r>
          </w:p>
        </w:tc>
        <w:tc>
          <w:tcPr>
            <w:tcW w:type="dxa" w:w="3135"/>
          </w:tcPr>
          <w:p>
            <w:r>
              <w:rPr>
                <w:rFonts w:ascii="Meiryo UI" w:hAnsi="Meiryo UI"/>
                <w:sz w:val="18"/>
              </w:rPr>
              <w:t>+30%超</w:t>
            </w:r>
          </w:p>
        </w:tc>
        <w:tc>
          <w:tcPr>
            <w:tcW w:type="dxa" w:w="3135"/>
          </w:tcPr>
          <w:p>
            <w:r>
              <w:rPr>
                <w:rFonts w:ascii="Meiryo UI" w:hAnsi="Meiryo UI"/>
                <w:sz w:val="18"/>
              </w:rPr>
              <w:t>1Q は季節性×構造の複合勝利。持続的</w:t>
            </w:r>
          </w:p>
        </w:tc>
      </w:tr>
      <w:tr>
        <w:tc>
          <w:tcPr>
            <w:tcW w:type="dxa" w:w="3135"/>
            <w:shd w:val="clear" w:color="auto" w:fill="DDEBF7"/>
          </w:tcPr>
          <w:p>
            <w:r>
              <w:rPr>
                <w:rFonts w:ascii="Meiryo UI" w:hAnsi="Meiryo UI"/>
                <w:sz w:val="18"/>
              </w:rPr>
              <w:t>ベース</w:t>
            </w:r>
          </w:p>
        </w:tc>
        <w:tc>
          <w:tcPr>
            <w:tcW w:type="dxa" w:w="3135"/>
            <w:shd w:val="clear" w:color="auto" w:fill="DDEBF7"/>
          </w:tcPr>
          <w:p>
            <w:r>
              <w:rPr>
                <w:rFonts w:ascii="Meiryo UI" w:hAnsi="Meiryo UI"/>
                <w:sz w:val="18"/>
              </w:rPr>
              <w:t>+15〜30%</w:t>
            </w:r>
          </w:p>
        </w:tc>
        <w:tc>
          <w:tcPr>
            <w:tcW w:type="dxa" w:w="3135"/>
            <w:shd w:val="clear" w:color="auto" w:fill="DDEBF7"/>
          </w:tcPr>
          <w:p>
            <w:r>
              <w:rPr>
                <w:rFonts w:ascii="Meiryo UI" w:hAnsi="Meiryo UI"/>
                <w:sz w:val="18"/>
              </w:rPr>
              <w:t>高単価戦略定着。一部季節性剥落</w:t>
            </w:r>
          </w:p>
        </w:tc>
      </w:tr>
      <w:tr>
        <w:tc>
          <w:tcPr>
            <w:tcW w:type="dxa" w:w="3135"/>
          </w:tcPr>
          <w:p>
            <w:r>
              <w:rPr>
                <w:rFonts w:ascii="Meiryo UI" w:hAnsi="Meiryo UI"/>
                <w:sz w:val="18"/>
              </w:rPr>
              <w:t>ベア</w:t>
            </w:r>
          </w:p>
        </w:tc>
        <w:tc>
          <w:tcPr>
            <w:tcW w:type="dxa" w:w="3135"/>
          </w:tcPr>
          <w:p>
            <w:r>
              <w:rPr>
                <w:rFonts w:ascii="Meiryo UI" w:hAnsi="Meiryo UI"/>
                <w:sz w:val="18"/>
              </w:rPr>
              <w:t>+5%未満</w:t>
            </w:r>
          </w:p>
        </w:tc>
        <w:tc>
          <w:tcPr>
            <w:tcW w:type="dxa" w:w="3135"/>
          </w:tcPr>
          <w:p>
            <w:r>
              <w:rPr>
                <w:rFonts w:ascii="Meiryo UI" w:hAnsi="Meiryo UI"/>
                <w:sz w:val="18"/>
              </w:rPr>
              <w:t>年末特需のみ。構造的実力は依然低水準</w:t>
            </w:r>
          </w:p>
        </w:tc>
      </w:tr>
    </w:tbl>
    <w:p/>
    <w:p>
      <w:pPr>
        <w:pStyle w:val="Heading3"/>
      </w:pPr>
      <w:r>
        <w:rPr>
          <w:rFonts w:ascii="Meiryo UI" w:hAnsi="Meiryo UI"/>
          <w:color w:val="2E74B5"/>
        </w:rPr>
        <w:t>ベアケース到達株価の再定量</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OP</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株価</w:t>
            </w:r>
          </w:p>
        </w:tc>
      </w:tr>
      <w:tr>
        <w:tc>
          <w:tcPr>
            <w:tcW w:type="dxa" w:w="1568"/>
          </w:tcPr>
          <w:p>
            <w:r>
              <w:rPr>
                <w:rFonts w:ascii="Meiryo UI" w:hAnsi="Meiryo UI"/>
                <w:sz w:val="18"/>
              </w:rPr>
              <w:t>ブル</w:t>
            </w:r>
          </w:p>
        </w:tc>
        <w:tc>
          <w:tcPr>
            <w:tcW w:type="dxa" w:w="1568"/>
          </w:tcPr>
          <w:p>
            <w:r>
              <w:rPr>
                <w:rFonts w:ascii="Meiryo UI" w:hAnsi="Meiryo UI"/>
                <w:sz w:val="18"/>
              </w:rPr>
              <w:t>40%</w:t>
            </w:r>
          </w:p>
        </w:tc>
        <w:tc>
          <w:tcPr>
            <w:tcW w:type="dxa" w:w="1568"/>
          </w:tcPr>
          <w:p>
            <w:r>
              <w:rPr>
                <w:rFonts w:ascii="Meiryo UI" w:hAnsi="Meiryo UI"/>
                <w:sz w:val="18"/>
              </w:rPr>
              <w:t>¥9〜10億</w:t>
            </w:r>
          </w:p>
        </w:tc>
        <w:tc>
          <w:tcPr>
            <w:tcW w:type="dxa" w:w="1568"/>
          </w:tcPr>
          <w:p>
            <w:r>
              <w:rPr>
                <w:rFonts w:ascii="Meiryo UI" w:hAnsi="Meiryo UI"/>
                <w:sz w:val="18"/>
              </w:rPr>
              <w:t>¥43〜48</w:t>
            </w:r>
          </w:p>
        </w:tc>
        <w:tc>
          <w:tcPr>
            <w:tcW w:type="dxa" w:w="1568"/>
          </w:tcPr>
          <w:p>
            <w:r>
              <w:rPr>
                <w:rFonts w:ascii="Meiryo UI" w:hAnsi="Meiryo UI"/>
                <w:sz w:val="18"/>
              </w:rPr>
              <w:t>35x</w:t>
            </w:r>
          </w:p>
        </w:tc>
        <w:tc>
          <w:tcPr>
            <w:tcW w:type="dxa" w:w="1568"/>
          </w:tcPr>
          <w:p>
            <w:r>
              <w:rPr>
                <w:rFonts w:ascii="Meiryo UI" w:hAnsi="Meiryo UI"/>
                <w:sz w:val="18"/>
              </w:rPr>
              <w:t>¥1,505〜¥1,680</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¥6〜8億</w:t>
            </w:r>
          </w:p>
        </w:tc>
        <w:tc>
          <w:tcPr>
            <w:tcW w:type="dxa" w:w="1568"/>
            <w:shd w:val="clear" w:color="auto" w:fill="DDEBF7"/>
          </w:tcPr>
          <w:p>
            <w:r>
              <w:rPr>
                <w:rFonts w:ascii="Meiryo UI" w:hAnsi="Meiryo UI"/>
                <w:sz w:val="18"/>
              </w:rPr>
              <w:t>¥28〜38</w:t>
            </w:r>
          </w:p>
        </w:tc>
        <w:tc>
          <w:tcPr>
            <w:tcW w:type="dxa" w:w="1568"/>
            <w:shd w:val="clear" w:color="auto" w:fill="DDEBF7"/>
          </w:tcPr>
          <w:p>
            <w:r>
              <w:rPr>
                <w:rFonts w:ascii="Meiryo UI" w:hAnsi="Meiryo UI"/>
                <w:sz w:val="18"/>
              </w:rPr>
              <w:t>30x</w:t>
            </w:r>
          </w:p>
        </w:tc>
        <w:tc>
          <w:tcPr>
            <w:tcW w:type="dxa" w:w="1568"/>
            <w:shd w:val="clear" w:color="auto" w:fill="DDEBF7"/>
          </w:tcPr>
          <w:p>
            <w:r>
              <w:rPr>
                <w:rFonts w:ascii="Meiryo UI" w:hAnsi="Meiryo UI"/>
                <w:sz w:val="18"/>
              </w:rPr>
              <w:t>¥840〜¥1,140</w:t>
            </w:r>
          </w:p>
        </w:tc>
      </w:tr>
      <w:tr>
        <w:tc>
          <w:tcPr>
            <w:tcW w:type="dxa" w:w="1568"/>
          </w:tcPr>
          <w:p>
            <w:r>
              <w:rPr>
                <w:rFonts w:ascii="Meiryo UI" w:hAnsi="Meiryo UI"/>
                <w:sz w:val="18"/>
              </w:rPr>
              <w:t>ベア</w:t>
            </w:r>
          </w:p>
        </w:tc>
        <w:tc>
          <w:tcPr>
            <w:tcW w:type="dxa" w:w="1568"/>
          </w:tcPr>
          <w:p>
            <w:r>
              <w:rPr>
                <w:rFonts w:ascii="Meiryo UI" w:hAnsi="Meiryo UI"/>
                <w:sz w:val="18"/>
              </w:rPr>
              <w:t>15%</w:t>
            </w:r>
          </w:p>
        </w:tc>
        <w:tc>
          <w:tcPr>
            <w:tcW w:type="dxa" w:w="1568"/>
          </w:tcPr>
          <w:p>
            <w:r>
              <w:rPr>
                <w:rFonts w:ascii="Meiryo UI" w:hAnsi="Meiryo UI"/>
                <w:sz w:val="18"/>
              </w:rPr>
              <w:t>¥1〜3億</w:t>
            </w:r>
          </w:p>
        </w:tc>
        <w:tc>
          <w:tcPr>
            <w:tcW w:type="dxa" w:w="1568"/>
          </w:tcPr>
          <w:p>
            <w:r>
              <w:rPr>
                <w:rFonts w:ascii="Meiryo UI" w:hAnsi="Meiryo UI"/>
                <w:sz w:val="18"/>
              </w:rPr>
              <w:t>¥5〜14</w:t>
            </w:r>
          </w:p>
        </w:tc>
        <w:tc>
          <w:tcPr>
            <w:tcW w:type="dxa" w:w="1568"/>
          </w:tcPr>
          <w:p>
            <w:r>
              <w:rPr>
                <w:rFonts w:ascii="Meiryo UI" w:hAnsi="Meiryo UI"/>
                <w:sz w:val="18"/>
              </w:rPr>
              <w:t>25x</w:t>
            </w:r>
          </w:p>
        </w:tc>
        <w:tc>
          <w:tcPr>
            <w:tcW w:type="dxa" w:w="1568"/>
          </w:tcPr>
          <w:p>
            <w:r>
              <w:rPr>
                <w:rFonts w:ascii="Meiryo UI" w:hAnsi="Meiryo UI"/>
                <w:sz w:val="18"/>
              </w:rPr>
              <w:t>¥125〜¥350</w:t>
            </w:r>
          </w:p>
        </w:tc>
      </w:tr>
    </w:tbl>
    <w:p/>
    <w:p>
      <w:r>
        <w:rPr>
          <w:rFonts w:ascii="Meiryo UI" w:hAnsi="Meiryo UI"/>
          <w:sz w:val="20"/>
        </w:rPr>
        <w:t>ベアケース発動条件：</w:t>
      </w:r>
    </w:p>
    <w:p>
      <w:pPr>
        <w:pStyle w:val="ListNumber"/>
      </w:pPr>
      <w:r>
        <w:rPr>
          <w:rFonts w:ascii="Meiryo UI" w:hAnsi="Meiryo UI"/>
          <w:sz w:val="20"/>
        </w:rPr>
        <w:t>4/28決算でQ2 GMV前年比+5%未満</w:t>
      </w:r>
    </w:p>
    <w:p>
      <w:pPr>
        <w:pStyle w:val="ListNumber"/>
      </w:pPr>
      <w:r>
        <w:rPr>
          <w:rFonts w:ascii="Meiryo UI" w:hAnsi="Meiryo UI"/>
          <w:sz w:val="20"/>
        </w:rPr>
        <w:t>かつIT投資費用が四半期¥3億超を開示</w:t>
      </w:r>
    </w:p>
    <w:p>
      <w:pPr>
        <w:pStyle w:val="ListNumber"/>
      </w:pPr>
      <w:r>
        <w:rPr>
          <w:rFonts w:ascii="Meiryo UI" w:hAnsi="Meiryo UI"/>
          <w:sz w:val="20"/>
        </w:rPr>
        <w:t>かつ通期ガイダンスを下方修正</w:t>
      </w:r>
    </w:p>
    <w:p/>
    <w:p>
      <w:r>
        <w:rPr>
          <w:rFonts w:ascii="Meiryo UI" w:hAnsi="Meiryo UI"/>
          <w:sz w:val="20"/>
        </w:rPr>
        <w:t>この3条件が同時成立する確率は15%と判断。SL設定：¥900（現値▲13%）</w:t>
      </w:r>
    </w:p>
    <w:p/>
    <w:p>
      <w:r>
        <w:t>──────────────────────────────────────────────────</w:t>
      </w:r>
    </w:p>
    <w:p/>
    <w:p>
      <w:pPr>
        <w:pStyle w:val="Heading2"/>
      </w:pPr>
      <w:r>
        <w:rPr>
          <w:rFonts w:ascii="Meiryo UI" w:hAnsi="Meiryo UI"/>
          <w:color w:val="2E74B5"/>
        </w:rPr>
        <w:t>【最新決算と業績推移（REVISED）】</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GMV</w:t>
            </w:r>
          </w:p>
        </w:tc>
      </w:tr>
      <w:tr>
        <w:tc>
          <w:tcPr>
            <w:tcW w:type="dxa" w:w="1881"/>
          </w:tcPr>
          <w:p>
            <w:r>
              <w:rPr>
                <w:rFonts w:ascii="Meiryo UI" w:hAnsi="Meiryo UI"/>
                <w:sz w:val="18"/>
              </w:rPr>
              <w:t>FY2023</w:t>
            </w:r>
          </w:p>
        </w:tc>
        <w:tc>
          <w:tcPr>
            <w:tcW w:type="dxa" w:w="1881"/>
          </w:tcPr>
          <w:p>
            <w:r>
              <w:rPr>
                <w:rFonts w:ascii="Meiryo UI" w:hAnsi="Meiryo UI"/>
                <w:sz w:val="18"/>
              </w:rPr>
              <w:t>¥32億</w:t>
            </w:r>
          </w:p>
        </w:tc>
        <w:tc>
          <w:tcPr>
            <w:tcW w:type="dxa" w:w="1881"/>
          </w:tcPr>
          <w:p>
            <w:r>
              <w:rPr>
                <w:rFonts w:ascii="Meiryo UI" w:hAnsi="Meiryo UI"/>
                <w:sz w:val="18"/>
              </w:rPr>
              <w:t>▲¥4.9億</w:t>
            </w:r>
          </w:p>
        </w:tc>
        <w:tc>
          <w:tcPr>
            <w:tcW w:type="dxa" w:w="1881"/>
          </w:tcPr>
          <w:p>
            <w:r>
              <w:rPr>
                <w:rFonts w:ascii="Meiryo UI" w:hAnsi="Meiryo UI"/>
                <w:sz w:val="18"/>
              </w:rPr>
              <w:t>—</w:t>
            </w:r>
          </w:p>
        </w:tc>
        <w:tc>
          <w:tcPr>
            <w:tcW w:type="dxa" w:w="1881"/>
          </w:tcPr>
          <w:p>
            <w:r>
              <w:rPr>
                <w:rFonts w:ascii="Meiryo UI" w:hAnsi="Meiryo UI"/>
                <w:sz w:val="18"/>
              </w:rPr>
              <w:t>~¥185億</w:t>
            </w:r>
          </w:p>
        </w:tc>
      </w:tr>
      <w:tr>
        <w:tc>
          <w:tcPr>
            <w:tcW w:type="dxa" w:w="1881"/>
            <w:shd w:val="clear" w:color="auto" w:fill="DDEBF7"/>
          </w:tcPr>
          <w:p>
            <w:r>
              <w:rPr>
                <w:rFonts w:ascii="Meiryo UI" w:hAnsi="Meiryo UI"/>
                <w:sz w:val="18"/>
              </w:rPr>
              <w:t>FY2024</w:t>
            </w:r>
          </w:p>
        </w:tc>
        <w:tc>
          <w:tcPr>
            <w:tcW w:type="dxa" w:w="1881"/>
            <w:shd w:val="clear" w:color="auto" w:fill="DDEBF7"/>
          </w:tcPr>
          <w:p>
            <w:r>
              <w:rPr>
                <w:rFonts w:ascii="Meiryo UI" w:hAnsi="Meiryo UI"/>
                <w:sz w:val="18"/>
              </w:rPr>
              <w:t>¥36.5億</w:t>
            </w:r>
          </w:p>
        </w:tc>
        <w:tc>
          <w:tcPr>
            <w:tcW w:type="dxa" w:w="1881"/>
            <w:shd w:val="clear" w:color="auto" w:fill="DDEBF7"/>
          </w:tcPr>
          <w:p>
            <w:r>
              <w:rPr>
                <w:rFonts w:ascii="Meiryo UI" w:hAnsi="Meiryo UI"/>
                <w:sz w:val="18"/>
              </w:rPr>
              <w:t>▲¥0.6億</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~¥166億</w:t>
            </w:r>
          </w:p>
        </w:tc>
      </w:tr>
      <w:tr>
        <w:tc>
          <w:tcPr>
            <w:tcW w:type="dxa" w:w="1881"/>
          </w:tcPr>
          <w:p>
            <w:r>
              <w:rPr>
                <w:rFonts w:ascii="Meiryo UI" w:hAnsi="Meiryo UI"/>
                <w:sz w:val="18"/>
              </w:rPr>
              <w:t>FY2025</w:t>
            </w:r>
          </w:p>
        </w:tc>
        <w:tc>
          <w:tcPr>
            <w:tcW w:type="dxa" w:w="1881"/>
          </w:tcPr>
          <w:p>
            <w:r>
              <w:rPr>
                <w:rFonts w:ascii="Meiryo UI" w:hAnsi="Meiryo UI"/>
                <w:sz w:val="18"/>
              </w:rPr>
              <w:t>¥45.8億</w:t>
            </w:r>
          </w:p>
        </w:tc>
        <w:tc>
          <w:tcPr>
            <w:tcW w:type="dxa" w:w="1881"/>
          </w:tcPr>
          <w:p>
            <w:r>
              <w:rPr>
                <w:rFonts w:ascii="Meiryo UI" w:hAnsi="Meiryo UI"/>
                <w:sz w:val="18"/>
              </w:rPr>
              <w:t>+¥4.5億</w:t>
            </w:r>
          </w:p>
        </w:tc>
        <w:tc>
          <w:tcPr>
            <w:tcW w:type="dxa" w:w="1881"/>
          </w:tcPr>
          <w:p>
            <w:r>
              <w:rPr>
                <w:rFonts w:ascii="Meiryo UI" w:hAnsi="Meiryo UI"/>
                <w:sz w:val="18"/>
              </w:rPr>
              <w:t>9.8%</w:t>
            </w:r>
          </w:p>
        </w:tc>
        <w:tc>
          <w:tcPr>
            <w:tcW w:type="dxa" w:w="1881"/>
          </w:tcPr>
          <w:p>
            <w:r>
              <w:rPr>
                <w:rFonts w:ascii="Meiryo UI" w:hAnsi="Meiryo UI"/>
                <w:sz w:val="18"/>
              </w:rPr>
              <w:t>¥165.9億</w:t>
            </w:r>
          </w:p>
        </w:tc>
      </w:tr>
      <w:tr>
        <w:tc>
          <w:tcPr>
            <w:tcW w:type="dxa" w:w="1881"/>
            <w:shd w:val="clear" w:color="auto" w:fill="DDEBF7"/>
          </w:tcPr>
          <w:p>
            <w:r>
              <w:rPr>
                <w:rFonts w:ascii="Meiryo UI" w:hAnsi="Meiryo UI"/>
                <w:sz w:val="18"/>
              </w:rPr>
              <w:t>FY2026 1Q実績</w:t>
            </w:r>
          </w:p>
        </w:tc>
        <w:tc>
          <w:tcPr>
            <w:tcW w:type="dxa" w:w="1881"/>
            <w:shd w:val="clear" w:color="auto" w:fill="DDEBF7"/>
          </w:tcPr>
          <w:p>
            <w:r>
              <w:rPr>
                <w:rFonts w:ascii="Meiryo UI" w:hAnsi="Meiryo UI"/>
                <w:sz w:val="18"/>
              </w:rPr>
              <w:t>¥14.63億</w:t>
            </w:r>
          </w:p>
        </w:tc>
        <w:tc>
          <w:tcPr>
            <w:tcW w:type="dxa" w:w="1881"/>
            <w:shd w:val="clear" w:color="auto" w:fill="DDEBF7"/>
          </w:tcPr>
          <w:p>
            <w:r>
              <w:rPr>
                <w:rFonts w:ascii="Meiryo UI" w:hAnsi="Meiryo UI"/>
                <w:sz w:val="18"/>
              </w:rPr>
              <w:t>+¥3.34億</w:t>
            </w:r>
          </w:p>
        </w:tc>
        <w:tc>
          <w:tcPr>
            <w:tcW w:type="dxa" w:w="1881"/>
            <w:shd w:val="clear" w:color="auto" w:fill="DDEBF7"/>
          </w:tcPr>
          <w:p>
            <w:r>
              <w:rPr>
                <w:rFonts w:ascii="Meiryo UI" w:hAnsi="Meiryo UI"/>
                <w:sz w:val="18"/>
              </w:rPr>
              <w:t>22.8%</w:t>
            </w:r>
          </w:p>
        </w:tc>
        <w:tc>
          <w:tcPr>
            <w:tcW w:type="dxa" w:w="1881"/>
            <w:shd w:val="clear" w:color="auto" w:fill="DDEBF7"/>
          </w:tcPr>
          <w:p>
            <w:r>
              <w:rPr>
                <w:rFonts w:ascii="Meiryo UI" w:hAnsi="Meiryo UI"/>
                <w:sz w:val="18"/>
              </w:rPr>
              <w:t>¥56.9億</w:t>
            </w:r>
          </w:p>
        </w:tc>
      </w:tr>
      <w:tr>
        <w:tc>
          <w:tcPr>
            <w:tcW w:type="dxa" w:w="1881"/>
          </w:tcPr>
          <w:p>
            <w:r>
              <w:rPr>
                <w:rFonts w:ascii="Meiryo UI" w:hAnsi="Meiryo UI"/>
                <w:sz w:val="18"/>
              </w:rPr>
              <w:t>FY2026E（会社予想）</w:t>
            </w:r>
          </w:p>
        </w:tc>
        <w:tc>
          <w:tcPr>
            <w:tcW w:type="dxa" w:w="1881"/>
          </w:tcPr>
          <w:p>
            <w:r>
              <w:rPr>
                <w:rFonts w:ascii="Meiryo UI" w:hAnsi="Meiryo UI"/>
                <w:sz w:val="18"/>
              </w:rPr>
              <w:t>¥47.6億</w:t>
            </w:r>
          </w:p>
        </w:tc>
        <w:tc>
          <w:tcPr>
            <w:tcW w:type="dxa" w:w="1881"/>
          </w:tcPr>
          <w:p>
            <w:r>
              <w:rPr>
                <w:rFonts w:ascii="Meiryo UI" w:hAnsi="Meiryo UI"/>
                <w:sz w:val="18"/>
              </w:rPr>
              <w:t>¥4.0億</w:t>
            </w:r>
          </w:p>
        </w:tc>
        <w:tc>
          <w:tcPr>
            <w:tcW w:type="dxa" w:w="1881"/>
          </w:tcPr>
          <w:p>
            <w:r>
              <w:rPr>
                <w:rFonts w:ascii="Meiryo UI" w:hAnsi="Meiryo UI"/>
                <w:sz w:val="18"/>
              </w:rPr>
              <w:t>8.4%</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FY2026E（深井予想）</w:t>
            </w:r>
          </w:p>
        </w:tc>
        <w:tc>
          <w:tcPr>
            <w:tcW w:type="dxa" w:w="1881"/>
            <w:shd w:val="clear" w:color="auto" w:fill="DDEBF7"/>
          </w:tcPr>
          <w:p>
            <w:r>
              <w:rPr>
                <w:rFonts w:ascii="Meiryo UI" w:hAnsi="Meiryo UI"/>
                <w:sz w:val="18"/>
              </w:rPr>
              <w:t>¥52〜57億</w:t>
            </w:r>
          </w:p>
        </w:tc>
        <w:tc>
          <w:tcPr>
            <w:tcW w:type="dxa" w:w="1881"/>
            <w:shd w:val="clear" w:color="auto" w:fill="DDEBF7"/>
          </w:tcPr>
          <w:p>
            <w:r>
              <w:rPr>
                <w:rFonts w:ascii="Meiryo UI" w:hAnsi="Meiryo UI"/>
                <w:sz w:val="18"/>
              </w:rPr>
              <w:t>¥7〜10億</w:t>
            </w:r>
          </w:p>
        </w:tc>
        <w:tc>
          <w:tcPr>
            <w:tcW w:type="dxa" w:w="1881"/>
            <w:shd w:val="clear" w:color="auto" w:fill="DDEBF7"/>
          </w:tcPr>
          <w:p>
            <w:r>
              <w:rPr>
                <w:rFonts w:ascii="Meiryo UI" w:hAnsi="Meiryo UI"/>
                <w:sz w:val="18"/>
              </w:rPr>
              <w:t>14〜18%</w:t>
            </w:r>
          </w:p>
        </w:tc>
        <w:tc>
          <w:tcPr>
            <w:tcW w:type="dxa" w:w="1881"/>
            <w:shd w:val="clear" w:color="auto" w:fill="DDEBF7"/>
          </w:tcPr>
          <w:p>
            <w:r>
              <w:rPr>
                <w:rFonts w:ascii="Meiryo UI" w:hAnsi="Meiryo UI"/>
                <w:sz w:val="18"/>
              </w:rPr>
              <w:t>¥200〜220億</w:t>
            </w:r>
          </w:p>
        </w:tc>
      </w:tr>
    </w:tbl>
    <w:p/>
    <w:p>
      <w:r>
        <w:t>──────────────────────────────────────────────────</w:t>
      </w:r>
    </w:p>
    <w:p/>
    <w:p>
      <w:pPr>
        <w:pStyle w:val="Heading2"/>
      </w:pPr>
      <w:r>
        <w:rPr>
          <w:rFonts w:ascii="Meiryo UI" w:hAnsi="Meiryo UI"/>
          <w:color w:val="2E74B5"/>
        </w:rPr>
        <w:t>【FV算出（REVISED）】</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PER法（深井ベースEPS¥35×PER35x）</w:t>
            </w:r>
          </w:p>
        </w:tc>
        <w:tc>
          <w:tcPr>
            <w:tcW w:type="dxa" w:w="2351"/>
          </w:tcPr>
          <w:p>
            <w:r>
              <w:rPr>
                <w:rFonts w:ascii="Meiryo UI" w:hAnsi="Meiryo UI"/>
                <w:sz w:val="18"/>
              </w:rPr>
              <w:t>¥1,225</w:t>
            </w:r>
          </w:p>
        </w:tc>
        <w:tc>
          <w:tcPr>
            <w:tcW w:type="dxa" w:w="2351"/>
          </w:tcPr>
          <w:p>
            <w:r>
              <w:rPr>
                <w:rFonts w:ascii="Meiryo UI" w:hAnsi="Meiryo UI"/>
                <w:sz w:val="18"/>
              </w:rPr>
              <w:t>35%</w:t>
            </w:r>
          </w:p>
        </w:tc>
        <w:tc>
          <w:tcPr>
            <w:tcW w:type="dxa" w:w="2351"/>
          </w:tcPr>
          <w:p>
            <w:r>
              <w:rPr>
                <w:rFonts w:ascii="Meiryo UI" w:hAnsi="Meiryo UI"/>
                <w:sz w:val="18"/>
              </w:rPr>
              <w:t>黒字転換後グロース小型・競合他社PER25〜40x中央値</w:t>
            </w:r>
          </w:p>
        </w:tc>
      </w:tr>
      <w:tr>
        <w:tc>
          <w:tcPr>
            <w:tcW w:type="dxa" w:w="2351"/>
            <w:shd w:val="clear" w:color="auto" w:fill="DDEBF7"/>
          </w:tcPr>
          <w:p>
            <w:r>
              <w:rPr>
                <w:rFonts w:ascii="Meiryo UI" w:hAnsi="Meiryo UI"/>
                <w:sz w:val="18"/>
              </w:rPr>
              <w:t>PER法（深井ブルEPS¥45×PER35x）</w:t>
            </w:r>
          </w:p>
        </w:tc>
        <w:tc>
          <w:tcPr>
            <w:tcW w:type="dxa" w:w="2351"/>
            <w:shd w:val="clear" w:color="auto" w:fill="DDEBF7"/>
          </w:tcPr>
          <w:p>
            <w:r>
              <w:rPr>
                <w:rFonts w:ascii="Meiryo UI" w:hAnsi="Meiryo UI"/>
                <w:sz w:val="18"/>
              </w:rPr>
              <w:t>¥1,575</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上方修正確率80%×ブルEPS適用</w:t>
            </w:r>
          </w:p>
        </w:tc>
      </w:tr>
      <w:tr>
        <w:tc>
          <w:tcPr>
            <w:tcW w:type="dxa" w:w="2351"/>
          </w:tcPr>
          <w:p>
            <w:r>
              <w:rPr>
                <w:rFonts w:ascii="Meiryo UI" w:hAnsi="Meiryo UI"/>
                <w:sz w:val="18"/>
              </w:rPr>
              <w:t>EV/GMV法（0.8x×FY26E GMV¥210億）</w:t>
            </w:r>
          </w:p>
        </w:tc>
        <w:tc>
          <w:tcPr>
            <w:tcW w:type="dxa" w:w="2351"/>
          </w:tcPr>
          <w:p>
            <w:r>
              <w:rPr>
                <w:rFonts w:ascii="Meiryo UI" w:hAnsi="Meiryo UI"/>
                <w:sz w:val="18"/>
              </w:rPr>
              <w:t>¥1,244</w:t>
            </w:r>
          </w:p>
        </w:tc>
        <w:tc>
          <w:tcPr>
            <w:tcW w:type="dxa" w:w="2351"/>
          </w:tcPr>
          <w:p>
            <w:r>
              <w:rPr>
                <w:rFonts w:ascii="Meiryo UI" w:hAnsi="Meiryo UI"/>
                <w:sz w:val="18"/>
              </w:rPr>
              <w:t>25%</w:t>
            </w:r>
          </w:p>
        </w:tc>
        <w:tc>
          <w:tcPr>
            <w:tcW w:type="dxa" w:w="2351"/>
          </w:tcPr>
          <w:p>
            <w:r>
              <w:rPr>
                <w:rFonts w:ascii="Meiryo UI" w:hAnsi="Meiryo UI"/>
                <w:sz w:val="18"/>
              </w:rPr>
              <w:t>購入型CF先行事例0.8〜1.5x保守値</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¥1,450〜¥1,575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Rf=2.380%（財務省CSV）ERP5.0% β0.90</w:t>
            </w:r>
          </w:p>
        </w:tc>
      </w:tr>
    </w:tbl>
    <w:p/>
    <w:p>
      <w:r>
        <w:t>──────────────────────────────────────────────────</w:t>
      </w:r>
    </w:p>
    <w:p/>
    <w:p>
      <w:pPr>
        <w:pStyle w:val="Heading2"/>
      </w:pPr>
      <w:r>
        <w:rPr>
          <w:rFonts w:ascii="Meiryo UI" w:hAnsi="Meiryo UI"/>
          <w:color w:val="2E74B5"/>
        </w:rPr>
        <w:t>【不動産含み益】</w:t>
      </w:r>
    </w:p>
    <w:p/>
    <w:p>
      <w:r>
        <w:rPr>
          <w:rFonts w:ascii="Meiryo UI" w:hAnsi="Meiryo UI"/>
          <w:sz w:val="20"/>
        </w:rPr>
        <w:t>該当なし。 プラットフォーム事業会社。主要資産はキャッシュ・売掛金・ソフトウェア資産。NAVアプローチ不適用。</w:t>
      </w:r>
    </w:p>
    <w:p/>
    <w:p>
      <w:r>
        <w:t>──────────────────────────────────────────────────</w:t>
      </w:r>
    </w:p>
    <w:p/>
    <w:p>
      <w:pPr>
        <w:pStyle w:val="Heading2"/>
      </w:pPr>
      <w:r>
        <w:rPr>
          <w:rFonts w:ascii="Meiryo UI" w:hAnsi="Meiryo UI"/>
          <w:color w:val="2E74B5"/>
        </w:rPr>
        <w:t>【リスクシナリオ定量（REVISED）】</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到達株価</w:t>
            </w:r>
          </w:p>
        </w:tc>
        <w:tc>
          <w:tcPr>
            <w:tcW w:type="dxa" w:w="2351"/>
            <w:shd w:val="clear" w:color="auto" w:fill="2E74B5"/>
          </w:tcPr>
          <w:p>
            <w:r>
              <w:rPr>
                <w:rFonts w:ascii="Meiryo UI" w:hAnsi="Meiryo UI"/>
                <w:b/>
                <w:color w:val="FFFFFF"/>
                <w:sz w:val="18"/>
              </w:rPr>
              <w:t>トリガー</w:t>
            </w:r>
          </w:p>
        </w:tc>
      </w:tr>
      <w:tr>
        <w:tc>
          <w:tcPr>
            <w:tcW w:type="dxa" w:w="2351"/>
          </w:tcPr>
          <w:p>
            <w:r>
              <w:rPr>
                <w:rFonts w:ascii="Meiryo UI" w:hAnsi="Meiryo UI"/>
                <w:sz w:val="18"/>
              </w:rPr>
              <w:t>ブル</w:t>
            </w:r>
          </w:p>
        </w:tc>
        <w:tc>
          <w:tcPr>
            <w:tcW w:type="dxa" w:w="2351"/>
          </w:tcPr>
          <w:p>
            <w:r>
              <w:rPr>
                <w:rFonts w:ascii="Meiryo UI" w:hAnsi="Meiryo UI"/>
                <w:sz w:val="18"/>
              </w:rPr>
              <w:t>40%</w:t>
            </w:r>
          </w:p>
        </w:tc>
        <w:tc>
          <w:tcPr>
            <w:tcW w:type="dxa" w:w="2351"/>
          </w:tcPr>
          <w:p>
            <w:r>
              <w:rPr>
                <w:rFonts w:ascii="Meiryo UI" w:hAnsi="Meiryo UI"/>
                <w:sz w:val="18"/>
              </w:rPr>
              <w:t>¥1,505〜¥1,680</w:t>
            </w:r>
          </w:p>
        </w:tc>
        <w:tc>
          <w:tcPr>
            <w:tcW w:type="dxa" w:w="2351"/>
          </w:tcPr>
          <w:p>
            <w:r>
              <w:rPr>
                <w:rFonts w:ascii="Meiryo UI" w:hAnsi="Meiryo UI"/>
                <w:sz w:val="18"/>
              </w:rPr>
              <w:t>4/28上方修正＋Q2 GMV+30%超</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¥840〜¥1,140</w:t>
            </w:r>
          </w:p>
        </w:tc>
        <w:tc>
          <w:tcPr>
            <w:tcW w:type="dxa" w:w="2351"/>
            <w:shd w:val="clear" w:color="auto" w:fill="DDEBF7"/>
          </w:tcPr>
          <w:p>
            <w:r>
              <w:rPr>
                <w:rFonts w:ascii="Meiryo UI" w:hAnsi="Meiryo UI"/>
                <w:sz w:val="18"/>
              </w:rPr>
              <w:t>ガイダンス維持＋IT投資費用明確化</w:t>
            </w:r>
          </w:p>
        </w:tc>
      </w:tr>
      <w:tr>
        <w:tc>
          <w:tcPr>
            <w:tcW w:type="dxa" w:w="2351"/>
          </w:tcPr>
          <w:p>
            <w:r>
              <w:rPr>
                <w:rFonts w:ascii="Meiryo UI" w:hAnsi="Meiryo UI"/>
                <w:sz w:val="18"/>
              </w:rPr>
              <w:t>ベア</w:t>
            </w:r>
          </w:p>
        </w:tc>
        <w:tc>
          <w:tcPr>
            <w:tcW w:type="dxa" w:w="2351"/>
          </w:tcPr>
          <w:p>
            <w:r>
              <w:rPr>
                <w:rFonts w:ascii="Meiryo UI" w:hAnsi="Meiryo UI"/>
                <w:sz w:val="18"/>
              </w:rPr>
              <w:t>15%</w:t>
            </w:r>
          </w:p>
        </w:tc>
        <w:tc>
          <w:tcPr>
            <w:tcW w:type="dxa" w:w="2351"/>
          </w:tcPr>
          <w:p>
            <w:r>
              <w:rPr>
                <w:rFonts w:ascii="Meiryo UI" w:hAnsi="Meiryo UI"/>
                <w:sz w:val="18"/>
              </w:rPr>
              <w:t>¥125〜¥350</w:t>
            </w:r>
          </w:p>
        </w:tc>
        <w:tc>
          <w:tcPr>
            <w:tcW w:type="dxa" w:w="2351"/>
          </w:tcPr>
          <w:p>
            <w:r>
              <w:rPr>
                <w:rFonts w:ascii="Meiryo UI" w:hAnsi="Meiryo UI"/>
                <w:sz w:val="18"/>
              </w:rPr>
              <w:t>Q2 GMV急失速＋IT費用¥3億超/期</w:t>
            </w:r>
          </w:p>
        </w:tc>
      </w:tr>
    </w:tbl>
    <w:p/>
    <w:p>
      <w:r>
        <w:rPr>
          <w:rFonts w:ascii="Meiryo UI" w:hAnsi="Meiryo UI"/>
          <w:sz w:val="20"/>
        </w:rPr>
        <w:t>期待値：¥1,505×0.40 + ¥990×0.45 + ¥240×0.15 = ¥1,083（現値比+4.6%）</w:t>
      </w:r>
    </w:p>
    <w:p>
      <w:r>
        <w:rPr>
          <w:rFonts w:ascii="Meiryo UI" w:hAnsi="Meiryo UI"/>
          <w:sz w:val="20"/>
        </w:rPr>
        <w:t>→ 4/28イベント前後でブルへの傾斜が決まる非常にバイナリーな局面。</w:t>
      </w:r>
    </w:p>
    <w:p/>
    <w:p>
      <w:r>
        <w:t>──────────────────────────────────────────────────</w:t>
      </w:r>
    </w:p>
    <w:p/>
    <w:p>
      <w:pPr>
        <w:pStyle w:val="Heading2"/>
      </w:pPr>
      <w:r>
        <w:rPr>
          <w:rFonts w:ascii="Meiryo UI" w:hAnsi="Meiryo UI"/>
          <w:color w:val="2E74B5"/>
        </w:rPr>
        <w:t>【IR質問状（4/28決算に向けた重点質問）】</w:t>
      </w:r>
    </w:p>
    <w:p/>
    <w:p>
      <w:r>
        <w:rPr>
          <w:rFonts w:ascii="Meiryo UI" w:hAnsi="Meiryo UI"/>
          <w:sz w:val="20"/>
        </w:rPr>
        <w:t>宛先： マクアケ株式会社 IR担当（https://www.makuake.co.jp/ir/contact/）</w:t>
      </w:r>
    </w:p>
    <w:p>
      <w:r>
        <w:rPr>
          <w:rFonts w:ascii="Meiryo UI" w:hAnsi="Meiryo UI"/>
          <w:sz w:val="20"/>
        </w:rPr>
        <w:t>件名： FY2026 2Q決算に係るご質問（竹村トレードカンパニー）</w:t>
      </w:r>
    </w:p>
    <w:p/>
    <w:p>
      <w:r>
        <w:rPr>
          <w:rFonts w:ascii="Meiryo UI" w:hAnsi="Meiryo UI"/>
          <w:sz w:val="20"/>
        </w:rPr>
        <w:t>竹村トレードカンパニーの竹村と申します。4/28の決算発表を前に以下5点についてご教示ください。</w:t>
      </w:r>
    </w:p>
    <w:p/>
    <w:p>
      <w:r>
        <w:rPr>
          <w:rFonts w:ascii="Meiryo UI" w:hAnsi="Meiryo UI"/>
          <w:sz w:val="20"/>
        </w:rPr>
        <w:t>Q1【IT・AI投資の規模と計上タイミング】</w:t>
      </w:r>
    </w:p>
    <w:p>
      <w:r>
        <w:rPr>
          <w:rFonts w:ascii="Meiryo UI" w:hAnsi="Meiryo UI"/>
          <w:sz w:val="20"/>
        </w:rPr>
        <w:t>FY2026通期で「投資の年」とご案内いただいています。AI・基幹システム刷新の総投資額（費用計上ベース）と、四半期ごとの計上スケジュールをご開示ください。Q2-Q4でどの程度の利益圧縮を想定されているかが投資判断の最重要情報です。</w:t>
      </w:r>
    </w:p>
    <w:p/>
    <w:p>
      <w:r>
        <w:rPr>
          <w:rFonts w:ascii="Meiryo UI" w:hAnsi="Meiryo UI"/>
          <w:sz w:val="20"/>
        </w:rPr>
        <w:t>Q2【安心システム利用料の収益分解】</w:t>
      </w:r>
    </w:p>
    <w:p>
      <w:r>
        <w:rPr>
          <w:rFonts w:ascii="Meiryo UI" w:hAnsi="Meiryo UI"/>
          <w:sz w:val="20"/>
        </w:rPr>
        <w:t>FY2026 1Qにおける安心システム利用料（2.2%）の収入総額と、プラットフォーム手数料（20%）・Makuakeインサイトそれぞれの売上高をご開示いただけますか。</w:t>
      </w:r>
    </w:p>
    <w:p/>
    <w:p>
      <w:r>
        <w:rPr>
          <w:rFonts w:ascii="Meiryo UI" w:hAnsi="Meiryo UI"/>
          <w:sz w:val="20"/>
        </w:rPr>
        <w:t>Q3【高単価プロジェクト（¥1億超）の組成動向】</w:t>
      </w:r>
    </w:p>
    <w:p>
      <w:r>
        <w:rPr>
          <w:rFonts w:ascii="Meiryo UI" w:hAnsi="Meiryo UI"/>
          <w:sz w:val="20"/>
        </w:rPr>
        <w:t>1Qに¥1億超案件が何件組成されたか、また前年同期比でどの程度増加しているか、概数でご教示ください。今後のGMV成長の持続性を判断する上で重要です。</w:t>
      </w:r>
    </w:p>
    <w:p/>
    <w:p>
      <w:r>
        <w:rPr>
          <w:rFonts w:ascii="Meiryo UI" w:hAnsi="Meiryo UI"/>
          <w:sz w:val="20"/>
        </w:rPr>
        <w:t>Q4【ナショナルクライアントのリピート利用率】</w:t>
      </w:r>
    </w:p>
    <w:p>
      <w:r>
        <w:rPr>
          <w:rFonts w:ascii="Meiryo UI" w:hAnsi="Meiryo UI"/>
          <w:sz w:val="20"/>
        </w:rPr>
        <w:t>企業によるテストマーケティング・R&amp;D用途での利用において、同一企業の年間複数回利用（リピート率）の直近トレンドをご共有ください。</w:t>
      </w:r>
    </w:p>
    <w:p/>
    <w:p>
      <w:r>
        <w:rPr>
          <w:rFonts w:ascii="Meiryo UI" w:hAnsi="Meiryo UI"/>
          <w:sz w:val="20"/>
        </w:rPr>
        <w:t>Q5【新中期経営計画の開示時期】</w:t>
      </w:r>
    </w:p>
    <w:p>
      <w:r>
        <w:rPr>
          <w:rFonts w:ascii="Meiryo UI" w:hAnsi="Meiryo UI"/>
          <w:sz w:val="20"/>
        </w:rPr>
        <w:t>旧中計（GMV¥300億目標）の達成率は55%にとどまりました。新たな中期目標の策定・開示時期と、GMV以外のKPI（例：テイクレート・OPM目標）についてご方針をお聞かせください。</w:t>
      </w:r>
    </w:p>
    <w:p/>
    <w:p>
      <w:r>
        <w:rPr>
          <w:rFonts w:ascii="Meiryo UI" w:hAnsi="Meiryo UI"/>
          <w:sz w:val="20"/>
        </w:rPr>
        <w:t>竹村トレードカンパニー　竹村</w:t>
      </w:r>
    </w:p>
    <w:p/>
    <w:p>
      <w:r>
        <w:t>──────────────────────────────────────────────────</w:t>
      </w:r>
    </w:p>
    <w:p/>
    <w:p>
      <w:pPr>
        <w:pStyle w:val="Heading2"/>
      </w:pPr>
      <w:r>
        <w:rPr>
          <w:rFonts w:ascii="Meiryo UI" w:hAnsi="Meiryo UI"/>
          <w:color w:val="2E74B5"/>
        </w:rPr>
        <w:t>【投資判断変更の根拠まとめ】</w:t>
      </w:r>
    </w:p>
    <w:p/>
    <w:p>
      <w:r>
        <w:rPr>
          <w:rFonts w:ascii="Meiryo UI" w:hAnsi="Meiryo UI"/>
          <w:sz w:val="20"/>
        </w:rPr>
        <w:t>条件付きBUY → 確信的BUY（4/28前エントリー推奨）への格上げ理由：</w:t>
      </w:r>
    </w:p>
    <w:p/>
    <w:p>
      <w:pPr>
        <w:pStyle w:val="ListNumber"/>
      </w:pPr>
      <w:r>
        <w:rPr>
          <w:rFonts w:ascii="Meiryo UI" w:hAnsi="Meiryo UI"/>
          <w:sz w:val="20"/>
        </w:rPr>
        <w:t>数学的確信：会社ガイダンスがQ2-Q4 OP ¥66M（前年同期比▲81%）を示唆しているが、これは極めて非現実的。上方修正は規定路線。</w:t>
      </w:r>
    </w:p>
    <w:p>
      <w:pPr>
        <w:pStyle w:val="ListNumber"/>
      </w:pPr>
      <w:r>
        <w:rPr>
          <w:rFonts w:ascii="Meiryo UI" w:hAnsi="Meiryo UI"/>
          <w:sz w:val="20"/>
        </w:rPr>
        <w:t>構造的優位の確認：成功率86%・テイクレート25.7%・安心利用料フル寄与という3つの「新たな収益の柱」が定量確認された。</w:t>
      </w:r>
    </w:p>
    <w:p>
      <w:pPr>
        <w:pStyle w:val="ListNumber"/>
      </w:pPr>
      <w:r>
        <w:rPr>
          <w:rFonts w:ascii="Meiryo UI" w:hAnsi="Meiryo UI"/>
          <w:sz w:val="20"/>
        </w:rPr>
        <w:t>競合からの隔絶：CAMPFIREとの競争は「件数 vs 経済価値」で次元が異なる。件数競争に参加しない意思決定が正しいと確認。</w:t>
      </w:r>
    </w:p>
    <w:p>
      <w:pPr>
        <w:pStyle w:val="ListNumber"/>
      </w:pPr>
      <w:r>
        <w:rPr>
          <w:rFonts w:ascii="Meiryo UI" w:hAnsi="Meiryo UI"/>
          <w:sz w:val="20"/>
        </w:rPr>
        <w:t>ベアケース限定性：ベアケース成立には3条件の同時発生が必要（確率15%）。SL¥900は現値から▲13%の限定的リスク。</w:t>
      </w:r>
    </w:p>
    <w:p/>
    <w:p>
      <w:r>
        <w:t>──────────────────────────────────────────────────</w:t>
      </w:r>
    </w:p>
    <w:p/>
    <w:p>
      <w:r>
        <w:rPr>
          <w:rFonts w:ascii="Meiryo UI" w:hAnsi="Meiryo UI"/>
          <w:sz w:val="20"/>
        </w:rPr>
        <w:t>Sources: マクアケIR公式、決算短信（FY25・FY26 1Q）、TipRanks（1Q決算分析）、craco市場調査2025/11、安心システム利用料導入プレスリリース（2024/8）、クラウドファンディング手数料比較（2025年最新）、PLAUD NOTE・cado事例、manamina利用者層分析</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