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[4543] テルモ</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[4543] テルモ</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テルモ（4543.T）DeepResearch レポート</w:t>
      </w:r>
    </w:p>
    <w:p>
      <w:pPr>
        <w:pStyle w:val="Heading3"/>
      </w:pPr>
      <w:r>
        <w:rPr>
          <w:rFonts w:ascii="Meiryo UI" w:hAnsi="Meiryo UI"/>
          <w:color w:val="2E74B5"/>
        </w:rPr>
        <w:t>竹村トレードカンパニー｜アナリスト：深井</w:t>
      </w:r>
    </w:p>
    <w:p>
      <w:pPr>
        <w:pStyle w:val="Heading3"/>
      </w:pPr>
      <w:r>
        <w:rPr>
          <w:rFonts w:ascii="Meiryo UI" w:hAnsi="Meiryo UI"/>
          <w:color w:val="2E74B5"/>
        </w:rPr>
        <w:t>分析日：2026年4月7日｜現在株価：¥2,186｜優先度：社長指示案件（2026/04/06）</w:t>
      </w:r>
    </w:p>
    <w:p/>
    <w:p>
      <w:r>
        <w:t>──────────────────────────────────────────────────</w:t>
      </w:r>
    </w:p>
    <w:p/>
    <w:p>
      <w:r>
        <w:rPr>
          <w:rFonts w:ascii="Meiryo UI" w:hAnsi="Meiryo UI"/>
          <w:sz w:val="20"/>
        </w:rPr>
        <w:t>&gt; ⚠️ データ注記</w:t>
      </w:r>
    </w:p>
    <w:p>
      <w:r>
        <w:rPr>
          <w:rFonts w:ascii="Meiryo UI" w:hAnsi="Meiryo UI"/>
          <w:sz w:val="20"/>
        </w:rPr>
        <w:t>&gt; 現在株価・財務指標（PBR 2.12倍 / BPS ¥1,032 / ROE 8.7% / PER 24.7倍 / EPS ¥89）は2026-04-07 05:04 JSTリアルタイム取得値を唯一の正解として使用。学習データ・独自推計による上書きは一切行っていない。財務詳細（売上・利益絶対値等）は公開IR資料・業界情報ベースの合理的推計を使用。</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w:t>
      </w:r>
    </w:p>
    <w:p>
      <w:pPr>
        <w:pStyle w:val="ListNumber"/>
      </w:pPr>
      <w:r>
        <w:rPr>
          <w:rFonts w:ascii="Meiryo UI" w:hAnsi="Meiryo UI"/>
          <w:sz w:val="20"/>
        </w:rPr>
        <w:t>【社長指示最優先】長期低迷×リバウンド検証</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会社概要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テルモ株式会社</w:t>
            </w:r>
          </w:p>
        </w:tc>
      </w:tr>
      <w:tr>
        <w:tc>
          <w:tcPr>
            <w:tcW w:type="dxa" w:w="4703"/>
            <w:shd w:val="clear" w:color="auto" w:fill="DDEBF7"/>
          </w:tcPr>
          <w:p>
            <w:r>
              <w:rPr>
                <w:rFonts w:ascii="Meiryo UI" w:hAnsi="Meiryo UI"/>
                <w:sz w:val="18"/>
              </w:rPr>
              <w:t>ティッカー</w:t>
            </w:r>
          </w:p>
        </w:tc>
        <w:tc>
          <w:tcPr>
            <w:tcW w:type="dxa" w:w="4703"/>
            <w:shd w:val="clear" w:color="auto" w:fill="DDEBF7"/>
          </w:tcPr>
          <w:p>
            <w:r>
              <w:rPr>
                <w:rFonts w:ascii="Meiryo UI" w:hAnsi="Meiryo UI"/>
                <w:sz w:val="18"/>
              </w:rPr>
              <w:t>4543.T（東証プライム）</w:t>
            </w:r>
          </w:p>
        </w:tc>
      </w:tr>
      <w:tr>
        <w:tc>
          <w:tcPr>
            <w:tcW w:type="dxa" w:w="4703"/>
          </w:tcPr>
          <w:p>
            <w:r>
              <w:rPr>
                <w:rFonts w:ascii="Meiryo UI" w:hAnsi="Meiryo UI"/>
                <w:sz w:val="18"/>
              </w:rPr>
              <w:t>設立</w:t>
            </w:r>
          </w:p>
        </w:tc>
        <w:tc>
          <w:tcPr>
            <w:tcW w:type="dxa" w:w="4703"/>
          </w:tcPr>
          <w:p>
            <w:r>
              <w:rPr>
                <w:rFonts w:ascii="Meiryo UI" w:hAnsi="Meiryo UI"/>
                <w:sz w:val="18"/>
              </w:rPr>
              <w:t>1921年（体温計メーカーとして創業）</w:t>
            </w:r>
          </w:p>
        </w:tc>
      </w:tr>
      <w:tr>
        <w:tc>
          <w:tcPr>
            <w:tcW w:type="dxa" w:w="4703"/>
            <w:shd w:val="clear" w:color="auto" w:fill="DDEBF7"/>
          </w:tcPr>
          <w:p>
            <w:r>
              <w:rPr>
                <w:rFonts w:ascii="Meiryo UI" w:hAnsi="Meiryo UI"/>
                <w:sz w:val="18"/>
              </w:rPr>
              <w:t>本社</w:t>
            </w:r>
          </w:p>
        </w:tc>
        <w:tc>
          <w:tcPr>
            <w:tcW w:type="dxa" w:w="4703"/>
            <w:shd w:val="clear" w:color="auto" w:fill="DDEBF7"/>
          </w:tcPr>
          <w:p>
            <w:r>
              <w:rPr>
                <w:rFonts w:ascii="Meiryo UI" w:hAnsi="Meiryo UI"/>
                <w:sz w:val="18"/>
              </w:rPr>
              <w:t>東京都渋谷区</w:t>
            </w:r>
          </w:p>
        </w:tc>
      </w:tr>
      <w:tr>
        <w:tc>
          <w:tcPr>
            <w:tcW w:type="dxa" w:w="4703"/>
          </w:tcPr>
          <w:p>
            <w:r>
              <w:rPr>
                <w:rFonts w:ascii="Meiryo UI" w:hAnsi="Meiryo UI"/>
                <w:sz w:val="18"/>
              </w:rPr>
              <w:t>時価総額（概算）</w:t>
            </w:r>
          </w:p>
        </w:tc>
        <w:tc>
          <w:tcPr>
            <w:tcW w:type="dxa" w:w="4703"/>
          </w:tcPr>
          <w:p>
            <w:r>
              <w:rPr>
                <w:rFonts w:ascii="Meiryo UI" w:hAnsi="Meiryo UI"/>
                <w:sz w:val="18"/>
              </w:rPr>
              <w:t>¥2,186 × 約7.04億株 ≒ 約1兆5,389億円</w:t>
            </w:r>
          </w:p>
        </w:tc>
      </w:tr>
      <w:tr>
        <w:tc>
          <w:tcPr>
            <w:tcW w:type="dxa" w:w="4703"/>
            <w:shd w:val="clear" w:color="auto" w:fill="DDEBF7"/>
          </w:tcPr>
          <w:p>
            <w:r>
              <w:rPr>
                <w:rFonts w:ascii="Meiryo UI" w:hAnsi="Meiryo UI"/>
                <w:sz w:val="18"/>
              </w:rPr>
              <w:t>従業員数</w:t>
            </w:r>
          </w:p>
        </w:tc>
        <w:tc>
          <w:tcPr>
            <w:tcW w:type="dxa" w:w="4703"/>
            <w:shd w:val="clear" w:color="auto" w:fill="DDEBF7"/>
          </w:tcPr>
          <w:p>
            <w:r>
              <w:rPr>
                <w:rFonts w:ascii="Meiryo UI" w:hAnsi="Meiryo UI"/>
                <w:sz w:val="18"/>
              </w:rPr>
              <w:t>約33,000名（グローバル）</w:t>
            </w:r>
          </w:p>
        </w:tc>
      </w:tr>
      <w:tr>
        <w:tc>
          <w:tcPr>
            <w:tcW w:type="dxa" w:w="4703"/>
          </w:tcPr>
          <w:p>
            <w:r>
              <w:rPr>
                <w:rFonts w:ascii="Meiryo UI" w:hAnsi="Meiryo UI"/>
                <w:sz w:val="18"/>
              </w:rPr>
              <w:t>海外売上比率</w:t>
            </w:r>
          </w:p>
        </w:tc>
        <w:tc>
          <w:tcPr>
            <w:tcW w:type="dxa" w:w="4703"/>
          </w:tcPr>
          <w:p>
            <w:r>
              <w:rPr>
                <w:rFonts w:ascii="Meiryo UI" w:hAnsi="Meiryo UI"/>
                <w:sz w:val="18"/>
              </w:rPr>
              <w:t>約83%（USD/EUR/アジア分散）</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3月期</w:t>
            </w:r>
          </w:p>
        </w:tc>
      </w:tr>
    </w:tbl>
    <w:p/>
    <w:p>
      <w:pPr>
        <w:pStyle w:val="Heading3"/>
      </w:pPr>
      <w:r>
        <w:rPr>
          <w:rFonts w:ascii="Meiryo UI" w:hAnsi="Meiryo UI"/>
          <w:color w:val="2E74B5"/>
        </w:rPr>
        <w:t>1-2. セグメント別事業構成</w:t>
      </w:r>
    </w:p>
    <w:p/>
    <w:p>
      <w:r>
        <w:rPr>
          <w:rFonts w:ascii="Meiryo UI" w:hAnsi="Meiryo UI"/>
          <w:sz w:val="20"/>
        </w:rPr>
        <w:t>テルモの事業は3セグメントに大別される。社長指示で重点言及された2セグメントを中心に解説する。</w:t>
      </w:r>
    </w:p>
    <w:p/>
    <w:p>
      <w:pPr>
        <w:shd w:val="clear" w:color="auto" w:fill="F2F2F2"/>
      </w:pPr>
      <w:r>
        <w:rPr>
          <w:rFonts w:ascii="Courier New" w:hAnsi="Courier New"/>
          <w:sz w:val="16"/>
        </w:rPr>
        <w:t>売上構成比（FY2025推定）</w:t>
        <w:br/>
        <w:t>────────────────────────────────────</w:t>
        <w:br/>
        <w:t>心臓血管カンパニー（CV）  ：約38%  ← 社長指示重点①</w:t>
        <w:br/>
        <w:t>血液システムカンパニー（BS）：約28%  ← 社長指示重点②</w:t>
        <w:br/>
        <w:t>ホスピタルカンパニー（HC）：約34%</w:t>
        <w:br/>
        <w:t>────────────────────────────────────</w:t>
      </w:r>
    </w:p>
    <w:p/>
    <w:p>
      <w:pPr>
        <w:pStyle w:val="Heading4"/>
      </w:pPr>
      <w:r>
        <w:rPr>
          <w:rFonts w:ascii="Meiryo UI" w:hAnsi="Meiryo UI"/>
          <w:color w:val="2E74B5"/>
        </w:rPr>
        <w:t>① 心臓血管カンパニー（Cardiac and Vascular Company：CV）</w:t>
      </w:r>
    </w:p>
    <w:p>
      <w:pPr>
        <w:pStyle w:val="ListBullet"/>
      </w:pPr>
      <w:r>
        <w:rPr>
          <w:rFonts w:ascii="Meiryo UI" w:hAnsi="Meiryo UI"/>
          <w:sz w:val="20"/>
        </w:rPr>
        <w:t>主力製品：PTCA用カテーテル「Runthrough」、TRI（橈骨動脈アクセス）製品群、心臓外科用人工心肺「Capiox」シリーズ、ステントグラフト「Treo」</w:t>
      </w:r>
    </w:p>
    <w:p>
      <w:pPr>
        <w:pStyle w:val="ListBullet"/>
      </w:pPr>
      <w:r>
        <w:rPr>
          <w:rFonts w:ascii="Meiryo UI" w:hAnsi="Meiryo UI"/>
          <w:sz w:val="20"/>
        </w:rPr>
        <w:t>グローバルポジション：インターベンション（PCI）領域でアジア・欧州でシェアトップクラス。TRIアクセス製品は世界No.1の認知度</w:t>
      </w:r>
    </w:p>
    <w:p>
      <w:pPr>
        <w:pStyle w:val="ListBullet"/>
      </w:pPr>
      <w:r>
        <w:rPr>
          <w:rFonts w:ascii="Meiryo UI" w:hAnsi="Meiryo UI"/>
          <w:sz w:val="20"/>
        </w:rPr>
        <w:t>成長ドライバー：TAVR（経カテーテル大動脈弁置換術）への参入（MicroPort提携含む）、ニューロバスキュラー（脳血管）拡大</w:t>
      </w:r>
    </w:p>
    <w:p>
      <w:pPr>
        <w:pStyle w:val="ListBullet"/>
      </w:pPr>
      <w:r>
        <w:rPr>
          <w:rFonts w:ascii="Meiryo UI" w:hAnsi="Meiryo UI"/>
          <w:sz w:val="20"/>
        </w:rPr>
        <w:t>課題：日本国内の薬価・保険償還見直し圧力、北米での競合（エドワーズ、メドトロニック）との価格競争</w:t>
      </w:r>
    </w:p>
    <w:p/>
    <w:p>
      <w:pPr>
        <w:pStyle w:val="Heading4"/>
      </w:pPr>
      <w:r>
        <w:rPr>
          <w:rFonts w:ascii="Meiryo UI" w:hAnsi="Meiryo UI"/>
          <w:color w:val="2E74B5"/>
        </w:rPr>
        <w:t>② 血液システムカンパニー（Blood and Cell Technologies：BCT）</w:t>
      </w:r>
    </w:p>
    <w:p>
      <w:pPr>
        <w:pStyle w:val="ListBullet"/>
      </w:pPr>
      <w:r>
        <w:rPr>
          <w:rFonts w:ascii="Meiryo UI" w:hAnsi="Meiryo UI"/>
          <w:sz w:val="20"/>
        </w:rPr>
        <w:t>主力製品：アフェレーシスシステム「Trima」「Spectra Optia」、血小板採血システム</w:t>
      </w:r>
    </w:p>
    <w:p>
      <w:pPr>
        <w:pStyle w:val="ListBullet"/>
      </w:pPr>
      <w:r>
        <w:rPr>
          <w:rFonts w:ascii="Meiryo UI" w:hAnsi="Meiryo UI"/>
          <w:sz w:val="20"/>
        </w:rPr>
        <w:t>グローバルポジション：輸血・血液成分採取機器で世界首位級。血小板製剤の供給インフラとして欧米病院に深く組み込まれている（スイッチングコスト高）</w:t>
      </w:r>
    </w:p>
    <w:p>
      <w:pPr>
        <w:pStyle w:val="ListBullet"/>
      </w:pPr>
      <w:r>
        <w:rPr>
          <w:rFonts w:ascii="Meiryo UI" w:hAnsi="Meiryo UI"/>
          <w:sz w:val="20"/>
        </w:rPr>
        <w:t>成長ドライバー：細胞療法（CAR-T等）向け細胞培養・処理システムへの拡張。再生医療バリューチェーン取り込み</w:t>
      </w:r>
    </w:p>
    <w:p>
      <w:pPr>
        <w:pStyle w:val="ListBullet"/>
      </w:pPr>
      <w:r>
        <w:rPr>
          <w:rFonts w:ascii="Meiryo UI" w:hAnsi="Meiryo UI"/>
          <w:sz w:val="20"/>
        </w:rPr>
        <w:t>課題：試薬・消耗品の原材料高騰、競合（Haemonetics、フレゼニウス）の追い上げ</w:t>
      </w:r>
    </w:p>
    <w:p/>
    <w:p>
      <w:pPr>
        <w:pStyle w:val="Heading4"/>
      </w:pPr>
      <w:r>
        <w:rPr>
          <w:rFonts w:ascii="Meiryo UI" w:hAnsi="Meiryo UI"/>
          <w:color w:val="2E74B5"/>
        </w:rPr>
        <w:t>③ ホスピタルカンパニー（Hospital）</w:t>
      </w:r>
    </w:p>
    <w:p>
      <w:pPr>
        <w:pStyle w:val="ListBullet"/>
      </w:pPr>
      <w:r>
        <w:rPr>
          <w:rFonts w:ascii="Meiryo UI" w:hAnsi="Meiryo UI"/>
          <w:sz w:val="20"/>
        </w:rPr>
        <w:t>主力製品：シリンジ、輸液セット、留置針、輸液ポンプ「TE-171シリーズ」</w:t>
      </w:r>
    </w:p>
    <w:p>
      <w:pPr>
        <w:pStyle w:val="ListBullet"/>
      </w:pPr>
      <w:r>
        <w:rPr>
          <w:rFonts w:ascii="Meiryo UI" w:hAnsi="Meiryo UI"/>
          <w:sz w:val="20"/>
        </w:rPr>
        <w:t>特徴：安定収益基盤。利益率は低いが顧客離反率が極めて低い</w:t>
      </w:r>
    </w:p>
    <w:p>
      <w:pPr>
        <w:pStyle w:val="ListBullet"/>
      </w:pPr>
      <w:r>
        <w:rPr>
          <w:rFonts w:ascii="Meiryo UI" w:hAnsi="Meiryo UI"/>
          <w:sz w:val="20"/>
        </w:rPr>
        <w:t>課題：汎用品競争による単価下落、中国メーカーとの低価格競争</w:t>
      </w:r>
    </w:p>
    <w:p/>
    <w:p>
      <w:pPr>
        <w:pStyle w:val="Heading3"/>
      </w:pPr>
      <w:r>
        <w:rPr>
          <w:rFonts w:ascii="Meiryo UI" w:hAnsi="Meiryo UI"/>
          <w:color w:val="2E74B5"/>
        </w:rPr>
        <w:t>1-3. 競合優位性（モート分析）</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優位性</w:t>
            </w:r>
          </w:p>
        </w:tc>
        <w:tc>
          <w:tcPr>
            <w:tcW w:type="dxa" w:w="3135"/>
            <w:shd w:val="clear" w:color="auto" w:fill="2E74B5"/>
          </w:tcPr>
          <w:p>
            <w:r>
              <w:rPr>
                <w:rFonts w:ascii="Meiryo UI" w:hAnsi="Meiryo UI"/>
                <w:b/>
                <w:color w:val="FFFFFF"/>
                <w:sz w:val="18"/>
              </w:rPr>
              <w:t>評価</w:t>
            </w:r>
          </w:p>
        </w:tc>
        <w:tc>
          <w:tcPr>
            <w:tcW w:type="dxa" w:w="3135"/>
            <w:shd w:val="clear" w:color="auto" w:fill="2E74B5"/>
          </w:tcPr>
          <w:p>
            <w:r>
              <w:rPr>
                <w:rFonts w:ascii="Meiryo UI" w:hAnsi="Meiryo UI"/>
                <w:b/>
                <w:color w:val="FFFFFF"/>
                <w:sz w:val="18"/>
              </w:rPr>
              <w:t>詳細</w:t>
            </w:r>
          </w:p>
        </w:tc>
      </w:tr>
      <w:tr>
        <w:tc>
          <w:tcPr>
            <w:tcW w:type="dxa" w:w="3135"/>
          </w:tcPr>
          <w:p>
            <w:r>
              <w:rPr>
                <w:rFonts w:ascii="Meiryo UI" w:hAnsi="Meiryo UI"/>
                <w:sz w:val="18"/>
              </w:rPr>
              <w:t>ブランド・信頼性</w:t>
            </w:r>
          </w:p>
        </w:tc>
        <w:tc>
          <w:tcPr>
            <w:tcW w:type="dxa" w:w="3135"/>
          </w:tcPr>
          <w:p>
            <w:r>
              <w:rPr>
                <w:rFonts w:ascii="Meiryo UI" w:hAnsi="Meiryo UI"/>
                <w:sz w:val="18"/>
              </w:rPr>
              <w:t>★★★★★</w:t>
            </w:r>
          </w:p>
        </w:tc>
        <w:tc>
          <w:tcPr>
            <w:tcW w:type="dxa" w:w="3135"/>
          </w:tcPr>
          <w:p>
            <w:r>
              <w:rPr>
                <w:rFonts w:ascii="Meiryo UI" w:hAnsi="Meiryo UI"/>
                <w:sz w:val="18"/>
              </w:rPr>
              <w:t>医療現場での50年以上の実績、品質安全性への信頼</w:t>
            </w:r>
          </w:p>
        </w:tc>
      </w:tr>
      <w:tr>
        <w:tc>
          <w:tcPr>
            <w:tcW w:type="dxa" w:w="3135"/>
            <w:shd w:val="clear" w:color="auto" w:fill="DDEBF7"/>
          </w:tcPr>
          <w:p>
            <w:r>
              <w:rPr>
                <w:rFonts w:ascii="Meiryo UI" w:hAnsi="Meiryo UI"/>
                <w:sz w:val="18"/>
              </w:rPr>
              <w:t>スイッチングコスト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BCTのアフェレーシス機器は院内訓練・認証が必要</w:t>
            </w:r>
          </w:p>
        </w:tc>
      </w:tr>
      <w:tr>
        <w:tc>
          <w:tcPr>
            <w:tcW w:type="dxa" w:w="3135"/>
          </w:tcPr>
          <w:p>
            <w:r>
              <w:rPr>
                <w:rFonts w:ascii="Meiryo UI" w:hAnsi="Meiryo UI"/>
                <w:sz w:val="18"/>
              </w:rPr>
              <w:t>グローバル流通網</w:t>
            </w:r>
          </w:p>
        </w:tc>
        <w:tc>
          <w:tcPr>
            <w:tcW w:type="dxa" w:w="3135"/>
          </w:tcPr>
          <w:p>
            <w:r>
              <w:rPr>
                <w:rFonts w:ascii="Meiryo UI" w:hAnsi="Meiryo UI"/>
                <w:sz w:val="18"/>
              </w:rPr>
              <w:t>★★★★☆</w:t>
            </w:r>
          </w:p>
        </w:tc>
        <w:tc>
          <w:tcPr>
            <w:tcW w:type="dxa" w:w="3135"/>
          </w:tcPr>
          <w:p>
            <w:r>
              <w:rPr>
                <w:rFonts w:ascii="Meiryo UI" w:hAnsi="Meiryo UI"/>
                <w:sz w:val="18"/>
              </w:rPr>
              <w:t>80カ国以上に直接販売体制</w:t>
            </w:r>
          </w:p>
        </w:tc>
      </w:tr>
      <w:tr>
        <w:tc>
          <w:tcPr>
            <w:tcW w:type="dxa" w:w="3135"/>
            <w:shd w:val="clear" w:color="auto" w:fill="DDEBF7"/>
          </w:tcPr>
          <w:p>
            <w:r>
              <w:rPr>
                <w:rFonts w:ascii="Meiryo UI" w:hAnsi="Meiryo UI"/>
                <w:sz w:val="18"/>
              </w:rPr>
              <w:t>R&amp;D特許</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カテーテル・TRI製品で多数の特許保有</w:t>
            </w:r>
          </w:p>
        </w:tc>
      </w:tr>
      <w:tr>
        <w:tc>
          <w:tcPr>
            <w:tcW w:type="dxa" w:w="3135"/>
          </w:tcPr>
          <w:p>
            <w:r>
              <w:rPr>
                <w:rFonts w:ascii="Meiryo UI" w:hAnsi="Meiryo UI"/>
                <w:sz w:val="18"/>
              </w:rPr>
              <w:t>スケールメリット</w:t>
            </w:r>
          </w:p>
        </w:tc>
        <w:tc>
          <w:tcPr>
            <w:tcW w:type="dxa" w:w="3135"/>
          </w:tcPr>
          <w:p>
            <w:r>
              <w:rPr>
                <w:rFonts w:ascii="Meiryo UI" w:hAnsi="Meiryo UI"/>
                <w:sz w:val="18"/>
              </w:rPr>
              <w:t>★★★☆☆</w:t>
            </w:r>
          </w:p>
        </w:tc>
        <w:tc>
          <w:tcPr>
            <w:tcW w:type="dxa" w:w="3135"/>
          </w:tcPr>
          <w:p>
            <w:r>
              <w:rPr>
                <w:rFonts w:ascii="Meiryo UI" w:hAnsi="Meiryo UI"/>
                <w:sz w:val="18"/>
              </w:rPr>
              <w:t>製造はグローバル分散（コスト効率改善余地あり）</w:t>
            </w:r>
          </w:p>
        </w:tc>
      </w:tr>
      <w:tr>
        <w:tc>
          <w:tcPr>
            <w:tcW w:type="dxa" w:w="3135"/>
            <w:shd w:val="clear" w:color="auto" w:fill="DDEBF7"/>
          </w:tcPr>
          <w:p>
            <w:r>
              <w:rPr>
                <w:rFonts w:ascii="Meiryo UI" w:hAnsi="Meiryo UI"/>
                <w:sz w:val="18"/>
              </w:rPr>
              <w:t>価格支配力</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ニッチ高付加価値品は強いが、HC領域は限定的</w:t>
            </w:r>
          </w:p>
        </w:tc>
      </w:tr>
    </w:tbl>
    <w:p/>
    <w:p>
      <w:pPr>
        <w:pStyle w:val="Heading3"/>
      </w:pPr>
      <w:r>
        <w:rPr>
          <w:rFonts w:ascii="Meiryo UI" w:hAnsi="Meiryo UI"/>
          <w:color w:val="2E74B5"/>
        </w:rPr>
        <w:t>1-4. 直近カタリスト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株価インパクト</w:t>
            </w:r>
          </w:p>
        </w:tc>
      </w:tr>
      <w:tr>
        <w:tc>
          <w:tcPr>
            <w:tcW w:type="dxa" w:w="3135"/>
          </w:tcPr>
          <w:p>
            <w:r>
              <w:rPr>
                <w:rFonts w:ascii="Meiryo UI" w:hAnsi="Meiryo UI"/>
                <w:sz w:val="18"/>
              </w:rPr>
              <w:t>FY2025Q4（2026年3月）</w:t>
            </w:r>
          </w:p>
        </w:tc>
        <w:tc>
          <w:tcPr>
            <w:tcW w:type="dxa" w:w="3135"/>
          </w:tcPr>
          <w:p>
            <w:r>
              <w:rPr>
                <w:rFonts w:ascii="Meiryo UI" w:hAnsi="Meiryo UI"/>
                <w:sz w:val="18"/>
              </w:rPr>
              <w:t>通期業績着地と来期ガイダンス</w:t>
            </w:r>
          </w:p>
        </w:tc>
        <w:tc>
          <w:tcPr>
            <w:tcW w:type="dxa" w:w="3135"/>
          </w:tcPr>
          <w:p>
            <w:r>
              <w:rPr>
                <w:rFonts w:ascii="Meiryo UI" w:hAnsi="Meiryo UI"/>
                <w:sz w:val="18"/>
              </w:rPr>
              <w:t>中～大</w:t>
            </w:r>
          </w:p>
        </w:tc>
      </w:tr>
      <w:tr>
        <w:tc>
          <w:tcPr>
            <w:tcW w:type="dxa" w:w="3135"/>
            <w:shd w:val="clear" w:color="auto" w:fill="DDEBF7"/>
          </w:tcPr>
          <w:p>
            <w:r>
              <w:rPr>
                <w:rFonts w:ascii="Meiryo UI" w:hAnsi="Meiryo UI"/>
                <w:sz w:val="18"/>
              </w:rPr>
              <w:t>2026年前半</w:t>
            </w:r>
          </w:p>
        </w:tc>
        <w:tc>
          <w:tcPr>
            <w:tcW w:type="dxa" w:w="3135"/>
            <w:shd w:val="clear" w:color="auto" w:fill="DDEBF7"/>
          </w:tcPr>
          <w:p>
            <w:r>
              <w:rPr>
                <w:rFonts w:ascii="Meiryo UI" w:hAnsi="Meiryo UI"/>
                <w:sz w:val="18"/>
              </w:rPr>
              <w:t>円高進行への感応度確認</w:t>
            </w:r>
          </w:p>
        </w:tc>
        <w:tc>
          <w:tcPr>
            <w:tcW w:type="dxa" w:w="3135"/>
            <w:shd w:val="clear" w:color="auto" w:fill="DDEBF7"/>
          </w:tcPr>
          <w:p>
            <w:r>
              <w:rPr>
                <w:rFonts w:ascii="Meiryo UI" w:hAnsi="Meiryo UI"/>
                <w:sz w:val="18"/>
              </w:rPr>
              <w:t>中（下押し懸念）</w:t>
            </w:r>
          </w:p>
        </w:tc>
      </w:tr>
      <w:tr>
        <w:tc>
          <w:tcPr>
            <w:tcW w:type="dxa" w:w="3135"/>
          </w:tcPr>
          <w:p>
            <w:r>
              <w:rPr>
                <w:rFonts w:ascii="Meiryo UI" w:hAnsi="Meiryo UI"/>
                <w:sz w:val="18"/>
              </w:rPr>
              <w:t>2026年通年</w:t>
            </w:r>
          </w:p>
        </w:tc>
        <w:tc>
          <w:tcPr>
            <w:tcW w:type="dxa" w:w="3135"/>
          </w:tcPr>
          <w:p>
            <w:r>
              <w:rPr>
                <w:rFonts w:ascii="Meiryo UI" w:hAnsi="Meiryo UI"/>
                <w:sz w:val="18"/>
              </w:rPr>
              <w:t>CAR-T向け細胞処理システム受注拡大</w:t>
            </w:r>
          </w:p>
        </w:tc>
        <w:tc>
          <w:tcPr>
            <w:tcW w:type="dxa" w:w="3135"/>
          </w:tcPr>
          <w:p>
            <w:r>
              <w:rPr>
                <w:rFonts w:ascii="Meiryo UI" w:hAnsi="Meiryo UI"/>
                <w:sz w:val="18"/>
              </w:rPr>
              <w:t>中（上押し）</w:t>
            </w:r>
          </w:p>
        </w:tc>
      </w:tr>
      <w:tr>
        <w:tc>
          <w:tcPr>
            <w:tcW w:type="dxa" w:w="3135"/>
            <w:shd w:val="clear" w:color="auto" w:fill="DDEBF7"/>
          </w:tcPr>
          <w:p>
            <w:r>
              <w:rPr>
                <w:rFonts w:ascii="Meiryo UI" w:hAnsi="Meiryo UI"/>
                <w:sz w:val="18"/>
              </w:rPr>
              <w:t>2026年後半</w:t>
            </w:r>
          </w:p>
        </w:tc>
        <w:tc>
          <w:tcPr>
            <w:tcW w:type="dxa" w:w="3135"/>
            <w:shd w:val="clear" w:color="auto" w:fill="DDEBF7"/>
          </w:tcPr>
          <w:p>
            <w:r>
              <w:rPr>
                <w:rFonts w:ascii="Meiryo UI" w:hAnsi="Meiryo UI"/>
                <w:sz w:val="18"/>
              </w:rPr>
              <w:t>国内薬価改定（2年に一度）の影響確認</w:t>
            </w:r>
          </w:p>
        </w:tc>
        <w:tc>
          <w:tcPr>
            <w:tcW w:type="dxa" w:w="3135"/>
            <w:shd w:val="clear" w:color="auto" w:fill="DDEBF7"/>
          </w:tcPr>
          <w:p>
            <w:r>
              <w:rPr>
                <w:rFonts w:ascii="Meiryo UI" w:hAnsi="Meiryo UI"/>
                <w:sz w:val="18"/>
              </w:rPr>
              <w:t>中（下押し懸念）</w:t>
            </w:r>
          </w:p>
        </w:tc>
      </w:tr>
      <w:tr>
        <w:tc>
          <w:tcPr>
            <w:tcW w:type="dxa" w:w="3135"/>
          </w:tcPr>
          <w:p>
            <w:r>
              <w:rPr>
                <w:rFonts w:ascii="Meiryo UI" w:hAnsi="Meiryo UI"/>
                <w:sz w:val="18"/>
              </w:rPr>
              <w:t>継続的</w:t>
            </w:r>
          </w:p>
        </w:tc>
        <w:tc>
          <w:tcPr>
            <w:tcW w:type="dxa" w:w="3135"/>
          </w:tcPr>
          <w:p>
            <w:r>
              <w:rPr>
                <w:rFonts w:ascii="Meiryo UI" w:hAnsi="Meiryo UI"/>
                <w:sz w:val="18"/>
              </w:rPr>
              <w:t>M&amp;A・戦略提携（特にデジタルヘルス）</w:t>
            </w:r>
          </w:p>
        </w:tc>
        <w:tc>
          <w:tcPr>
            <w:tcW w:type="dxa" w:w="3135"/>
          </w:tcPr>
          <w:p>
            <w:r>
              <w:rPr>
                <w:rFonts w:ascii="Meiryo UI" w:hAnsi="Meiryo UI"/>
                <w:sz w:val="18"/>
              </w:rPr>
              <w:t>大</w:t>
            </w:r>
          </w:p>
        </w:tc>
      </w:tr>
    </w:tbl>
    <w:p/>
    <w:p>
      <w:r>
        <w:t>──────────────────────────────────────────────────</w:t>
      </w:r>
    </w:p>
    <w:p/>
    <w:p>
      <w:pPr>
        <w:pStyle w:val="Heading2"/>
      </w:pPr>
      <w:r>
        <w:rPr>
          <w:rFonts w:ascii="Meiryo UI" w:hAnsi="Meiryo UI"/>
          <w:color w:val="2E74B5"/>
        </w:rPr>
        <w:t>2. 【社長指示最優先】長期低迷×リバウンド検証</w:t>
      </w:r>
    </w:p>
    <w:p/>
    <w:p>
      <w:r>
        <w:rPr>
          <w:rFonts w:ascii="Meiryo UI" w:hAnsi="Meiryo UI"/>
          <w:sz w:val="20"/>
        </w:rPr>
        <w:t>&gt; 社長指示要旨：長期低迷からのリバウンドで買えるかどうか。株価低迷の原因分析（コスト増・為替・競合・規制）と構造的vs一時的の切り分け。主要セグメントの回復シナリオと売上成長率試算。円安→円高転換リスクの業績感応度。競合との比較バリュエーション。不動産含み益NAV算出必須。DCF FairValue算出（シナリオ別）。「本物の回復」か「低迷継続の罠」かの最終判定。</w:t>
      </w:r>
    </w:p>
    <w:p/>
    <w:p>
      <w:r>
        <w:t>──────────────────────────────────────────────────</w:t>
      </w:r>
    </w:p>
    <w:p/>
    <w:p>
      <w:pPr>
        <w:pStyle w:val="Heading3"/>
      </w:pPr>
      <w:r>
        <w:rPr>
          <w:rFonts w:ascii="Meiryo UI" w:hAnsi="Meiryo UI"/>
          <w:color w:val="2E74B5"/>
        </w:rPr>
        <w:t>2-1. 株価低迷の原因分析：4要因の構造的 vs 一時的切り分け</w:t>
      </w:r>
    </w:p>
    <w:p/>
    <w:p>
      <w:pPr>
        <w:pStyle w:val="Heading4"/>
      </w:pPr>
      <w:r>
        <w:rPr>
          <w:rFonts w:ascii="Meiryo UI" w:hAnsi="Meiryo UI"/>
          <w:color w:val="2E74B5"/>
        </w:rPr>
        <w:t>【要因①】コスト増：原材料・物流・人件費の複合インフレ</w:t>
      </w:r>
    </w:p>
    <w:p/>
    <w:p>
      <w:pPr>
        <w:shd w:val="clear" w:color="auto" w:fill="F2F2F2"/>
      </w:pPr>
      <w:r>
        <w:rPr>
          <w:rFonts w:ascii="Courier New" w:hAnsi="Courier New"/>
          <w:sz w:val="16"/>
        </w:rPr>
        <w:t>構造的か一時的か？ → 【半構造的】：一部改善中だが体質転換未完</w:t>
        <w:br/>
        <w:br/>
        <w:t>内訳分解：</w:t>
        <w:br/>
        <w:t xml:space="preserve">  ・原材料（樹脂、ステンレス、電子部品）：WTI原油$112/bbl水準での高原材料コスト継続</w:t>
        <w:br/>
        <w:t xml:space="preserve">    → 製品原価率を約2〜3%pt押し上げ（FY2022〜FY2025累積）</w:t>
        <w:br/>
        <w:t xml:space="preserve">  ・物流：コロナ禍以降のサプライチェーン再構築コスト</w:t>
        <w:br/>
        <w:t xml:space="preserve">    → 一部正常化（一時的要因解消方向）</w:t>
        <w:br/>
        <w:t xml:space="preserve">  ・人件費：日本国内の賃上げ圧力 + 海外（特に欧米）の慢性的人件費インフレ</w:t>
        <w:br/>
        <w:t xml:space="preserve">    → 構造的上昇圧力、短期では解消不能</w:t>
        <w:br/>
        <w:t xml:space="preserve">  ・製造コスト：Cコロナ対応設備投資の減価償却負担（FY2027頃まで継続）</w:t>
        <w:br/>
        <w:br/>
        <w:t>深井判定：</w:t>
        <w:br/>
        <w:t xml:space="preserve">  コスト要因の約60%は「半構造的」（原油・人件費）</w:t>
        <w:br/>
        <w:t xml:space="preserve">  残り40%は「一時的」（物流・旧型設備の特別償却）</w:t>
        <w:br/>
        <w:t xml:space="preserve">  → FY2026〜FY2027にかけて段階的に改善見込み。ただし完全解消には2〜3年</w:t>
      </w:r>
    </w:p>
    <w:p/>
    <w:p>
      <w:pPr>
        <w:pStyle w:val="Heading4"/>
      </w:pPr>
      <w:r>
        <w:rPr>
          <w:rFonts w:ascii="Meiryo UI" w:hAnsi="Meiryo UI"/>
          <w:color w:val="2E74B5"/>
        </w:rPr>
        <w:t>【要因②】為替：円安ピークと円高転換リスク</w:t>
      </w:r>
    </w:p>
    <w:p/>
    <w:p>
      <w:pPr>
        <w:shd w:val="clear" w:color="auto" w:fill="F2F2F2"/>
      </w:pPr>
      <w:r>
        <w:rPr>
          <w:rFonts w:ascii="Courier New" w:hAnsi="Courier New"/>
          <w:sz w:val="16"/>
        </w:rPr>
        <w:t>構造的か一時的か？ → 【一時的（ただし反転が業績直撃リスク）】</w:t>
        <w:br/>
        <w:br/>
        <w:t>テルモの為替感応度（推定、公開IR資料ベース）：</w:t>
        <w:br/>
        <w:t xml:space="preserve">  売上高感応度：USD/JPY 1円の円高 → 売上高約▲40〜50億円</w:t>
        <w:br/>
        <w:t xml:space="preserve">  営業利益感応度：USD/JPY 1円の円高 → 営業利益約▲15〜20億円</w:t>
        <w:br/>
        <w:t xml:space="preserve">  ※EUR/JPYも重要（売上比率約20%）：1円円高 → 営業利益約▲5〜8億円</w:t>
        <w:br/>
        <w:br/>
        <w:t>直近為替環境（2026年4月時点推定）：</w:t>
        <w:br/>
        <w:t xml:space="preserve">  USD/JPY：推定142〜148円水準（円高方向へ転換局面）</w:t>
        <w:br/>
        <w:t xml:space="preserve">  → FY2022〜FY2024の円安追い風（150〜160円）の剥落が確実に業績を下押し</w:t>
        <w:br/>
        <w:t xml:space="preserve">  → FY2025 vs FY2024比較で為替逆風インパクト：営業利益▲100〜150億円（推定）</w:t>
        <w:br/>
        <w:br/>
        <w:t>円高感応度シミュレーション（詳細は§2-4）：</w:t>
        <w:br/>
        <w:t xml:space="preserve">  現在水準（推定145円）→ 130円シナリオ：営業利益▲225〜300億円</w:t>
        <w:br/>
        <w:t xml:space="preserve">  → PL上の「見かけ上の低迷」として顕在化</w:t>
        <w:br/>
        <w:br/>
        <w:t>深井判定：</w:t>
        <w:br/>
        <w:t xml:space="preserve">  為替要因は「一時的」に分類できるが、円高が140円以下に定着した場合、</w:t>
        <w:br/>
        <w:t xml:space="preserve">  業績見通しの下方修正連鎖が株価を更に押し下げる「罠」となりうる</w:t>
        <w:br/>
        <w:t xml:space="preserve">  → 最大リスク要因として要警戒</w:t>
      </w:r>
    </w:p>
    <w:p/>
    <w:p>
      <w:pPr>
        <w:pStyle w:val="Heading4"/>
      </w:pPr>
      <w:r>
        <w:rPr>
          <w:rFonts w:ascii="Meiryo UI" w:hAnsi="Meiryo UI"/>
          <w:color w:val="2E74B5"/>
        </w:rPr>
        <w:t>【要因③】競合：BD、エドワーズ、メドトロニックとの比較</w:t>
      </w:r>
    </w:p>
    <w:p/>
    <w:p>
      <w:pPr>
        <w:shd w:val="clear" w:color="auto" w:fill="F2F2F2"/>
      </w:pPr>
      <w:r>
        <w:rPr>
          <w:rFonts w:ascii="Courier New" w:hAnsi="Courier New"/>
          <w:sz w:val="16"/>
        </w:rPr>
        <w:t>構造的か一時的か？ → 【部分的に構造的（セグメント依存）】</w:t>
        <w:br/>
        <w:br/>
        <w:t>セグメント別競合圧力：</w:t>
        <w:br/>
        <w:br/>
        <w:t>[CV：心臓血管]</w:t>
        <w:br/>
        <w:t xml:space="preserve">  ・エドワーズ vs テルモ：TAVR領域でエドワーズが圧倒的シェア</w:t>
        <w:br/>
        <w:t xml:space="preserve">    テルモは独自TAVRプラットフォーム開発中（後発として2〜3年の遅れ）</w:t>
        <w:br/>
        <w:t xml:space="preserve">  ・メドトロニック：末梢血管・神経領域でのポートフォリオ拡張</w:t>
        <w:br/>
        <w:t xml:space="preserve">    テルモの「Treo」ステントグラフトは一部市場でシェア侵食される</w:t>
        <w:br/>
        <w:t xml:space="preserve">  ・TRIカテーテル（テルモの強み）：競合の追い上げは限定的。ここは守られている</w:t>
        <w:br/>
        <w:t xml:space="preserve">  判定：部分的に構造的。ただしTRI・カテーテルの核心競争力は維持</w:t>
        <w:br/>
        <w:br/>
        <w:t>[BCT：血液システム]</w:t>
        <w:br/>
        <w:t xml:space="preserve">  ・Haemonetics：血小板採血でシェア競争激化</w:t>
        <w:br/>
        <w:t xml:space="preserve">  ・フレゼニウス：欧州市場での攻勢</w:t>
        <w:br/>
        <w:t xml:space="preserve">  ・細胞療法領域：新興企業（BE Biopharma等）が参入</w:t>
        <w:br/>
        <w:t xml:space="preserve">  判定：スイッチングコストが高く、既存顧客の維持は堅固。新規受注競争が課題</w:t>
        <w:br/>
        <w:br/>
        <w:t>[HC：ホスピタル]</w:t>
        <w:br/>
        <w:t xml:space="preserve">  ・中国メーカー（B.Braun 中国生産品含む）との価格戦</w:t>
        <w:br/>
        <w:t xml:space="preserve">  判定：構造的な価格下落圧力。利益率改善の壁</w:t>
        <w:br/>
        <w:br/>
        <w:t>総合判定：競合要因の約40%は構造的。ただしテルモのコアコンピタンス（TRI・BCT</w:t>
        <w:br/>
        <w:t>のインフラ地位）は侵食されておらず、長期的モートは維持</w:t>
      </w:r>
    </w:p>
    <w:p/>
    <w:p>
      <w:pPr>
        <w:pStyle w:val="Heading4"/>
      </w:pPr>
      <w:r>
        <w:rPr>
          <w:rFonts w:ascii="Meiryo UI" w:hAnsi="Meiryo UI"/>
          <w:color w:val="2E74B5"/>
        </w:rPr>
        <w:t>【要因④】規制：薬価改定・保険償還・医療機器承認</w:t>
      </w:r>
    </w:p>
    <w:p/>
    <w:p>
      <w:pPr>
        <w:shd w:val="clear" w:color="auto" w:fill="F2F2F2"/>
      </w:pPr>
      <w:r>
        <w:rPr>
          <w:rFonts w:ascii="Courier New" w:hAnsi="Courier New"/>
          <w:sz w:val="16"/>
        </w:rPr>
        <w:t>構造的か一時的か？ → 【構造的（日本特有）+ 一時的（海外承認遅延）】</w:t>
        <w:br/>
        <w:br/>
        <w:t>日本国内規制：</w:t>
        <w:br/>
        <w:t xml:space="preserve">  ・2年毎の薬価・診療報酬改定：医療機器価格の恒常的下押し</w:t>
        <w:br/>
        <w:t xml:space="preserve">  ・2024年改定：主力製品で約2〜5%の価格引き下げ</w:t>
        <w:br/>
        <w:t xml:space="preserve">  ・2026年改定（予定）：追加の▲2〜3%見込み</w:t>
        <w:br/>
        <w:t xml:space="preserve">  → 国内売上比率約17%に対し、継続的利益圧迫（構造的）</w:t>
        <w:br/>
        <w:br/>
        <w:t>海外規制：</w:t>
        <w:br/>
        <w:t xml:space="preserve">  ・FDA承認遅延（米国）：一部新製品の承認待ちが成長機会を一時的に制限</w:t>
        <w:br/>
        <w:t xml:space="preserve">  ・欧州MDR（医療機器規制）対応コスト：再登録費用が一時費用として計上済み</w:t>
        <w:br/>
        <w:t xml:space="preserve">  判定：FDA/MDR対応コストは一時的（FY2025〜FY2026で峠越え）</w:t>
        <w:br/>
        <w:br/>
        <w:t>深井判定：</w:t>
        <w:br/>
        <w:t xml:space="preserve">  国内薬価下落は構造的（逃げられない）</w:t>
        <w:br/>
        <w:t xml:space="preserve">  海外規制コストは一時的。FY2026以降は収束見込み</w:t>
      </w:r>
    </w:p>
    <w:p/>
    <w:p>
      <w:r>
        <w:t>──────────────────────────────────────────────────</w:t>
      </w:r>
    </w:p>
    <w:p/>
    <w:p>
      <w:pPr>
        <w:pStyle w:val="Heading3"/>
      </w:pPr>
      <w:r>
        <w:rPr>
          <w:rFonts w:ascii="Meiryo UI" w:hAnsi="Meiryo UI"/>
          <w:color w:val="2E74B5"/>
        </w:rPr>
        <w:t>2-2. 4要因の総合切り分けマトリクス</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要因</w:t>
            </w:r>
          </w:p>
        </w:tc>
        <w:tc>
          <w:tcPr>
            <w:tcW w:type="dxa" w:w="1881"/>
            <w:shd w:val="clear" w:color="auto" w:fill="2E74B5"/>
          </w:tcPr>
          <w:p>
            <w:r>
              <w:rPr>
                <w:rFonts w:ascii="Meiryo UI" w:hAnsi="Meiryo UI"/>
                <w:b/>
                <w:color w:val="FFFFFF"/>
                <w:sz w:val="18"/>
              </w:rPr>
              <w:t>一時的</w:t>
            </w:r>
          </w:p>
        </w:tc>
        <w:tc>
          <w:tcPr>
            <w:tcW w:type="dxa" w:w="1881"/>
            <w:shd w:val="clear" w:color="auto" w:fill="2E74B5"/>
          </w:tcPr>
          <w:p>
            <w:r>
              <w:rPr>
                <w:rFonts w:ascii="Meiryo UI" w:hAnsi="Meiryo UI"/>
                <w:b/>
                <w:color w:val="FFFFFF"/>
                <w:sz w:val="18"/>
              </w:rPr>
              <w:t>構造的</w:t>
            </w:r>
          </w:p>
        </w:tc>
        <w:tc>
          <w:tcPr>
            <w:tcW w:type="dxa" w:w="1881"/>
            <w:shd w:val="clear" w:color="auto" w:fill="2E74B5"/>
          </w:tcPr>
          <w:p>
            <w:r>
              <w:rPr>
                <w:rFonts w:ascii="Meiryo UI" w:hAnsi="Meiryo UI"/>
                <w:b/>
                <w:color w:val="FFFFFF"/>
                <w:sz w:val="18"/>
              </w:rPr>
              <w:t>規模感（営業利益影響）</w:t>
            </w:r>
          </w:p>
        </w:tc>
        <w:tc>
          <w:tcPr>
            <w:tcW w:type="dxa" w:w="1881"/>
            <w:shd w:val="clear" w:color="auto" w:fill="2E74B5"/>
          </w:tcPr>
          <w:p>
            <w:r>
              <w:rPr>
                <w:rFonts w:ascii="Meiryo UI" w:hAnsi="Meiryo UI"/>
                <w:b/>
                <w:color w:val="FFFFFF"/>
                <w:sz w:val="18"/>
              </w:rPr>
              <w:t>改善時期</w:t>
            </w:r>
          </w:p>
        </w:tc>
      </w:tr>
      <w:tr>
        <w:tc>
          <w:tcPr>
            <w:tcW w:type="dxa" w:w="1881"/>
          </w:tcPr>
          <w:p>
            <w:r>
              <w:rPr>
                <w:rFonts w:ascii="Meiryo UI" w:hAnsi="Meiryo UI"/>
                <w:sz w:val="18"/>
              </w:rPr>
              <w:t>コスト増（原材料・人件費）</w:t>
            </w:r>
          </w:p>
        </w:tc>
        <w:tc>
          <w:tcPr>
            <w:tcW w:type="dxa" w:w="1881"/>
          </w:tcPr>
          <w:p>
            <w:r>
              <w:rPr>
                <w:rFonts w:ascii="Meiryo UI" w:hAnsi="Meiryo UI"/>
                <w:sz w:val="18"/>
              </w:rPr>
              <w:t>40%</w:t>
            </w:r>
          </w:p>
        </w:tc>
        <w:tc>
          <w:tcPr>
            <w:tcW w:type="dxa" w:w="1881"/>
          </w:tcPr>
          <w:p>
            <w:r>
              <w:rPr>
                <w:rFonts w:ascii="Meiryo UI" w:hAnsi="Meiryo UI"/>
                <w:sz w:val="18"/>
              </w:rPr>
              <w:t>60%</w:t>
            </w:r>
          </w:p>
        </w:tc>
        <w:tc>
          <w:tcPr>
            <w:tcW w:type="dxa" w:w="1881"/>
          </w:tcPr>
          <w:p>
            <w:r>
              <w:rPr>
                <w:rFonts w:ascii="Meiryo UI" w:hAnsi="Meiryo UI"/>
                <w:sz w:val="18"/>
              </w:rPr>
              <w:t>▲100〜150億円/年</w:t>
            </w:r>
          </w:p>
        </w:tc>
        <w:tc>
          <w:tcPr>
            <w:tcW w:type="dxa" w:w="1881"/>
          </w:tcPr>
          <w:p>
            <w:r>
              <w:rPr>
                <w:rFonts w:ascii="Meiryo UI" w:hAnsi="Meiryo UI"/>
                <w:sz w:val="18"/>
              </w:rPr>
              <w:t>FY2027頃から部分解消</w:t>
            </w:r>
          </w:p>
        </w:tc>
      </w:tr>
      <w:tr>
        <w:tc>
          <w:tcPr>
            <w:tcW w:type="dxa" w:w="1881"/>
            <w:shd w:val="clear" w:color="auto" w:fill="DDEBF7"/>
          </w:tcPr>
          <w:p>
            <w:r>
              <w:rPr>
                <w:rFonts w:ascii="Meiryo UI" w:hAnsi="Meiryo UI"/>
                <w:sz w:val="18"/>
              </w:rPr>
              <w:t>為替（円安→円高転換）</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0%</w:t>
            </w:r>
          </w:p>
        </w:tc>
        <w:tc>
          <w:tcPr>
            <w:tcW w:type="dxa" w:w="1881"/>
            <w:shd w:val="clear" w:color="auto" w:fill="DDEBF7"/>
          </w:tcPr>
          <w:p>
            <w:r>
              <w:rPr>
                <w:rFonts w:ascii="Meiryo UI" w:hAnsi="Meiryo UI"/>
                <w:sz w:val="18"/>
              </w:rPr>
              <w:t>▲150〜300億円/年（転換幅依存）</w:t>
            </w:r>
          </w:p>
        </w:tc>
        <w:tc>
          <w:tcPr>
            <w:tcW w:type="dxa" w:w="1881"/>
            <w:shd w:val="clear" w:color="auto" w:fill="DDEBF7"/>
          </w:tcPr>
          <w:p>
            <w:r>
              <w:rPr>
                <w:rFonts w:ascii="Meiryo UI" w:hAnsi="Meiryo UI"/>
                <w:sz w:val="18"/>
              </w:rPr>
              <w:t>為替次第</w:t>
            </w:r>
          </w:p>
        </w:tc>
      </w:tr>
      <w:tr>
        <w:tc>
          <w:tcPr>
            <w:tcW w:type="dxa" w:w="1881"/>
          </w:tcPr>
          <w:p>
            <w:r>
              <w:rPr>
                <w:rFonts w:ascii="Meiryo UI" w:hAnsi="Meiryo UI"/>
                <w:sz w:val="18"/>
              </w:rPr>
              <w:t>競合（BD/エドワーズ/MDT）</w:t>
            </w:r>
          </w:p>
        </w:tc>
        <w:tc>
          <w:tcPr>
            <w:tcW w:type="dxa" w:w="1881"/>
          </w:tcPr>
          <w:p>
            <w:r>
              <w:rPr>
                <w:rFonts w:ascii="Meiryo UI" w:hAnsi="Meiryo UI"/>
                <w:sz w:val="18"/>
              </w:rPr>
              <w:t>60%</w:t>
            </w:r>
          </w:p>
        </w:tc>
        <w:tc>
          <w:tcPr>
            <w:tcW w:type="dxa" w:w="1881"/>
          </w:tcPr>
          <w:p>
            <w:r>
              <w:rPr>
                <w:rFonts w:ascii="Meiryo UI" w:hAnsi="Meiryo UI"/>
                <w:sz w:val="18"/>
              </w:rPr>
              <w:t>40%</w:t>
            </w:r>
          </w:p>
        </w:tc>
        <w:tc>
          <w:tcPr>
            <w:tcW w:type="dxa" w:w="1881"/>
          </w:tcPr>
          <w:p>
            <w:r>
              <w:rPr>
                <w:rFonts w:ascii="Meiryo UI" w:hAnsi="Meiryo UI"/>
                <w:sz w:val="18"/>
              </w:rPr>
              <w:t>▲50〜80億円/年</w:t>
            </w:r>
          </w:p>
        </w:tc>
        <w:tc>
          <w:tcPr>
            <w:tcW w:type="dxa" w:w="1881"/>
          </w:tcPr>
          <w:p>
            <w:r>
              <w:rPr>
                <w:rFonts w:ascii="Meiryo UI" w:hAnsi="Meiryo UI"/>
                <w:sz w:val="18"/>
              </w:rPr>
              <w:t>一部FY2026改善</w:t>
            </w:r>
          </w:p>
        </w:tc>
      </w:tr>
      <w:tr>
        <w:tc>
          <w:tcPr>
            <w:tcW w:type="dxa" w:w="1881"/>
            <w:shd w:val="clear" w:color="auto" w:fill="DDEBF7"/>
          </w:tcPr>
          <w:p>
            <w:r>
              <w:rPr>
                <w:rFonts w:ascii="Meiryo UI" w:hAnsi="Meiryo UI"/>
                <w:sz w:val="18"/>
              </w:rPr>
              <w:t>規制（薬価・FDA）</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50%</w:t>
            </w:r>
          </w:p>
        </w:tc>
        <w:tc>
          <w:tcPr>
            <w:tcW w:type="dxa" w:w="1881"/>
            <w:shd w:val="clear" w:color="auto" w:fill="DDEBF7"/>
          </w:tcPr>
          <w:p>
            <w:r>
              <w:rPr>
                <w:rFonts w:ascii="Meiryo UI" w:hAnsi="Meiryo UI"/>
                <w:sz w:val="18"/>
              </w:rPr>
              <w:t>▲30〜50億円/年</w:t>
            </w:r>
          </w:p>
        </w:tc>
        <w:tc>
          <w:tcPr>
            <w:tcW w:type="dxa" w:w="1881"/>
            <w:shd w:val="clear" w:color="auto" w:fill="DDEBF7"/>
          </w:tcPr>
          <w:p>
            <w:r>
              <w:rPr>
                <w:rFonts w:ascii="Meiryo UI" w:hAnsi="Meiryo UI"/>
                <w:sz w:val="18"/>
              </w:rPr>
              <w:t>海外は改善、国内は継続</w:t>
            </w:r>
          </w:p>
        </w:tc>
      </w:tr>
    </w:tbl>
    <w:p/>
    <w:p>
      <w:r>
        <w:rPr>
          <w:rFonts w:ascii="Meiryo UI" w:hAnsi="Meiryo UI"/>
          <w:sz w:val="20"/>
        </w:rPr>
        <w:t>深井総括：低迷要因の約55〜60%は「一時的or改善可能」。しかし為替リスクが突出しており、円高定着シナリオでは「低迷継続の罠」に引き込まれるリスクが高い。</w:t>
      </w:r>
    </w:p>
    <w:p/>
    <w:p>
      <w:r>
        <w:t>──────────────────────────────────────────────────</w:t>
      </w:r>
    </w:p>
    <w:p/>
    <w:p>
      <w:pPr>
        <w:pStyle w:val="Heading3"/>
      </w:pPr>
      <w:r>
        <w:rPr>
          <w:rFonts w:ascii="Meiryo UI" w:hAnsi="Meiryo UI"/>
          <w:color w:val="2E74B5"/>
        </w:rPr>
        <w:t>2-3. 主要セグメント回復シナリオと売上成長率試算</w:t>
      </w:r>
    </w:p>
    <w:p/>
    <w:p>
      <w:pPr>
        <w:pStyle w:val="Heading4"/>
      </w:pPr>
      <w:r>
        <w:rPr>
          <w:rFonts w:ascii="Meiryo UI" w:hAnsi="Meiryo UI"/>
          <w:color w:val="2E74B5"/>
        </w:rPr>
        <w:t>心臓血管カンパニー（CV）：回復シナリオ</w:t>
      </w:r>
    </w:p>
    <w:p/>
    <w:p>
      <w:pPr>
        <w:shd w:val="clear" w:color="auto" w:fill="F2F2F2"/>
      </w:pPr>
      <w:r>
        <w:rPr>
          <w:rFonts w:ascii="Courier New" w:hAnsi="Courier New"/>
          <w:sz w:val="16"/>
        </w:rPr>
        <w:t>FY2025実績（推定）：売上高 約3,200億円</w:t>
        <w:br/>
        <w:br/>
        <w:t>シナリオ別成長率試算：</w:t>
        <w:br/>
        <w:br/>
        <w:t>【強気シナリオ】</w:t>
        <w:br/>
        <w:t xml:space="preserve">  ・TAVRへの参入加速 + ニューロバスキュラー新市場</w:t>
        <w:br/>
        <w:t xml:space="preserve">  ・米国・中国市場でのシェア拡大</w:t>
        <w:br/>
        <w:t xml:space="preserve">  ・為替：USD/JPY 145〜150円維持</w:t>
        <w:br/>
        <w:t xml:space="preserve">  FY2026E成長率：+8〜10%  → 売上高 約3,456〜3,520億円</w:t>
        <w:br/>
        <w:t xml:space="preserve">  FY2027E成長率：+9〜12%  → 売上高 約3,770〜3,940億円</w:t>
        <w:br/>
        <w:t xml:space="preserve">  営業利益率：18〜20%</w:t>
        <w:br/>
        <w:br/>
        <w:t>【基本シナリオ】</w:t>
        <w:br/>
        <w:t xml:space="preserve">  ・TRI製品の安定成長 + カテーテル系の緩やかな拡大</w:t>
        <w:br/>
        <w:t xml:space="preserve">  ・為替：USD/JPY 135〜145円（円高方向）</w:t>
        <w:br/>
        <w:t xml:space="preserve">  FY2026E成長率：+4〜6%  → 売上高 約3,328〜3,392億円</w:t>
        <w:br/>
        <w:t xml:space="preserve">  FY2027E成長率：+5〜7%  → 売上高 約3,494〜3,630億円</w:t>
        <w:br/>
        <w:t xml:space="preserve">  営業利益率：15〜17%</w:t>
        <w:br/>
        <w:br/>
        <w:t>【弱気シナリオ】</w:t>
        <w:br/>
        <w:t xml:space="preserve">  ・競合によるシェア侵食 + 円高急進（USD/JPY 125〜130円）</w:t>
        <w:br/>
        <w:t xml:space="preserve">  ・国内薬価追加引き下げ</w:t>
        <w:br/>
        <w:t xml:space="preserve">  FY2026E成長率：0〜+2%  → 売上高 約3,200〜3,264億円</w:t>
        <w:br/>
        <w:t xml:space="preserve">  FY2027E成長率：+1〜3%  → 売上高 約3,232〜3,362億円</w:t>
        <w:br/>
        <w:t xml:space="preserve">  営業利益率：11〜13%</w:t>
      </w:r>
    </w:p>
    <w:p/>
    <w:p>
      <w:pPr>
        <w:pStyle w:val="Heading4"/>
      </w:pPr>
      <w:r>
        <w:rPr>
          <w:rFonts w:ascii="Meiryo UI" w:hAnsi="Meiryo UI"/>
          <w:color w:val="2E74B5"/>
        </w:rPr>
        <w:t>血液システムカンパニー（BCT）：回復シナリオ</w:t>
      </w:r>
    </w:p>
    <w:p/>
    <w:p>
      <w:pPr>
        <w:shd w:val="clear" w:color="auto" w:fill="F2F2F2"/>
      </w:pPr>
      <w:r>
        <w:rPr>
          <w:rFonts w:ascii="Courier New" w:hAnsi="Courier New"/>
          <w:sz w:val="16"/>
        </w:rPr>
        <w:t>FY2025実績（推定）：売上高 約2,350億円</w:t>
        <w:br/>
        <w:br/>
        <w:t>BCT特有の成長ドライバー：</w:t>
        <w:br/>
        <w:t xml:space="preserve">  ① 細胞療法（CAR-T）向けシステムの立ち上がり（2026〜2028年に本格化）</w:t>
        <w:br/>
        <w:t xml:space="preserve">  ② アフェレーシス機器の更新サイクル（既存顧客の定期更新）</w:t>
        <w:br/>
        <w:t xml:space="preserve">  ③ 消耗品・試薬のリカーリング収益（売上の60〜65%が消耗品）</w:t>
        <w:br/>
        <w:br/>
        <w:t>シナリオ別成長率試算：</w:t>
        <w:br/>
        <w:br/>
        <w:t>【強気シナリオ】</w:t>
        <w:br/>
        <w:t xml:space="preserve">  ・CAR-T向け細胞処理システムが主要病院に採用拡大</w:t>
        <w:br/>
        <w:t xml:space="preserve">  ・アジア・新興国での血液センター整備需要</w:t>
        <w:br/>
        <w:t xml:space="preserve">  FY2026E成長率：+7〜9%  → 売上高 約2,515〜2,562億円</w:t>
        <w:br/>
        <w:t xml:space="preserve">  FY2027E成長率：+9〜12% → 売上高 約2,742〜2,870億円</w:t>
        <w:br/>
        <w:t xml:space="preserve">  営業利益率：20〜22%（消耗品比率向上でマージン改善）</w:t>
        <w:br/>
        <w:br/>
        <w:t>【基本シナリオ】</w:t>
        <w:br/>
        <w:t xml:space="preserve">  ・既存顧客基盤の安定的な消耗品収益 + 新市場での緩慢な立ち上がり</w:t>
        <w:br/>
        <w:t xml:space="preserve">  FY2026E成長率：+4〜5%  → 売上高 約2,444〜2,468億円</w:t>
        <w:br/>
        <w:t xml:space="preserve">  FY2027E成長率：+5〜7%  → 売上高 約2,566〜2,641億円</w:t>
        <w:br/>
        <w:t xml:space="preserve">  営業利益率：17〜19%</w:t>
        <w:br/>
        <w:br/>
        <w:t>【弱気シナリオ】</w:t>
        <w:br/>
        <w:t xml:space="preserve">  ・原材料コスト高止まり + 競合による価格引き下げ圧力</w:t>
        <w:br/>
        <w:t xml:space="preserve">  ・CAR-T市場の立ち上がり遅延（規制・保険償還の問題）</w:t>
        <w:br/>
        <w:t xml:space="preserve">  FY2026E成長率：+1〜2%  → 売上高 約2,374〜2,397億円</w:t>
        <w:br/>
        <w:t xml:space="preserve">  FY2027E成長率：+2〜4%  → 売上高 約2,421〜2,493億円</w:t>
        <w:br/>
        <w:t xml:space="preserve">  営業利益率：13〜15%</w:t>
      </w:r>
    </w:p>
    <w:p/>
    <w:p>
      <w:r>
        <w:t>──────────────────────────────────────────────────</w:t>
      </w:r>
    </w:p>
    <w:p/>
    <w:p>
      <w:pPr>
        <w:pStyle w:val="Heading3"/>
      </w:pPr>
      <w:r>
        <w:rPr>
          <w:rFonts w:ascii="Meiryo UI" w:hAnsi="Meiryo UI"/>
          <w:color w:val="2E74B5"/>
        </w:rPr>
        <w:t>2-4. 円安→円高転換リスクの業績感応度</w:t>
      </w:r>
    </w:p>
    <w:p/>
    <w:p>
      <w:pPr>
        <w:shd w:val="clear" w:color="auto" w:fill="F2F2F2"/>
      </w:pPr>
      <w:r>
        <w:rPr>
          <w:rFonts w:ascii="Courier New" w:hAnsi="Courier New"/>
          <w:sz w:val="16"/>
        </w:rPr>
        <w:t>【テルモ為替感応度モデル（深井推計）】</w:t>
        <w:br/>
        <w:br/>
        <w:t>前提：</w:t>
        <w:br/>
        <w:t xml:space="preserve">  ・海外売上比率：約83%（USD：約50%、EUR：約20%、その他：約13%）</w:t>
        <w:br/>
        <w:t xml:space="preserve">  ・ヘッジ比率：約30〜40%（年度平均）</w:t>
        <w:br/>
        <w:t xml:space="preserve">  ・非ヘッジ部分への感応度計算</w:t>
        <w:br/>
        <w:br/>
        <w:t>USD/JPY 1円円高の影響：</w:t>
        <w:br/>
        <w:t xml:space="preserve">  売上高：▲約45億円</w:t>
        <w:br/>
        <w:t xml:space="preserve">  営業利益：▲約17億円</w:t>
        <w:br/>
        <w:t xml:space="preserve">  EPS影響：▲約2.4円/株</w:t>
        <w:br/>
        <w:br/>
        <w:t>EUR/JPY 1円円高の影響：</w:t>
        <w:br/>
        <w:t xml:space="preserve">  売上高：▲約18億円</w:t>
        <w:br/>
        <w:t xml:space="preserve">  営業利益：▲約6億円</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為替シナリオ</w:t>
            </w:r>
          </w:p>
        </w:tc>
        <w:tc>
          <w:tcPr>
            <w:tcW w:type="dxa" w:w="1568"/>
            <w:shd w:val="clear" w:color="auto" w:fill="2E74B5"/>
          </w:tcPr>
          <w:p>
            <w:r>
              <w:rPr>
                <w:rFonts w:ascii="Meiryo UI" w:hAnsi="Meiryo UI"/>
                <w:b/>
                <w:color w:val="FFFFFF"/>
                <w:sz w:val="18"/>
              </w:rPr>
              <w:t>USD/JPY</w:t>
            </w:r>
          </w:p>
        </w:tc>
        <w:tc>
          <w:tcPr>
            <w:tcW w:type="dxa" w:w="1568"/>
            <w:shd w:val="clear" w:color="auto" w:fill="2E74B5"/>
          </w:tcPr>
          <w:p>
            <w:r>
              <w:rPr>
                <w:rFonts w:ascii="Meiryo UI" w:hAnsi="Meiryo UI"/>
                <w:b/>
                <w:color w:val="FFFFFF"/>
                <w:sz w:val="18"/>
              </w:rPr>
              <w:t>売上高影響（対FY2025比）</w:t>
            </w:r>
          </w:p>
        </w:tc>
        <w:tc>
          <w:tcPr>
            <w:tcW w:type="dxa" w:w="1568"/>
            <w:shd w:val="clear" w:color="auto" w:fill="2E74B5"/>
          </w:tcPr>
          <w:p>
            <w:r>
              <w:rPr>
                <w:rFonts w:ascii="Meiryo UI" w:hAnsi="Meiryo UI"/>
                <w:b/>
                <w:color w:val="FFFFFF"/>
                <w:sz w:val="18"/>
              </w:rPr>
              <w:t>営業利益影響</w:t>
            </w:r>
          </w:p>
        </w:tc>
        <w:tc>
          <w:tcPr>
            <w:tcW w:type="dxa" w:w="1568"/>
            <w:shd w:val="clear" w:color="auto" w:fill="2E74B5"/>
          </w:tcPr>
          <w:p>
            <w:r>
              <w:rPr>
                <w:rFonts w:ascii="Meiryo UI" w:hAnsi="Meiryo UI"/>
                <w:b/>
                <w:color w:val="FFFFFF"/>
                <w:sz w:val="18"/>
              </w:rPr>
              <w:t>EPS影響</w:t>
            </w:r>
          </w:p>
        </w:tc>
        <w:tc>
          <w:tcPr>
            <w:tcW w:type="dxa" w:w="1568"/>
            <w:shd w:val="clear" w:color="auto" w:fill="2E74B5"/>
          </w:tcPr>
          <w:p>
            <w:r>
              <w:rPr>
                <w:rFonts w:ascii="Meiryo UI" w:hAnsi="Meiryo UI"/>
                <w:b/>
                <w:color w:val="FFFFFF"/>
                <w:sz w:val="18"/>
              </w:rPr>
              <w:t>理論株価影響</w:t>
            </w:r>
          </w:p>
        </w:tc>
      </w:tr>
      <w:tr>
        <w:tc>
          <w:tcPr>
            <w:tcW w:type="dxa" w:w="1568"/>
          </w:tcPr>
          <w:p>
            <w:r>
              <w:rPr>
                <w:rFonts w:ascii="Meiryo UI" w:hAnsi="Meiryo UI"/>
                <w:sz w:val="18"/>
              </w:rPr>
              <w:t>現状維持（ベース）</w:t>
            </w:r>
          </w:p>
        </w:tc>
        <w:tc>
          <w:tcPr>
            <w:tcW w:type="dxa" w:w="1568"/>
          </w:tcPr>
          <w:p>
            <w:r>
              <w:rPr>
                <w:rFonts w:ascii="Meiryo UI" w:hAnsi="Meiryo UI"/>
                <w:sz w:val="18"/>
              </w:rPr>
              <w:t>145円</w:t>
            </w:r>
          </w:p>
        </w:tc>
        <w:tc>
          <w:tcPr>
            <w:tcW w:type="dxa" w:w="1568"/>
          </w:tcPr>
          <w:p>
            <w:r>
              <w:rPr>
                <w:rFonts w:ascii="Meiryo UI" w:hAnsi="Meiryo UI"/>
                <w:sz w:val="18"/>
              </w:rPr>
              <w:t>± 0</w:t>
            </w:r>
          </w:p>
        </w:tc>
        <w:tc>
          <w:tcPr>
            <w:tcW w:type="dxa" w:w="1568"/>
          </w:tcPr>
          <w:p>
            <w:r>
              <w:rPr>
                <w:rFonts w:ascii="Meiryo UI" w:hAnsi="Meiryo UI"/>
                <w:sz w:val="18"/>
              </w:rPr>
              <w:t>± 0</w:t>
            </w:r>
          </w:p>
        </w:tc>
        <w:tc>
          <w:tcPr>
            <w:tcW w:type="dxa" w:w="1568"/>
          </w:tcPr>
          <w:p>
            <w:r>
              <w:rPr>
                <w:rFonts w:ascii="Meiryo UI" w:hAnsi="Meiryo UI"/>
                <w:sz w:val="18"/>
              </w:rPr>
              <w:t>± 0</w:t>
            </w:r>
          </w:p>
        </w:tc>
        <w:tc>
          <w:tcPr>
            <w:tcW w:type="dxa" w:w="1568"/>
          </w:tcPr>
          <w:p>
            <w:r>
              <w:rPr>
                <w:rFonts w:ascii="Meiryo UI" w:hAnsi="Meiryo UI"/>
                <w:sz w:val="18"/>
              </w:rPr>
              <w:t>± 0</w:t>
            </w:r>
          </w:p>
        </w:tc>
      </w:tr>
      <w:tr>
        <w:tc>
          <w:tcPr>
            <w:tcW w:type="dxa" w:w="1568"/>
            <w:shd w:val="clear" w:color="auto" w:fill="DDEBF7"/>
          </w:tcPr>
          <w:p>
            <w:r>
              <w:rPr>
                <w:rFonts w:ascii="Meiryo UI" w:hAnsi="Meiryo UI"/>
                <w:sz w:val="18"/>
              </w:rPr>
              <w:t>軽度円高</w:t>
            </w:r>
          </w:p>
        </w:tc>
        <w:tc>
          <w:tcPr>
            <w:tcW w:type="dxa" w:w="1568"/>
            <w:shd w:val="clear" w:color="auto" w:fill="DDEBF7"/>
          </w:tcPr>
          <w:p>
            <w:r>
              <w:rPr>
                <w:rFonts w:ascii="Meiryo UI" w:hAnsi="Meiryo UI"/>
                <w:sz w:val="18"/>
              </w:rPr>
              <w:t>140円</w:t>
            </w:r>
          </w:p>
        </w:tc>
        <w:tc>
          <w:tcPr>
            <w:tcW w:type="dxa" w:w="1568"/>
            <w:shd w:val="clear" w:color="auto" w:fill="DDEBF7"/>
          </w:tcPr>
          <w:p>
            <w:r>
              <w:rPr>
                <w:rFonts w:ascii="Meiryo UI" w:hAnsi="Meiryo UI"/>
                <w:sz w:val="18"/>
              </w:rPr>
              <w:t>▲225億円</w:t>
            </w:r>
          </w:p>
        </w:tc>
        <w:tc>
          <w:tcPr>
            <w:tcW w:type="dxa" w:w="1568"/>
            <w:shd w:val="clear" w:color="auto" w:fill="DDEBF7"/>
          </w:tcPr>
          <w:p>
            <w:r>
              <w:rPr>
                <w:rFonts w:ascii="Meiryo UI" w:hAnsi="Meiryo UI"/>
                <w:sz w:val="18"/>
              </w:rPr>
              <w:t>▲85億円</w:t>
            </w:r>
          </w:p>
        </w:tc>
        <w:tc>
          <w:tcPr>
            <w:tcW w:type="dxa" w:w="1568"/>
            <w:shd w:val="clear" w:color="auto" w:fill="DDEBF7"/>
          </w:tcPr>
          <w:p>
            <w:r>
              <w:rPr>
                <w:rFonts w:ascii="Meiryo UI" w:hAnsi="Meiryo UI"/>
                <w:sz w:val="18"/>
              </w:rPr>
              <w:t>▲12円</w:t>
            </w:r>
          </w:p>
        </w:tc>
        <w:tc>
          <w:tcPr>
            <w:tcW w:type="dxa" w:w="1568"/>
            <w:shd w:val="clear" w:color="auto" w:fill="DDEBF7"/>
          </w:tcPr>
          <w:p>
            <w:r>
              <w:rPr>
                <w:rFonts w:ascii="Meiryo UI" w:hAnsi="Meiryo UI"/>
                <w:sz w:val="18"/>
              </w:rPr>
              <w:t>▲約300円</w:t>
            </w:r>
          </w:p>
        </w:tc>
      </w:tr>
      <w:tr>
        <w:tc>
          <w:tcPr>
            <w:tcW w:type="dxa" w:w="1568"/>
          </w:tcPr>
          <w:p>
            <w:r>
              <w:rPr>
                <w:rFonts w:ascii="Meiryo UI" w:hAnsi="Meiryo UI"/>
                <w:sz w:val="18"/>
              </w:rPr>
              <w:t>中程度円高</w:t>
            </w:r>
          </w:p>
        </w:tc>
        <w:tc>
          <w:tcPr>
            <w:tcW w:type="dxa" w:w="1568"/>
          </w:tcPr>
          <w:p>
            <w:r>
              <w:rPr>
                <w:rFonts w:ascii="Meiryo UI" w:hAnsi="Meiryo UI"/>
                <w:sz w:val="18"/>
              </w:rPr>
              <w:t>135円</w:t>
            </w:r>
          </w:p>
        </w:tc>
        <w:tc>
          <w:tcPr>
            <w:tcW w:type="dxa" w:w="1568"/>
          </w:tcPr>
          <w:p>
            <w:r>
              <w:rPr>
                <w:rFonts w:ascii="Meiryo UI" w:hAnsi="Meiryo UI"/>
                <w:sz w:val="18"/>
              </w:rPr>
              <w:t>▲450億円</w:t>
            </w:r>
          </w:p>
        </w:tc>
        <w:tc>
          <w:tcPr>
            <w:tcW w:type="dxa" w:w="1568"/>
          </w:tcPr>
          <w:p>
            <w:r>
              <w:rPr>
                <w:rFonts w:ascii="Meiryo UI" w:hAnsi="Meiryo UI"/>
                <w:sz w:val="18"/>
              </w:rPr>
              <w:t>▲170億円</w:t>
            </w:r>
          </w:p>
        </w:tc>
        <w:tc>
          <w:tcPr>
            <w:tcW w:type="dxa" w:w="1568"/>
          </w:tcPr>
          <w:p>
            <w:r>
              <w:rPr>
                <w:rFonts w:ascii="Meiryo UI" w:hAnsi="Meiryo UI"/>
                <w:sz w:val="18"/>
              </w:rPr>
              <w:t>▲24円</w:t>
            </w:r>
          </w:p>
        </w:tc>
        <w:tc>
          <w:tcPr>
            <w:tcW w:type="dxa" w:w="1568"/>
          </w:tcPr>
          <w:p>
            <w:r>
              <w:rPr>
                <w:rFonts w:ascii="Meiryo UI" w:hAnsi="Meiryo UI"/>
                <w:sz w:val="18"/>
              </w:rPr>
              <w:t>▲約593円</w:t>
            </w:r>
          </w:p>
        </w:tc>
      </w:tr>
      <w:tr>
        <w:tc>
          <w:tcPr>
            <w:tcW w:type="dxa" w:w="1568"/>
            <w:shd w:val="clear" w:color="auto" w:fill="DDEBF7"/>
          </w:tcPr>
          <w:p>
            <w:r>
              <w:rPr>
                <w:rFonts w:ascii="Meiryo UI" w:hAnsi="Meiryo UI"/>
                <w:sz w:val="18"/>
              </w:rPr>
              <w:t>急速円高</w:t>
            </w:r>
          </w:p>
        </w:tc>
        <w:tc>
          <w:tcPr>
            <w:tcW w:type="dxa" w:w="1568"/>
            <w:shd w:val="clear" w:color="auto" w:fill="DDEBF7"/>
          </w:tcPr>
          <w:p>
            <w:r>
              <w:rPr>
                <w:rFonts w:ascii="Meiryo UI" w:hAnsi="Meiryo UI"/>
                <w:sz w:val="18"/>
              </w:rPr>
              <w:t>130円</w:t>
            </w:r>
          </w:p>
        </w:tc>
        <w:tc>
          <w:tcPr>
            <w:tcW w:type="dxa" w:w="1568"/>
            <w:shd w:val="clear" w:color="auto" w:fill="DDEBF7"/>
          </w:tcPr>
          <w:p>
            <w:r>
              <w:rPr>
                <w:rFonts w:ascii="Meiryo UI" w:hAnsi="Meiryo UI"/>
                <w:sz w:val="18"/>
              </w:rPr>
              <w:t>▲675億円</w:t>
            </w:r>
          </w:p>
        </w:tc>
        <w:tc>
          <w:tcPr>
            <w:tcW w:type="dxa" w:w="1568"/>
            <w:shd w:val="clear" w:color="auto" w:fill="DDEBF7"/>
          </w:tcPr>
          <w:p>
            <w:r>
              <w:rPr>
                <w:rFonts w:ascii="Meiryo UI" w:hAnsi="Meiryo UI"/>
                <w:sz w:val="18"/>
              </w:rPr>
              <w:t>▲255億円</w:t>
            </w:r>
          </w:p>
        </w:tc>
        <w:tc>
          <w:tcPr>
            <w:tcW w:type="dxa" w:w="1568"/>
            <w:shd w:val="clear" w:color="auto" w:fill="DDEBF7"/>
          </w:tcPr>
          <w:p>
            <w:r>
              <w:rPr>
                <w:rFonts w:ascii="Meiryo UI" w:hAnsi="Meiryo UI"/>
                <w:sz w:val="18"/>
              </w:rPr>
              <w:t>▲36円</w:t>
            </w:r>
          </w:p>
        </w:tc>
        <w:tc>
          <w:tcPr>
            <w:tcW w:type="dxa" w:w="1568"/>
            <w:shd w:val="clear" w:color="auto" w:fill="DDEBF7"/>
          </w:tcPr>
          <w:p>
            <w:r>
              <w:rPr>
                <w:rFonts w:ascii="Meiryo UI" w:hAnsi="Meiryo UI"/>
                <w:sz w:val="18"/>
              </w:rPr>
              <w:t>▲約889円</w:t>
            </w:r>
          </w:p>
        </w:tc>
      </w:tr>
      <w:tr>
        <w:tc>
          <w:tcPr>
            <w:tcW w:type="dxa" w:w="1568"/>
          </w:tcPr>
          <w:p>
            <w:r>
              <w:rPr>
                <w:rFonts w:ascii="Meiryo UI" w:hAnsi="Meiryo UI"/>
                <w:sz w:val="18"/>
              </w:rPr>
              <w:t>超円高</w:t>
            </w:r>
          </w:p>
        </w:tc>
        <w:tc>
          <w:tcPr>
            <w:tcW w:type="dxa" w:w="1568"/>
          </w:tcPr>
          <w:p>
            <w:r>
              <w:rPr>
                <w:rFonts w:ascii="Meiryo UI" w:hAnsi="Meiryo UI"/>
                <w:sz w:val="18"/>
              </w:rPr>
              <w:t>125円</w:t>
            </w:r>
          </w:p>
        </w:tc>
        <w:tc>
          <w:tcPr>
            <w:tcW w:type="dxa" w:w="1568"/>
          </w:tcPr>
          <w:p>
            <w:r>
              <w:rPr>
                <w:rFonts w:ascii="Meiryo UI" w:hAnsi="Meiryo UI"/>
                <w:sz w:val="18"/>
              </w:rPr>
              <w:t>▲900億円</w:t>
            </w:r>
          </w:p>
        </w:tc>
        <w:tc>
          <w:tcPr>
            <w:tcW w:type="dxa" w:w="1568"/>
          </w:tcPr>
          <w:p>
            <w:r>
              <w:rPr>
                <w:rFonts w:ascii="Meiryo UI" w:hAnsi="Meiryo UI"/>
                <w:sz w:val="18"/>
              </w:rPr>
              <w:t>▲340億円</w:t>
            </w:r>
          </w:p>
        </w:tc>
        <w:tc>
          <w:tcPr>
            <w:tcW w:type="dxa" w:w="1568"/>
          </w:tcPr>
          <w:p>
            <w:r>
              <w:rPr>
                <w:rFonts w:ascii="Meiryo UI" w:hAnsi="Meiryo UI"/>
                <w:sz w:val="18"/>
              </w:rPr>
              <w:t>▲48円</w:t>
            </w:r>
          </w:p>
        </w:tc>
        <w:tc>
          <w:tcPr>
            <w:tcW w:type="dxa" w:w="1568"/>
          </w:tcPr>
          <w:p>
            <w:r>
              <w:rPr>
                <w:rFonts w:ascii="Meiryo UI" w:hAnsi="Meiryo UI"/>
                <w:sz w:val="18"/>
              </w:rPr>
              <w:t>▲約1,185円</w:t>
            </w:r>
          </w:p>
        </w:tc>
      </w:tr>
    </w:tbl>
    <w:p/>
    <w:p>
      <w:r>
        <w:rPr>
          <w:rFonts w:ascii="Meiryo UI" w:hAnsi="Meiryo UI"/>
          <w:sz w:val="20"/>
        </w:rPr>
        <w:t>&gt; 深井コメント：USD/JPY 130円シナリオでは、現在のEPS¥89が¥53程度に低下。PER 24.7倍を前提にすると理論株価が¥1,300台まで下落する可能性。これが「低迷継続の罠」の最大シナリオ。</w:t>
      </w:r>
    </w:p>
    <w:p/>
    <w:p>
      <w:r>
        <w:t>──────────────────────────────────────────────────</w:t>
      </w:r>
    </w:p>
    <w:p/>
    <w:p>
      <w:pPr>
        <w:pStyle w:val="Heading3"/>
      </w:pPr>
      <w:r>
        <w:rPr>
          <w:rFonts w:ascii="Meiryo UI" w:hAnsi="Meiryo UI"/>
          <w:color w:val="2E74B5"/>
        </w:rPr>
        <w:t>2-5. 競合（BD/エドワーズ/メドトロニック）との比較バリュエーション</w:t>
      </w:r>
    </w:p>
    <w:p/>
    <w:tbl>
      <w:tblPr>
        <w:tblStyle w:val="TableGrid"/>
        <w:tblW w:type="auto" w:w="0"/>
        <w:jc w:val="center"/>
        <w:tblLook w:firstColumn="1" w:firstRow="1" w:lastColumn="0" w:lastRow="0" w:noHBand="0" w:noVBand="1" w:val="04A0"/>
      </w:tblPr>
      <w:tblGrid>
        <w:gridCol w:w="1045"/>
        <w:gridCol w:w="1045"/>
        <w:gridCol w:w="1045"/>
        <w:gridCol w:w="1045"/>
        <w:gridCol w:w="1045"/>
        <w:gridCol w:w="1045"/>
        <w:gridCol w:w="1045"/>
        <w:gridCol w:w="1045"/>
        <w:gridCol w:w="1045"/>
      </w:tblGrid>
      <w:tr>
        <w:tc>
          <w:tcPr>
            <w:tcW w:type="dxa" w:w="1045"/>
            <w:shd w:val="clear" w:color="auto" w:fill="2E74B5"/>
          </w:tcPr>
          <w:p>
            <w:r>
              <w:rPr>
                <w:rFonts w:ascii="Meiryo UI" w:hAnsi="Meiryo UI"/>
                <w:b/>
                <w:color w:val="FFFFFF"/>
                <w:sz w:val="18"/>
              </w:rPr>
              <w:t>企業</w:t>
            </w:r>
          </w:p>
        </w:tc>
        <w:tc>
          <w:tcPr>
            <w:tcW w:type="dxa" w:w="1045"/>
            <w:shd w:val="clear" w:color="auto" w:fill="2E74B5"/>
          </w:tcPr>
          <w:p>
            <w:r>
              <w:rPr>
                <w:rFonts w:ascii="Meiryo UI" w:hAnsi="Meiryo UI"/>
                <w:b/>
                <w:color w:val="FFFFFF"/>
                <w:sz w:val="18"/>
              </w:rPr>
              <w:t>ティッカー</w:t>
            </w:r>
          </w:p>
        </w:tc>
        <w:tc>
          <w:tcPr>
            <w:tcW w:type="dxa" w:w="1045"/>
            <w:shd w:val="clear" w:color="auto" w:fill="2E74B5"/>
          </w:tcPr>
          <w:p>
            <w:r>
              <w:rPr>
                <w:rFonts w:ascii="Meiryo UI" w:hAnsi="Meiryo UI"/>
                <w:b/>
                <w:color w:val="FFFFFF"/>
                <w:sz w:val="18"/>
              </w:rPr>
              <w:t>PER</w:t>
            </w:r>
          </w:p>
        </w:tc>
        <w:tc>
          <w:tcPr>
            <w:tcW w:type="dxa" w:w="1045"/>
            <w:shd w:val="clear" w:color="auto" w:fill="2E74B5"/>
          </w:tcPr>
          <w:p>
            <w:r>
              <w:rPr>
                <w:rFonts w:ascii="Meiryo UI" w:hAnsi="Meiryo UI"/>
                <w:b/>
                <w:color w:val="FFFFFF"/>
                <w:sz w:val="18"/>
              </w:rPr>
              <w:t>PBR</w:t>
            </w:r>
          </w:p>
        </w:tc>
        <w:tc>
          <w:tcPr>
            <w:tcW w:type="dxa" w:w="1045"/>
            <w:shd w:val="clear" w:color="auto" w:fill="2E74B5"/>
          </w:tcPr>
          <w:p>
            <w:r>
              <w:rPr>
                <w:rFonts w:ascii="Meiryo UI" w:hAnsi="Meiryo UI"/>
                <w:b/>
                <w:color w:val="FFFFFF"/>
                <w:sz w:val="18"/>
              </w:rPr>
              <w:t>ROE</w:t>
            </w:r>
          </w:p>
        </w:tc>
        <w:tc>
          <w:tcPr>
            <w:tcW w:type="dxa" w:w="1045"/>
            <w:shd w:val="clear" w:color="auto" w:fill="2E74B5"/>
          </w:tcPr>
          <w:p>
            <w:r>
              <w:rPr>
                <w:rFonts w:ascii="Meiryo UI" w:hAnsi="Meiryo UI"/>
                <w:b/>
                <w:color w:val="FFFFFF"/>
                <w:sz w:val="18"/>
              </w:rPr>
              <w:t>EV/EBITDA</w:t>
            </w:r>
          </w:p>
        </w:tc>
        <w:tc>
          <w:tcPr>
            <w:tcW w:type="dxa" w:w="1045"/>
            <w:shd w:val="clear" w:color="auto" w:fill="2E74B5"/>
          </w:tcPr>
          <w:p>
            <w:r>
              <w:rPr>
                <w:rFonts w:ascii="Meiryo UI" w:hAnsi="Meiryo UI"/>
                <w:b/>
                <w:color w:val="FFFFFF"/>
                <w:sz w:val="18"/>
              </w:rPr>
              <w:t>売上成長率(FY24→FY25)</w:t>
            </w:r>
          </w:p>
        </w:tc>
        <w:tc>
          <w:tcPr>
            <w:tcW w:type="dxa" w:w="1045"/>
            <w:shd w:val="clear" w:color="auto" w:fill="2E74B5"/>
          </w:tcPr>
          <w:p>
            <w:r>
              <w:rPr>
                <w:rFonts w:ascii="Meiryo UI" w:hAnsi="Meiryo UI"/>
                <w:b/>
                <w:color w:val="FFFFFF"/>
                <w:sz w:val="18"/>
              </w:rPr>
              <w:t>営業利益率</w:t>
            </w:r>
          </w:p>
        </w:tc>
        <w:tc>
          <w:tcPr>
            <w:tcW w:type="dxa" w:w="1045"/>
            <w:shd w:val="clear" w:color="auto" w:fill="2E74B5"/>
          </w:tcPr>
          <w:p>
            <w:r>
              <w:rPr>
                <w:rFonts w:ascii="Meiryo UI" w:hAnsi="Meiryo UI"/>
                <w:b/>
                <w:color w:val="FFFFFF"/>
                <w:sz w:val="18"/>
              </w:rPr>
              <w:t>配当利回り</w:t>
            </w:r>
          </w:p>
        </w:tc>
      </w:tr>
      <w:tr>
        <w:tc>
          <w:tcPr>
            <w:tcW w:type="dxa" w:w="1045"/>
          </w:tcPr>
          <w:p>
            <w:r>
              <w:rPr>
                <w:rFonts w:ascii="Meiryo UI" w:hAnsi="Meiryo UI"/>
                <w:sz w:val="18"/>
              </w:rPr>
              <w:t>テルモ</w:t>
            </w:r>
          </w:p>
        </w:tc>
        <w:tc>
          <w:tcPr>
            <w:tcW w:type="dxa" w:w="1045"/>
          </w:tcPr>
          <w:p>
            <w:r>
              <w:rPr>
                <w:rFonts w:ascii="Meiryo UI" w:hAnsi="Meiryo UI"/>
                <w:sz w:val="18"/>
              </w:rPr>
              <w:t>4543.T</w:t>
            </w:r>
          </w:p>
        </w:tc>
        <w:tc>
          <w:tcPr>
            <w:tcW w:type="dxa" w:w="1045"/>
          </w:tcPr>
          <w:p>
            <w:r>
              <w:rPr>
                <w:rFonts w:ascii="Meiryo UI" w:hAnsi="Meiryo UI"/>
                <w:sz w:val="18"/>
              </w:rPr>
              <w:t>24.7x</w:t>
            </w:r>
          </w:p>
        </w:tc>
        <w:tc>
          <w:tcPr>
            <w:tcW w:type="dxa" w:w="1045"/>
          </w:tcPr>
          <w:p>
            <w:r>
              <w:rPr>
                <w:rFonts w:ascii="Meiryo UI" w:hAnsi="Meiryo UI"/>
                <w:sz w:val="18"/>
              </w:rPr>
              <w:t>2.12x</w:t>
            </w:r>
          </w:p>
        </w:tc>
        <w:tc>
          <w:tcPr>
            <w:tcW w:type="dxa" w:w="1045"/>
          </w:tcPr>
          <w:p>
            <w:r>
              <w:rPr>
                <w:rFonts w:ascii="Meiryo UI" w:hAnsi="Meiryo UI"/>
                <w:sz w:val="18"/>
              </w:rPr>
              <w:t>8.7%</w:t>
            </w:r>
          </w:p>
        </w:tc>
        <w:tc>
          <w:tcPr>
            <w:tcW w:type="dxa" w:w="1045"/>
          </w:tcPr>
          <w:p>
            <w:r>
              <w:rPr>
                <w:rFonts w:ascii="Meiryo UI" w:hAnsi="Meiryo UI"/>
                <w:sz w:val="18"/>
              </w:rPr>
              <w:t>~16x</w:t>
            </w:r>
          </w:p>
        </w:tc>
        <w:tc>
          <w:tcPr>
            <w:tcW w:type="dxa" w:w="1045"/>
          </w:tcPr>
          <w:p>
            <w:r>
              <w:rPr>
                <w:rFonts w:ascii="Meiryo UI" w:hAnsi="Meiryo UI"/>
                <w:sz w:val="18"/>
              </w:rPr>
              <w:t>+4〜6%（推定）</w:t>
            </w:r>
          </w:p>
        </w:tc>
        <w:tc>
          <w:tcPr>
            <w:tcW w:type="dxa" w:w="1045"/>
          </w:tcPr>
          <w:p>
            <w:r>
              <w:rPr>
                <w:rFonts w:ascii="Meiryo UI" w:hAnsi="Meiryo UI"/>
                <w:sz w:val="18"/>
              </w:rPr>
              <w:t>~14%</w:t>
            </w:r>
          </w:p>
        </w:tc>
        <w:tc>
          <w:tcPr>
            <w:tcW w:type="dxa" w:w="1045"/>
          </w:tcPr>
          <w:p>
            <w:r>
              <w:rPr>
                <w:rFonts w:ascii="Meiryo UI" w:hAnsi="Meiryo UI"/>
                <w:sz w:val="18"/>
              </w:rPr>
              <w:t>~1.0%</w:t>
            </w:r>
          </w:p>
        </w:tc>
      </w:tr>
      <w:tr>
        <w:tc>
          <w:tcPr>
            <w:tcW w:type="dxa" w:w="1045"/>
            <w:shd w:val="clear" w:color="auto" w:fill="DDEBF7"/>
          </w:tcPr>
          <w:p>
            <w:r>
              <w:rPr>
                <w:rFonts w:ascii="Meiryo UI" w:hAnsi="Meiryo UI"/>
                <w:sz w:val="18"/>
              </w:rPr>
              <w:t>BD（ベクトン・ディッキンソン）</w:t>
            </w:r>
          </w:p>
        </w:tc>
        <w:tc>
          <w:tcPr>
            <w:tcW w:type="dxa" w:w="1045"/>
            <w:shd w:val="clear" w:color="auto" w:fill="DDEBF7"/>
          </w:tcPr>
          <w:p>
            <w:r>
              <w:rPr>
                <w:rFonts w:ascii="Meiryo UI" w:hAnsi="Meiryo UI"/>
                <w:sz w:val="18"/>
              </w:rPr>
              <w:t>BDX</w:t>
            </w:r>
          </w:p>
        </w:tc>
        <w:tc>
          <w:tcPr>
            <w:tcW w:type="dxa" w:w="1045"/>
            <w:shd w:val="clear" w:color="auto" w:fill="DDEBF7"/>
          </w:tcPr>
          <w:p>
            <w:r>
              <w:rPr>
                <w:rFonts w:ascii="Meiryo UI" w:hAnsi="Meiryo UI"/>
                <w:sz w:val="18"/>
              </w:rPr>
              <w:t>~18x</w:t>
            </w:r>
          </w:p>
        </w:tc>
        <w:tc>
          <w:tcPr>
            <w:tcW w:type="dxa" w:w="1045"/>
            <w:shd w:val="clear" w:color="auto" w:fill="DDEBF7"/>
          </w:tcPr>
          <w:p>
            <w:r>
              <w:rPr>
                <w:rFonts w:ascii="Meiryo UI" w:hAnsi="Meiryo UI"/>
                <w:sz w:val="18"/>
              </w:rPr>
              <w:t>~2.8x</w:t>
            </w:r>
          </w:p>
        </w:tc>
        <w:tc>
          <w:tcPr>
            <w:tcW w:type="dxa" w:w="1045"/>
            <w:shd w:val="clear" w:color="auto" w:fill="DDEBF7"/>
          </w:tcPr>
          <w:p>
            <w:r>
              <w:rPr>
                <w:rFonts w:ascii="Meiryo UI" w:hAnsi="Meiryo UI"/>
                <w:sz w:val="18"/>
              </w:rPr>
              <w:t>~14%</w:t>
            </w:r>
          </w:p>
        </w:tc>
        <w:tc>
          <w:tcPr>
            <w:tcW w:type="dxa" w:w="1045"/>
            <w:shd w:val="clear" w:color="auto" w:fill="DDEBF7"/>
          </w:tcPr>
          <w:p>
            <w:r>
              <w:rPr>
                <w:rFonts w:ascii="Meiryo UI" w:hAnsi="Meiryo UI"/>
                <w:sz w:val="18"/>
              </w:rPr>
              <w:t>~13x</w:t>
            </w:r>
          </w:p>
        </w:tc>
        <w:tc>
          <w:tcPr>
            <w:tcW w:type="dxa" w:w="1045"/>
            <w:shd w:val="clear" w:color="auto" w:fill="DDEBF7"/>
          </w:tcPr>
          <w:p>
            <w:r>
              <w:rPr>
                <w:rFonts w:ascii="Meiryo UI" w:hAnsi="Meiryo UI"/>
                <w:sz w:val="18"/>
              </w:rPr>
              <w:t>+2〜4%</w:t>
            </w:r>
          </w:p>
        </w:tc>
        <w:tc>
          <w:tcPr>
            <w:tcW w:type="dxa" w:w="1045"/>
            <w:shd w:val="clear" w:color="auto" w:fill="DDEBF7"/>
          </w:tcPr>
          <w:p>
            <w:r>
              <w:rPr>
                <w:rFonts w:ascii="Meiryo UI" w:hAnsi="Meiryo UI"/>
                <w:sz w:val="18"/>
              </w:rPr>
              <w:t>~18%</w:t>
            </w:r>
          </w:p>
        </w:tc>
        <w:tc>
          <w:tcPr>
            <w:tcW w:type="dxa" w:w="1045"/>
            <w:shd w:val="clear" w:color="auto" w:fill="DDEBF7"/>
          </w:tcPr>
          <w:p>
            <w:r>
              <w:rPr>
                <w:rFonts w:ascii="Meiryo UI" w:hAnsi="Meiryo UI"/>
                <w:sz w:val="18"/>
              </w:rPr>
              <w:t>~1.7%</w:t>
            </w:r>
          </w:p>
        </w:tc>
      </w:tr>
      <w:tr>
        <w:tc>
          <w:tcPr>
            <w:tcW w:type="dxa" w:w="1045"/>
          </w:tcPr>
          <w:p>
            <w:r>
              <w:rPr>
                <w:rFonts w:ascii="Meiryo UI" w:hAnsi="Meiryo UI"/>
                <w:sz w:val="18"/>
              </w:rPr>
              <w:t>エドワーズ・ライフサイエンス</w:t>
            </w:r>
          </w:p>
        </w:tc>
        <w:tc>
          <w:tcPr>
            <w:tcW w:type="dxa" w:w="1045"/>
          </w:tcPr>
          <w:p>
            <w:r>
              <w:rPr>
                <w:rFonts w:ascii="Meiryo UI" w:hAnsi="Meiryo UI"/>
                <w:sz w:val="18"/>
              </w:rPr>
              <w:t>EW</w:t>
            </w:r>
          </w:p>
        </w:tc>
        <w:tc>
          <w:tcPr>
            <w:tcW w:type="dxa" w:w="1045"/>
          </w:tcPr>
          <w:p>
            <w:r>
              <w:rPr>
                <w:rFonts w:ascii="Meiryo UI" w:hAnsi="Meiryo UI"/>
                <w:sz w:val="18"/>
              </w:rPr>
              <w:t>~28x</w:t>
            </w:r>
          </w:p>
        </w:tc>
        <w:tc>
          <w:tcPr>
            <w:tcW w:type="dxa" w:w="1045"/>
          </w:tcPr>
          <w:p>
            <w:r>
              <w:rPr>
                <w:rFonts w:ascii="Meiryo UI" w:hAnsi="Meiryo UI"/>
                <w:sz w:val="18"/>
              </w:rPr>
              <w:t>~5.5x</w:t>
            </w:r>
          </w:p>
        </w:tc>
        <w:tc>
          <w:tcPr>
            <w:tcW w:type="dxa" w:w="1045"/>
          </w:tcPr>
          <w:p>
            <w:r>
              <w:rPr>
                <w:rFonts w:ascii="Meiryo UI" w:hAnsi="Meiryo UI"/>
                <w:sz w:val="18"/>
              </w:rPr>
              <w:t>~22%</w:t>
            </w:r>
          </w:p>
        </w:tc>
        <w:tc>
          <w:tcPr>
            <w:tcW w:type="dxa" w:w="1045"/>
          </w:tcPr>
          <w:p>
            <w:r>
              <w:rPr>
                <w:rFonts w:ascii="Meiryo UI" w:hAnsi="Meiryo UI"/>
                <w:sz w:val="18"/>
              </w:rPr>
              <w:t>~22x</w:t>
            </w:r>
          </w:p>
        </w:tc>
        <w:tc>
          <w:tcPr>
            <w:tcW w:type="dxa" w:w="1045"/>
          </w:tcPr>
          <w:p>
            <w:r>
              <w:rPr>
                <w:rFonts w:ascii="Meiryo UI" w:hAnsi="Meiryo UI"/>
                <w:sz w:val="18"/>
              </w:rPr>
              <w:t>+8〜10%</w:t>
            </w:r>
          </w:p>
        </w:tc>
        <w:tc>
          <w:tcPr>
            <w:tcW w:type="dxa" w:w="1045"/>
          </w:tcPr>
          <w:p>
            <w:r>
              <w:rPr>
                <w:rFonts w:ascii="Meiryo UI" w:hAnsi="Meiryo UI"/>
                <w:sz w:val="18"/>
              </w:rPr>
              <w:t>~28%</w:t>
            </w:r>
          </w:p>
        </w:tc>
        <w:tc>
          <w:tcPr>
            <w:tcW w:type="dxa" w:w="1045"/>
          </w:tcPr>
          <w:p>
            <w:r>
              <w:rPr>
                <w:rFonts w:ascii="Meiryo UI" w:hAnsi="Meiryo UI"/>
                <w:sz w:val="18"/>
              </w:rPr>
              <w:t>0%</w:t>
            </w:r>
          </w:p>
        </w:tc>
      </w:tr>
      <w:tr>
        <w:tc>
          <w:tcPr>
            <w:tcW w:type="dxa" w:w="1045"/>
            <w:shd w:val="clear" w:color="auto" w:fill="DDEBF7"/>
          </w:tcPr>
          <w:p>
            <w:r>
              <w:rPr>
                <w:rFonts w:ascii="Meiryo UI" w:hAnsi="Meiryo UI"/>
                <w:sz w:val="18"/>
              </w:rPr>
              <w:t>メドトロニック</w:t>
            </w:r>
          </w:p>
        </w:tc>
        <w:tc>
          <w:tcPr>
            <w:tcW w:type="dxa" w:w="1045"/>
            <w:shd w:val="clear" w:color="auto" w:fill="DDEBF7"/>
          </w:tcPr>
          <w:p>
            <w:r>
              <w:rPr>
                <w:rFonts w:ascii="Meiryo UI" w:hAnsi="Meiryo UI"/>
                <w:sz w:val="18"/>
              </w:rPr>
              <w:t>MDT</w:t>
            </w:r>
          </w:p>
        </w:tc>
        <w:tc>
          <w:tcPr>
            <w:tcW w:type="dxa" w:w="1045"/>
            <w:shd w:val="clear" w:color="auto" w:fill="DDEBF7"/>
          </w:tcPr>
          <w:p>
            <w:r>
              <w:rPr>
                <w:rFonts w:ascii="Meiryo UI" w:hAnsi="Meiryo UI"/>
                <w:sz w:val="18"/>
              </w:rPr>
              <w:t>~16x</w:t>
            </w:r>
          </w:p>
        </w:tc>
        <w:tc>
          <w:tcPr>
            <w:tcW w:type="dxa" w:w="1045"/>
            <w:shd w:val="clear" w:color="auto" w:fill="DDEBF7"/>
          </w:tcPr>
          <w:p>
            <w:r>
              <w:rPr>
                <w:rFonts w:ascii="Meiryo UI" w:hAnsi="Meiryo UI"/>
                <w:sz w:val="18"/>
              </w:rPr>
              <w:t>~2.0x</w:t>
            </w:r>
          </w:p>
        </w:tc>
        <w:tc>
          <w:tcPr>
            <w:tcW w:type="dxa" w:w="1045"/>
            <w:shd w:val="clear" w:color="auto" w:fill="DDEBF7"/>
          </w:tcPr>
          <w:p>
            <w:r>
              <w:rPr>
                <w:rFonts w:ascii="Meiryo UI" w:hAnsi="Meiryo UI"/>
                <w:sz w:val="18"/>
              </w:rPr>
              <w:t>~10%</w:t>
            </w:r>
          </w:p>
        </w:tc>
        <w:tc>
          <w:tcPr>
            <w:tcW w:type="dxa" w:w="1045"/>
            <w:shd w:val="clear" w:color="auto" w:fill="DDEBF7"/>
          </w:tcPr>
          <w:p>
            <w:r>
              <w:rPr>
                <w:rFonts w:ascii="Meiryo UI" w:hAnsi="Meiryo UI"/>
                <w:sz w:val="18"/>
              </w:rPr>
              <w:t>~12x</w:t>
            </w:r>
          </w:p>
        </w:tc>
        <w:tc>
          <w:tcPr>
            <w:tcW w:type="dxa" w:w="1045"/>
            <w:shd w:val="clear" w:color="auto" w:fill="DDEBF7"/>
          </w:tcPr>
          <w:p>
            <w:r>
              <w:rPr>
                <w:rFonts w:ascii="Meiryo UI" w:hAnsi="Meiryo UI"/>
                <w:sz w:val="18"/>
              </w:rPr>
              <w:t>+2〜3%</w:t>
            </w:r>
          </w:p>
        </w:tc>
        <w:tc>
          <w:tcPr>
            <w:tcW w:type="dxa" w:w="1045"/>
            <w:shd w:val="clear" w:color="auto" w:fill="DDEBF7"/>
          </w:tcPr>
          <w:p>
            <w:r>
              <w:rPr>
                <w:rFonts w:ascii="Meiryo UI" w:hAnsi="Meiryo UI"/>
                <w:sz w:val="18"/>
              </w:rPr>
              <w:t>~22%</w:t>
            </w:r>
          </w:p>
        </w:tc>
        <w:tc>
          <w:tcPr>
            <w:tcW w:type="dxa" w:w="1045"/>
            <w:shd w:val="clear" w:color="auto" w:fill="DDEBF7"/>
          </w:tcPr>
          <w:p>
            <w:r>
              <w:rPr>
                <w:rFonts w:ascii="Meiryo UI" w:hAnsi="Meiryo UI"/>
                <w:sz w:val="18"/>
              </w:rPr>
              <w:t>~3.4%</w:t>
            </w:r>
          </w:p>
        </w:tc>
      </w:tr>
      <w:tr>
        <w:tc>
          <w:tcPr>
            <w:tcW w:type="dxa" w:w="1045"/>
          </w:tcPr>
          <w:p>
            <w:r>
              <w:rPr>
                <w:rFonts w:ascii="Meiryo UI" w:hAnsi="Meiryo UI"/>
                <w:sz w:val="18"/>
              </w:rPr>
              <w:t>日本光電</w:t>
            </w:r>
          </w:p>
        </w:tc>
        <w:tc>
          <w:tcPr>
            <w:tcW w:type="dxa" w:w="1045"/>
          </w:tcPr>
          <w:p>
            <w:r>
              <w:rPr>
                <w:rFonts w:ascii="Meiryo UI" w:hAnsi="Meiryo UI"/>
                <w:sz w:val="18"/>
              </w:rPr>
              <w:t>6849.T</w:t>
            </w:r>
          </w:p>
        </w:tc>
        <w:tc>
          <w:tcPr>
            <w:tcW w:type="dxa" w:w="1045"/>
          </w:tcPr>
          <w:p>
            <w:r>
              <w:rPr>
                <w:rFonts w:ascii="Meiryo UI" w:hAnsi="Meiryo UI"/>
                <w:sz w:val="18"/>
              </w:rPr>
              <w:t>~22x</w:t>
            </w:r>
          </w:p>
        </w:tc>
        <w:tc>
          <w:tcPr>
            <w:tcW w:type="dxa" w:w="1045"/>
          </w:tcPr>
          <w:p>
            <w:r>
              <w:rPr>
                <w:rFonts w:ascii="Meiryo UI" w:hAnsi="Meiryo UI"/>
                <w:sz w:val="18"/>
              </w:rPr>
              <w:t>~1.8x</w:t>
            </w:r>
          </w:p>
        </w:tc>
        <w:tc>
          <w:tcPr>
            <w:tcW w:type="dxa" w:w="1045"/>
          </w:tcPr>
          <w:p>
            <w:r>
              <w:rPr>
                <w:rFonts w:ascii="Meiryo UI" w:hAnsi="Meiryo UI"/>
                <w:sz w:val="18"/>
              </w:rPr>
              <w:t>~8%</w:t>
            </w:r>
          </w:p>
        </w:tc>
        <w:tc>
          <w:tcPr>
            <w:tcW w:type="dxa" w:w="1045"/>
          </w:tcPr>
          <w:p>
            <w:r>
              <w:rPr>
                <w:rFonts w:ascii="Meiryo UI" w:hAnsi="Meiryo UI"/>
                <w:sz w:val="18"/>
              </w:rPr>
              <w:t>~10x</w:t>
            </w:r>
          </w:p>
        </w:tc>
        <w:tc>
          <w:tcPr>
            <w:tcW w:type="dxa" w:w="1045"/>
          </w:tcPr>
          <w:p>
            <w:r>
              <w:rPr>
                <w:rFonts w:ascii="Meiryo UI" w:hAnsi="Meiryo UI"/>
                <w:sz w:val="18"/>
              </w:rPr>
              <w:t>+3〜5%</w:t>
            </w:r>
          </w:p>
        </w:tc>
        <w:tc>
          <w:tcPr>
            <w:tcW w:type="dxa" w:w="1045"/>
          </w:tcPr>
          <w:p>
            <w:r>
              <w:rPr>
                <w:rFonts w:ascii="Meiryo UI" w:hAnsi="Meiryo UI"/>
                <w:sz w:val="18"/>
              </w:rPr>
              <w:t>~10%</w:t>
            </w:r>
          </w:p>
        </w:tc>
        <w:tc>
          <w:tcPr>
            <w:tcW w:type="dxa" w:w="1045"/>
          </w:tcPr>
          <w:p>
            <w:r>
              <w:rPr>
                <w:rFonts w:ascii="Meiryo UI" w:hAnsi="Meiryo UI"/>
                <w:sz w:val="18"/>
              </w:rPr>
              <w:t>~1.2%</w:t>
            </w:r>
          </w:p>
        </w:tc>
      </w:tr>
    </w:tbl>
    <w:p/>
    <w:p>
      <w:r>
        <w:rPr>
          <w:rFonts w:ascii="Meiryo UI" w:hAnsi="Meiryo UI"/>
          <w:sz w:val="20"/>
        </w:rPr>
        <w:t>深井バリュエーションコメント：</w:t>
      </w:r>
    </w:p>
    <w:p/>
    <w:p>
      <w:pPr>
        <w:shd w:val="clear" w:color="auto" w:fill="F2F2F2"/>
      </w:pPr>
      <w:r>
        <w:rPr>
          <w:rFonts w:ascii="Courier New" w:hAnsi="Courier New"/>
          <w:sz w:val="16"/>
        </w:rPr>
        <w:t>テルモのPER 24.7倍は、競合のBD（18倍）・MDT（16倍）より割高。</w:t>
        <w:br/>
        <w:t>エドワーズ（28倍）と比較すると相対的に安価に見えるが、</w:t>
        <w:br/>
        <w:t>エドワーズのROE 22% vs テルモROE 8.7%という収益性の差を考慮すると、</w:t>
        <w:br/>
        <w:t>テルモの割高感は依然として解消されていない。</w:t>
        <w:br/>
        <w:br/>
        <w:t>【PEG比率による調整】</w:t>
        <w:br/>
        <w:t xml:space="preserve">  テルモ：PER 24.7 ÷ 成長率5%（基本ケース） = PEG 4.9  → 過大評価気味</w:t>
        <w:br/>
        <w:t xml:space="preserve">  BD：PER 18 ÷ 成長率3% = PEG 6.0  → テルモより更に割高</w:t>
        <w:br/>
        <w:t xml:space="preserve">  エドワーズ：PER 28 ÷ 成長率9% = PEG 3.1  → 成長に見合った評価</w:t>
        <w:br/>
        <w:t xml:space="preserve">  MDT：PER 16 ÷ 成長率2.5% = PEG 6.4  → 割安だが低成長</w:t>
        <w:br/>
        <w:br/>
        <w:t>→ PEG分析では、テルモはエドワーズより相対的に魅力的だが、</w:t>
        <w:br/>
        <w:t xml:space="preserve">  成長率がベース5%に留まる限り「高成長割安株」とは言えない。</w:t>
        <w:br/>
        <w:t xml:space="preserve">  成長率が強気シナリオ（8〜10%）に達すれば初めてPEG 2.5〜3.0の</w:t>
        <w:br/>
        <w:t xml:space="preserve">  妥当バリュエーションに収まる。</w:t>
      </w:r>
    </w:p>
    <w:p/>
    <w:p>
      <w:r>
        <w:t>──────────────────────────────────────────────────</w:t>
      </w:r>
    </w:p>
    <w:p/>
    <w:p>
      <w:pPr>
        <w:pStyle w:val="Heading3"/>
      </w:pPr>
      <w:r>
        <w:rPr>
          <w:rFonts w:ascii="Meiryo UI" w:hAnsi="Meiryo UI"/>
          <w:color w:val="2E74B5"/>
        </w:rPr>
        <w:t>2-6. 不動産含み益NAV算出</w:t>
      </w:r>
    </w:p>
    <w:p/>
    <w:p>
      <w:pPr>
        <w:shd w:val="clear" w:color="auto" w:fill="F2F2F2"/>
      </w:pPr>
      <w:r>
        <w:rPr>
          <w:rFonts w:ascii="Courier New" w:hAnsi="Courier New"/>
          <w:sz w:val="16"/>
        </w:rPr>
        <w:t>【テルモの主要不動産資産】</w:t>
        <w:br/>
        <w:br/>
        <w:t>公開情報・登記簿・IR開示ベースの推定：</w:t>
        <w:br/>
        <w:br/>
        <w:t>① 本社（東京都渋谷区大山町）</w:t>
        <w:br/>
        <w:t xml:space="preserve">  ・取得簿価（推定）：約80億円</w:t>
        <w:br/>
        <w:t xml:space="preserve">  ・時価（路線価×容積率補正）：約180〜220億円</w:t>
        <w:br/>
        <w:t xml:space="preserve">  ・含み益：約100〜140億円</w:t>
        <w:br/>
        <w:br/>
        <w:t>② 富士宮工場（静岡県富士宮市）</w:t>
        <w:br/>
        <w:t xml:space="preserve">  ・大規模工場用地（約30万㎡）</w:t>
        <w:br/>
        <w:t xml:space="preserve">  ・取得簿価（推定）：約120億円</w:t>
        <w:br/>
        <w:t xml:space="preserve">  ・時価推定：約160〜180億円</w:t>
        <w:br/>
        <w:t xml:space="preserve">  ・含み益：約40〜60億円</w:t>
        <w:br/>
        <w:br/>
        <w:t>③ 各地営業所・物流拠点（国内約30拠点）</w:t>
        <w:br/>
        <w:t xml:space="preserve">  ・簿価合計（推定）：約150億円</w:t>
        <w:br/>
        <w:t xml:space="preserve">  ・時価合計（推定）：約200〜240億円</w:t>
        <w:br/>
        <w:t xml:space="preserve">  ・含み益：約50〜90億円</w:t>
        <w:br/>
        <w:br/>
        <w:t>④ 海外不動産（欧米・アジア拠点）</w:t>
        <w:br/>
        <w:t xml:space="preserve">  ・主要拠点（米国ニュージャージー、ベルギー等）</w:t>
        <w:br/>
        <w:t xml:space="preserve">  ・含み益：約50〜100億円（USD/EURベース換算）</w:t>
        <w:br/>
        <w:br/>
        <w:t>【NAV計算】</w:t>
        <w:br/>
        <w:t>────────────────────────────────────────────</w:t>
        <w:br/>
        <w:t xml:space="preserve">  不動産含み益合計（税前）  ：約240〜390億円</w:t>
        <w:br/>
        <w:t xml:space="preserve">  実効税率（35%）適用後    ：約156〜254億円（税後含み益）</w:t>
        <w:br/>
        <w:t xml:space="preserve">  発行済株式数（推定）       ：約703,670千株（≒7.04億株）</w:t>
        <w:br/>
        <w:t xml:space="preserve">  </w:t>
        <w:br/>
        <w:t xml:space="preserve">  NAV調整額/株             ：約222〜361円/株</w:t>
        <w:br/>
        <w:t xml:space="preserve">  （加重中央値）             ：約280円/株</w:t>
        <w:br/>
        <w:t>────────────────────────────────────────────</w:t>
        <w:br/>
        <w:t xml:space="preserve">  現在のBPS（¥1,032）+ NAV調整（¥280）= 修正BPS：¥1,312</w:t>
        <w:br/>
        <w:br/>
        <w:t xml:space="preserve">  修正PBR（現在株価¥2,186 ÷ 修正BPS¥1,312）= 1.67倍</w:t>
        <w:br/>
        <w:t xml:space="preserve">  → NAV考慮後はバリュエーション的に中立〜やや割高圏</w:t>
      </w:r>
    </w:p>
    <w:p/>
    <w:p>
      <w:r>
        <w:rPr>
          <w:rFonts w:ascii="Meiryo UI" w:hAnsi="Meiryo UI"/>
          <w:sz w:val="20"/>
        </w:rPr>
        <w:t>&gt; 深井コメント：不動産含み益を加味してもPBRは1.67倍に低下するのみで、「割安な資産株」とまでは言えない。ただし純粋な解散価値からの下値サポートラインとして「修正BPS ¥1,312」は意味を持つ。</w:t>
      </w:r>
    </w:p>
    <w:p/>
    <w:p>
      <w:r>
        <w:t>──────────────────────────────────────────────────</w:t>
      </w:r>
    </w:p>
    <w:p/>
    <w:p>
      <w:pPr>
        <w:pStyle w:val="Heading3"/>
      </w:pPr>
      <w:r>
        <w:rPr>
          <w:rFonts w:ascii="Meiryo UI" w:hAnsi="Meiryo UI"/>
          <w:color w:val="2E74B5"/>
        </w:rPr>
        <w:t>2-7. 「本物の回復」か「低迷継続の罠」か — 最終判定</w:t>
      </w:r>
    </w:p>
    <w:p/>
    <w:p>
      <w:pPr>
        <w:shd w:val="clear" w:color="auto" w:fill="F2F2F2"/>
      </w:pPr>
      <w:r>
        <w:rPr>
          <w:rFonts w:ascii="Courier New" w:hAnsi="Courier New"/>
          <w:sz w:val="16"/>
        </w:rPr>
        <w:t>【判定フレームワーク：5指標チェック】</w:t>
        <w:br/>
        <w:br/>
        <w:t>指標1：低迷原因の構造性</w:t>
        <w:br/>
        <w:t xml:space="preserve">  → 約40〜45%が構造的（逃げられない）</w:t>
        <w:br/>
        <w:t xml:space="preserve">  → ✗ 完全なリバウンドシナリオには不安あり</w:t>
        <w:br/>
        <w:br/>
        <w:t>指標2：収益力の実質的回復</w:t>
        <w:br/>
        <w:t xml:space="preserve">  → ROE 8.7%（業界平均10〜15%に対し低水準）</w:t>
        <w:br/>
        <w:t xml:space="preserve">  → 営業利益率改善が数四半期続いているかの確認が必要</w:t>
        <w:br/>
        <w:t xml:space="preserve">  → △ 部分的改善が必要</w:t>
        <w:br/>
        <w:br/>
        <w:t>指標3：為替の方向性</w:t>
        <w:br/>
        <w:t xml:space="preserve">  → 円高トレンドが継続する限り、見かけ上の低迷が続く</w:t>
        <w:br/>
        <w:t xml:space="preserve">  → ✗ 現時点では円高リスクが上値を抑制</w:t>
        <w:br/>
        <w:br/>
        <w:t>指標4：カタリストの具体性</w:t>
        <w:br/>
        <w:t xml:space="preserve">  → CAR-T細胞処理システム（2026〜2027年に本格立ち上がり）は具体的</w:t>
        <w:br/>
        <w:t xml:space="preserve">  → 強気シナリオの実現可能性は中程度</w:t>
        <w:br/>
        <w:t xml:space="preserve">  → △ カタリストは実在するが時間軸が不明確</w:t>
        <w:br/>
        <w:br/>
        <w:t>指標5：バリュエーション（割安感）</w:t>
        <w:br/>
        <w:t xml:space="preserve">  → PER 24.7倍（ROE 8.7%に対しては割高）</w:t>
        <w:br/>
        <w:t xml:space="preserve">  → NAV調整後修正PBR 1.67倍（バリュー的な安全域は薄い）</w:t>
        <w:br/>
        <w:t xml:space="preserve">  → ✗ 現在株価に「リバウンド期待」が既に織り込まれている</w:t>
        <w:br/>
        <w:br/>
        <w:t>──────────────────────────────────────────────</w:t>
        <w:br/>
        <w:t>【最終判定】</w:t>
        <w:br/>
        <w:br/>
        <w:t>「低迷継続の罠」の可能性：55%</w:t>
        <w:br/>
        <w:t>「本物の回復」の可能性：45%</w:t>
        <w:br/>
        <w:br/>
        <w:t>▶ 現時点では「低迷継続の罠」をやや優勢と判断。</w:t>
        <w:br/>
        <w:br/>
        <w:t>理由：</w:t>
        <w:br/>
        <w:t>1. 円高転換リスクが最大の業績下押し要因として顕在化中</w:t>
        <w:br/>
        <w:t>2. ROE 8.7%は「改善の途上」であり「回復完了」ではない</w:t>
        <w:br/>
        <w:t>3. PER 24.7倍という現在の株価には「リバウンド期待」が先行して</w:t>
        <w:br/>
        <w:t xml:space="preserve">   織り込まれており、回復が業績として確認される前に株価が</w:t>
        <w:br/>
        <w:t xml:space="preserve">   先取りしている可能性</w:t>
        <w:br/>
        <w:t>4. ただし、CAR-T細胞処理・BCT消耗品リカーリングという</w:t>
        <w:br/>
        <w:t xml:space="preserve">   構造的成長ストーリーは本物であり、2〜3年の時間軸で</w:t>
        <w:br/>
        <w:t xml:space="preserve">   「本物の回復」に転換する可能性は排除できない</w:t>
        <w:br/>
        <w:br/>
        <w:t>推奨アクション：</w:t>
        <w:br/>
        <w:t>→「フル買い」ではなく「ウォッチリスト入り + 条件付きエントリー」</w:t>
        <w:br/>
        <w:t>→ 具体的な買い場の条件は§8で詳述</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直近FY実績（FY2025・2026年3月期推定）</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FY2023実績</w:t>
            </w:r>
          </w:p>
        </w:tc>
        <w:tc>
          <w:tcPr>
            <w:tcW w:type="dxa" w:w="1881"/>
            <w:shd w:val="clear" w:color="auto" w:fill="2E74B5"/>
          </w:tcPr>
          <w:p>
            <w:r>
              <w:rPr>
                <w:rFonts w:ascii="Meiryo UI" w:hAnsi="Meiryo UI"/>
                <w:b/>
                <w:color w:val="FFFFFF"/>
                <w:sz w:val="18"/>
              </w:rPr>
              <w:t>FY2024実績</w:t>
            </w:r>
          </w:p>
        </w:tc>
        <w:tc>
          <w:tcPr>
            <w:tcW w:type="dxa" w:w="1881"/>
            <w:shd w:val="clear" w:color="auto" w:fill="2E74B5"/>
          </w:tcPr>
          <w:p>
            <w:r>
              <w:rPr>
                <w:rFonts w:ascii="Meiryo UI" w:hAnsi="Meiryo UI"/>
                <w:b/>
                <w:color w:val="FFFFFF"/>
                <w:sz w:val="18"/>
              </w:rPr>
              <w:t>FY2025E推定</w:t>
            </w:r>
          </w:p>
        </w:tc>
        <w:tc>
          <w:tcPr>
            <w:tcW w:type="dxa" w:w="1881"/>
            <w:shd w:val="clear" w:color="auto" w:fill="2E74B5"/>
          </w:tcPr>
          <w:p>
            <w:r>
              <w:rPr>
                <w:rFonts w:ascii="Meiryo UI" w:hAnsi="Meiryo UI"/>
                <w:b/>
                <w:color w:val="FFFFFF"/>
                <w:sz w:val="18"/>
              </w:rPr>
              <w:t>YoY</w:t>
            </w:r>
          </w:p>
        </w:tc>
      </w:tr>
      <w:tr>
        <w:tc>
          <w:tcPr>
            <w:tcW w:type="dxa" w:w="1881"/>
          </w:tcPr>
          <w:p>
            <w:r>
              <w:rPr>
                <w:rFonts w:ascii="Meiryo UI" w:hAnsi="Meiryo UI"/>
                <w:sz w:val="18"/>
              </w:rPr>
              <w:t>売上高</w:t>
            </w:r>
          </w:p>
        </w:tc>
        <w:tc>
          <w:tcPr>
            <w:tcW w:type="dxa" w:w="1881"/>
          </w:tcPr>
          <w:p>
            <w:r>
              <w:rPr>
                <w:rFonts w:ascii="Meiryo UI" w:hAnsi="Meiryo UI"/>
                <w:sz w:val="18"/>
              </w:rPr>
              <w:t>約8,205億円</w:t>
            </w:r>
          </w:p>
        </w:tc>
        <w:tc>
          <w:tcPr>
            <w:tcW w:type="dxa" w:w="1881"/>
          </w:tcPr>
          <w:p>
            <w:r>
              <w:rPr>
                <w:rFonts w:ascii="Meiryo UI" w:hAnsi="Meiryo UI"/>
                <w:sz w:val="18"/>
              </w:rPr>
              <w:t>約8,741億円</w:t>
            </w:r>
          </w:p>
        </w:tc>
        <w:tc>
          <w:tcPr>
            <w:tcW w:type="dxa" w:w="1881"/>
          </w:tcPr>
          <w:p>
            <w:r>
              <w:rPr>
                <w:rFonts w:ascii="Meiryo UI" w:hAnsi="Meiryo UI"/>
                <w:sz w:val="18"/>
              </w:rPr>
              <w:t>約8,450〜8,600億円</w:t>
            </w:r>
          </w:p>
        </w:tc>
        <w:tc>
          <w:tcPr>
            <w:tcW w:type="dxa" w:w="1881"/>
          </w:tcPr>
          <w:p>
            <w:r>
              <w:rPr>
                <w:rFonts w:ascii="Meiryo UI" w:hAnsi="Meiryo UI"/>
                <w:sz w:val="18"/>
              </w:rPr>
              <w:t>▲1〜+0.5%</w:t>
            </w:r>
          </w:p>
        </w:tc>
      </w:tr>
      <w:tr>
        <w:tc>
          <w:tcPr>
            <w:tcW w:type="dxa" w:w="1881"/>
            <w:shd w:val="clear" w:color="auto" w:fill="DDEBF7"/>
          </w:tcPr>
          <w:p>
            <w:r>
              <w:rPr>
                <w:rFonts w:ascii="Meiryo UI" w:hAnsi="Meiryo UI"/>
                <w:sz w:val="18"/>
              </w:rPr>
              <w:t>売上総利益率</w:t>
            </w:r>
          </w:p>
        </w:tc>
        <w:tc>
          <w:tcPr>
            <w:tcW w:type="dxa" w:w="1881"/>
            <w:shd w:val="clear" w:color="auto" w:fill="DDEBF7"/>
          </w:tcPr>
          <w:p>
            <w:r>
              <w:rPr>
                <w:rFonts w:ascii="Meiryo UI" w:hAnsi="Meiryo UI"/>
                <w:sz w:val="18"/>
              </w:rPr>
              <w:t>約57%</w:t>
            </w:r>
          </w:p>
        </w:tc>
        <w:tc>
          <w:tcPr>
            <w:tcW w:type="dxa" w:w="1881"/>
            <w:shd w:val="clear" w:color="auto" w:fill="DDEBF7"/>
          </w:tcPr>
          <w:p>
            <w:r>
              <w:rPr>
                <w:rFonts w:ascii="Meiryo UI" w:hAnsi="Meiryo UI"/>
                <w:sz w:val="18"/>
              </w:rPr>
              <w:t>約57%</w:t>
            </w:r>
          </w:p>
        </w:tc>
        <w:tc>
          <w:tcPr>
            <w:tcW w:type="dxa" w:w="1881"/>
            <w:shd w:val="clear" w:color="auto" w:fill="DDEBF7"/>
          </w:tcPr>
          <w:p>
            <w:r>
              <w:rPr>
                <w:rFonts w:ascii="Meiryo UI" w:hAnsi="Meiryo UI"/>
                <w:sz w:val="18"/>
              </w:rPr>
              <w:t>約56〜57%</w:t>
            </w:r>
          </w:p>
        </w:tc>
        <w:tc>
          <w:tcPr>
            <w:tcW w:type="dxa" w:w="1881"/>
            <w:shd w:val="clear" w:color="auto" w:fill="DDEBF7"/>
          </w:tcPr>
          <w:p>
            <w:r>
              <w:rPr>
                <w:rFonts w:ascii="Meiryo UI" w:hAnsi="Meiryo UI"/>
                <w:sz w:val="18"/>
              </w:rPr>
              <w:t>横ばい</w:t>
            </w:r>
          </w:p>
        </w:tc>
      </w:tr>
      <w:tr>
        <w:tc>
          <w:tcPr>
            <w:tcW w:type="dxa" w:w="1881"/>
          </w:tcPr>
          <w:p>
            <w:r>
              <w:rPr>
                <w:rFonts w:ascii="Meiryo UI" w:hAnsi="Meiryo UI"/>
                <w:sz w:val="18"/>
              </w:rPr>
              <w:t>営業利益</w:t>
            </w:r>
          </w:p>
        </w:tc>
        <w:tc>
          <w:tcPr>
            <w:tcW w:type="dxa" w:w="1881"/>
          </w:tcPr>
          <w:p>
            <w:r>
              <w:rPr>
                <w:rFonts w:ascii="Meiryo UI" w:hAnsi="Meiryo UI"/>
                <w:sz w:val="18"/>
              </w:rPr>
              <w:t>約1,100億円</w:t>
            </w:r>
          </w:p>
        </w:tc>
        <w:tc>
          <w:tcPr>
            <w:tcW w:type="dxa" w:w="1881"/>
          </w:tcPr>
          <w:p>
            <w:r>
              <w:rPr>
                <w:rFonts w:ascii="Meiryo UI" w:hAnsi="Meiryo UI"/>
                <w:sz w:val="18"/>
              </w:rPr>
              <w:t>約1,180億円</w:t>
            </w:r>
          </w:p>
        </w:tc>
        <w:tc>
          <w:tcPr>
            <w:tcW w:type="dxa" w:w="1881"/>
          </w:tcPr>
          <w:p>
            <w:r>
              <w:rPr>
                <w:rFonts w:ascii="Meiryo UI" w:hAnsi="Meiryo UI"/>
                <w:sz w:val="18"/>
              </w:rPr>
              <w:t>約1,150〜1,220億円</w:t>
            </w:r>
          </w:p>
        </w:tc>
        <w:tc>
          <w:tcPr>
            <w:tcW w:type="dxa" w:w="1881"/>
          </w:tcPr>
          <w:p>
            <w:r>
              <w:rPr>
                <w:rFonts w:ascii="Meiryo UI" w:hAnsi="Meiryo UI"/>
                <w:sz w:val="18"/>
              </w:rPr>
              <w:t>▲2〜+3%</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約13.4%</w:t>
            </w:r>
          </w:p>
        </w:tc>
        <w:tc>
          <w:tcPr>
            <w:tcW w:type="dxa" w:w="1881"/>
            <w:shd w:val="clear" w:color="auto" w:fill="DDEBF7"/>
          </w:tcPr>
          <w:p>
            <w:r>
              <w:rPr>
                <w:rFonts w:ascii="Meiryo UI" w:hAnsi="Meiryo UI"/>
                <w:sz w:val="18"/>
              </w:rPr>
              <w:t>約13.5%</w:t>
            </w:r>
          </w:p>
        </w:tc>
        <w:tc>
          <w:tcPr>
            <w:tcW w:type="dxa" w:w="1881"/>
            <w:shd w:val="clear" w:color="auto" w:fill="DDEBF7"/>
          </w:tcPr>
          <w:p>
            <w:r>
              <w:rPr>
                <w:rFonts w:ascii="Meiryo UI" w:hAnsi="Meiryo UI"/>
                <w:sz w:val="18"/>
              </w:rPr>
              <w:t>約13.5〜14.2%</w:t>
            </w:r>
          </w:p>
        </w:tc>
        <w:tc>
          <w:tcPr>
            <w:tcW w:type="dxa" w:w="1881"/>
            <w:shd w:val="clear" w:color="auto" w:fill="DDEBF7"/>
          </w:tcPr>
          <w:p>
            <w:r>
              <w:rPr>
                <w:rFonts w:ascii="Meiryo UI" w:hAnsi="Meiryo UI"/>
                <w:sz w:val="18"/>
              </w:rPr>
              <w:t>微改善</w:t>
            </w:r>
          </w:p>
        </w:tc>
      </w:tr>
      <w:tr>
        <w:tc>
          <w:tcPr>
            <w:tcW w:type="dxa" w:w="1881"/>
          </w:tcPr>
          <w:p>
            <w:r>
              <w:rPr>
                <w:rFonts w:ascii="Meiryo UI" w:hAnsi="Meiryo UI"/>
                <w:sz w:val="18"/>
              </w:rPr>
              <w:t>当期純利益</w:t>
            </w:r>
          </w:p>
        </w:tc>
        <w:tc>
          <w:tcPr>
            <w:tcW w:type="dxa" w:w="1881"/>
          </w:tcPr>
          <w:p>
            <w:r>
              <w:rPr>
                <w:rFonts w:ascii="Meiryo UI" w:hAnsi="Meiryo UI"/>
                <w:sz w:val="18"/>
              </w:rPr>
              <w:t>約830億円</w:t>
            </w:r>
          </w:p>
        </w:tc>
        <w:tc>
          <w:tcPr>
            <w:tcW w:type="dxa" w:w="1881"/>
          </w:tcPr>
          <w:p>
            <w:r>
              <w:rPr>
                <w:rFonts w:ascii="Meiryo UI" w:hAnsi="Meiryo UI"/>
                <w:sz w:val="18"/>
              </w:rPr>
              <w:t>約870億円</w:t>
            </w:r>
          </w:p>
        </w:tc>
        <w:tc>
          <w:tcPr>
            <w:tcW w:type="dxa" w:w="1881"/>
          </w:tcPr>
          <w:p>
            <w:r>
              <w:rPr>
                <w:rFonts w:ascii="Meiryo UI" w:hAnsi="Meiryo UI"/>
                <w:sz w:val="18"/>
              </w:rPr>
              <w:t>約820〜880億円</w:t>
            </w:r>
          </w:p>
        </w:tc>
        <w:tc>
          <w:tcPr>
            <w:tcW w:type="dxa" w:w="1881"/>
          </w:tcPr>
          <w:p>
            <w:r>
              <w:rPr>
                <w:rFonts w:ascii="Meiryo UI" w:hAnsi="Meiryo UI"/>
                <w:sz w:val="18"/>
              </w:rPr>
              <w:t>▲5〜+1%</w:t>
            </w:r>
          </w:p>
        </w:tc>
      </w:tr>
      <w:tr>
        <w:tc>
          <w:tcPr>
            <w:tcW w:type="dxa" w:w="1881"/>
            <w:shd w:val="clear" w:color="auto" w:fill="DDEBF7"/>
          </w:tcPr>
          <w:p>
            <w:r>
              <w:rPr>
                <w:rFonts w:ascii="Meiryo UI" w:hAnsi="Meiryo UI"/>
                <w:sz w:val="18"/>
              </w:rPr>
              <w:t>EPS</w:t>
            </w:r>
          </w:p>
        </w:tc>
        <w:tc>
          <w:tcPr>
            <w:tcW w:type="dxa" w:w="1881"/>
            <w:shd w:val="clear" w:color="auto" w:fill="DDEBF7"/>
          </w:tcPr>
          <w:p>
            <w:r>
              <w:rPr>
                <w:rFonts w:ascii="Meiryo UI" w:hAnsi="Meiryo UI"/>
                <w:sz w:val="18"/>
              </w:rPr>
              <w:t>約¥119</w:t>
            </w:r>
          </w:p>
        </w:tc>
        <w:tc>
          <w:tcPr>
            <w:tcW w:type="dxa" w:w="1881"/>
            <w:shd w:val="clear" w:color="auto" w:fill="DDEBF7"/>
          </w:tcPr>
          <w:p>
            <w:r>
              <w:rPr>
                <w:rFonts w:ascii="Meiryo UI" w:hAnsi="Meiryo UI"/>
                <w:sz w:val="18"/>
              </w:rPr>
              <w:t>約¥124</w:t>
            </w:r>
          </w:p>
        </w:tc>
        <w:tc>
          <w:tcPr>
            <w:tcW w:type="dxa" w:w="1881"/>
            <w:shd w:val="clear" w:color="auto" w:fill="DDEBF7"/>
          </w:tcPr>
          <w:p>
            <w:r>
              <w:rPr>
                <w:rFonts w:ascii="Meiryo UI" w:hAnsi="Meiryo UI"/>
                <w:sz w:val="18"/>
              </w:rPr>
              <w:t>¥89（実績）</w:t>
            </w:r>
          </w:p>
        </w:tc>
        <w:tc>
          <w:tcPr>
            <w:tcW w:type="dxa" w:w="1881"/>
            <w:shd w:val="clear" w:color="auto" w:fill="DDEBF7"/>
          </w:tcPr>
          <w:p>
            <w:r>
              <w:rPr>
                <w:rFonts w:ascii="Meiryo UI" w:hAnsi="Meiryo UI"/>
                <w:sz w:val="18"/>
              </w:rPr>
              <w:t>大幅減</w:t>
            </w:r>
          </w:p>
        </w:tc>
      </w:tr>
      <w:tr>
        <w:tc>
          <w:tcPr>
            <w:tcW w:type="dxa" w:w="1881"/>
          </w:tcPr>
          <w:p>
            <w:r>
              <w:rPr>
                <w:rFonts w:ascii="Meiryo UI" w:hAnsi="Meiryo UI"/>
                <w:sz w:val="18"/>
              </w:rPr>
              <w:t>FCF</w:t>
            </w:r>
          </w:p>
        </w:tc>
        <w:tc>
          <w:tcPr>
            <w:tcW w:type="dxa" w:w="1881"/>
          </w:tcPr>
          <w:p>
            <w:r>
              <w:rPr>
                <w:rFonts w:ascii="Meiryo UI" w:hAnsi="Meiryo UI"/>
                <w:sz w:val="18"/>
              </w:rPr>
              <w:t>約450億円</w:t>
            </w:r>
          </w:p>
        </w:tc>
        <w:tc>
          <w:tcPr>
            <w:tcW w:type="dxa" w:w="1881"/>
          </w:tcPr>
          <w:p>
            <w:r>
              <w:rPr>
                <w:rFonts w:ascii="Meiryo UI" w:hAnsi="Meiryo UI"/>
                <w:sz w:val="18"/>
              </w:rPr>
              <w:t>約490億円</w:t>
            </w:r>
          </w:p>
        </w:tc>
        <w:tc>
          <w:tcPr>
            <w:tcW w:type="dxa" w:w="1881"/>
          </w:tcPr>
          <w:p>
            <w:r>
              <w:rPr>
                <w:rFonts w:ascii="Meiryo UI" w:hAnsi="Meiryo UI"/>
                <w:sz w:val="18"/>
              </w:rPr>
              <w:t>約420〜500億円</w:t>
            </w:r>
          </w:p>
        </w:tc>
        <w:tc>
          <w:tcPr>
            <w:tcW w:type="dxa" w:w="1881"/>
          </w:tcPr>
          <w:p>
            <w:r>
              <w:rPr>
                <w:rFonts w:ascii="Meiryo UI" w:hAnsi="Meiryo UI"/>
                <w:sz w:val="18"/>
              </w:rPr>
              <w:t>横ばい〜微減</w:t>
            </w:r>
          </w:p>
        </w:tc>
      </w:tr>
      <w:tr>
        <w:tc>
          <w:tcPr>
            <w:tcW w:type="dxa" w:w="1881"/>
            <w:shd w:val="clear" w:color="auto" w:fill="DDEBF7"/>
          </w:tcPr>
          <w:p>
            <w:r>
              <w:rPr>
                <w:rFonts w:ascii="Meiryo UI" w:hAnsi="Meiryo UI"/>
                <w:sz w:val="18"/>
              </w:rPr>
              <w:t>FCFマージン</w:t>
            </w:r>
          </w:p>
        </w:tc>
        <w:tc>
          <w:tcPr>
            <w:tcW w:type="dxa" w:w="1881"/>
            <w:shd w:val="clear" w:color="auto" w:fill="DDEBF7"/>
          </w:tcPr>
          <w:p>
            <w:r>
              <w:rPr>
                <w:rFonts w:ascii="Meiryo UI" w:hAnsi="Meiryo UI"/>
                <w:sz w:val="18"/>
              </w:rPr>
              <w:t>約5.5%</w:t>
            </w:r>
          </w:p>
        </w:tc>
        <w:tc>
          <w:tcPr>
            <w:tcW w:type="dxa" w:w="1881"/>
            <w:shd w:val="clear" w:color="auto" w:fill="DDEBF7"/>
          </w:tcPr>
          <w:p>
            <w:r>
              <w:rPr>
                <w:rFonts w:ascii="Meiryo UI" w:hAnsi="Meiryo UI"/>
                <w:sz w:val="18"/>
              </w:rPr>
              <w:t>約5.6%</w:t>
            </w:r>
          </w:p>
        </w:tc>
        <w:tc>
          <w:tcPr>
            <w:tcW w:type="dxa" w:w="1881"/>
            <w:shd w:val="clear" w:color="auto" w:fill="DDEBF7"/>
          </w:tcPr>
          <w:p>
            <w:r>
              <w:rPr>
                <w:rFonts w:ascii="Meiryo UI" w:hAnsi="Meiryo UI"/>
                <w:sz w:val="18"/>
              </w:rPr>
              <w:t>約5.0〜5.8%</w:t>
            </w:r>
          </w:p>
        </w:tc>
        <w:tc>
          <w:tcPr>
            <w:tcW w:type="dxa" w:w="1881"/>
            <w:shd w:val="clear" w:color="auto" w:fill="DDEBF7"/>
          </w:tcPr>
          <w:p>
            <w:r>
              <w:rPr>
                <w:rFonts w:ascii="Meiryo UI" w:hAnsi="Meiryo UI"/>
                <w:sz w:val="18"/>
              </w:rPr>
              <w:t>横ばい</w:t>
            </w:r>
          </w:p>
        </w:tc>
      </w:tr>
      <w:tr>
        <w:tc>
          <w:tcPr>
            <w:tcW w:type="dxa" w:w="1881"/>
          </w:tcPr>
          <w:p>
            <w:r>
              <w:rPr>
                <w:rFonts w:ascii="Meiryo UI" w:hAnsi="Meiryo UI"/>
                <w:sz w:val="18"/>
              </w:rPr>
              <w:t>ROE</w:t>
            </w:r>
          </w:p>
        </w:tc>
        <w:tc>
          <w:tcPr>
            <w:tcW w:type="dxa" w:w="1881"/>
          </w:tcPr>
          <w:p>
            <w:r>
              <w:rPr>
                <w:rFonts w:ascii="Meiryo UI" w:hAnsi="Meiryo UI"/>
                <w:sz w:val="18"/>
              </w:rPr>
              <w:t>約9.2%</w:t>
            </w:r>
          </w:p>
        </w:tc>
        <w:tc>
          <w:tcPr>
            <w:tcW w:type="dxa" w:w="1881"/>
          </w:tcPr>
          <w:p>
            <w:r>
              <w:rPr>
                <w:rFonts w:ascii="Meiryo UI" w:hAnsi="Meiryo UI"/>
                <w:sz w:val="18"/>
              </w:rPr>
              <w:t>約9.5%</w:t>
            </w:r>
          </w:p>
        </w:tc>
        <w:tc>
          <w:tcPr>
            <w:tcW w:type="dxa" w:w="1881"/>
          </w:tcPr>
          <w:p>
            <w:r>
              <w:rPr>
                <w:rFonts w:ascii="Meiryo UI" w:hAnsi="Meiryo UI"/>
                <w:sz w:val="18"/>
              </w:rPr>
              <w:t>8.7%（実績）</w:t>
            </w:r>
          </w:p>
        </w:tc>
        <w:tc>
          <w:tcPr>
            <w:tcW w:type="dxa" w:w="1881"/>
          </w:tcPr>
          <w:p>
            <w:r>
              <w:rPr>
                <w:rFonts w:ascii="Meiryo UI" w:hAnsi="Meiryo UI"/>
                <w:sz w:val="18"/>
              </w:rPr>
              <w:t>▲0.8%pt</w:t>
            </w:r>
          </w:p>
        </w:tc>
      </w:tr>
      <w:tr>
        <w:tc>
          <w:tcPr>
            <w:tcW w:type="dxa" w:w="1881"/>
            <w:shd w:val="clear" w:color="auto" w:fill="DDEBF7"/>
          </w:tcPr>
          <w:p>
            <w:r>
              <w:rPr>
                <w:rFonts w:ascii="Meiryo UI" w:hAnsi="Meiryo UI"/>
                <w:sz w:val="18"/>
              </w:rPr>
              <w:t>自己資本比率</w:t>
            </w:r>
          </w:p>
        </w:tc>
        <w:tc>
          <w:tcPr>
            <w:tcW w:type="dxa" w:w="1881"/>
            <w:shd w:val="clear" w:color="auto" w:fill="DDEBF7"/>
          </w:tcPr>
          <w:p>
            <w:r>
              <w:rPr>
                <w:rFonts w:ascii="Meiryo UI" w:hAnsi="Meiryo UI"/>
                <w:sz w:val="18"/>
              </w:rPr>
              <w:t>約47%</w:t>
            </w:r>
          </w:p>
        </w:tc>
        <w:tc>
          <w:tcPr>
            <w:tcW w:type="dxa" w:w="1881"/>
            <w:shd w:val="clear" w:color="auto" w:fill="DDEBF7"/>
          </w:tcPr>
          <w:p>
            <w:r>
              <w:rPr>
                <w:rFonts w:ascii="Meiryo UI" w:hAnsi="Meiryo UI"/>
                <w:sz w:val="18"/>
              </w:rPr>
              <w:t>約46%</w:t>
            </w:r>
          </w:p>
        </w:tc>
        <w:tc>
          <w:tcPr>
            <w:tcW w:type="dxa" w:w="1881"/>
            <w:shd w:val="clear" w:color="auto" w:fill="DDEBF7"/>
          </w:tcPr>
          <w:p>
            <w:r>
              <w:rPr>
                <w:rFonts w:ascii="Meiryo UI" w:hAnsi="Meiryo UI"/>
                <w:sz w:val="18"/>
              </w:rPr>
              <w:t>約45〜47%</w:t>
            </w:r>
          </w:p>
        </w:tc>
        <w:tc>
          <w:tcPr>
            <w:tcW w:type="dxa" w:w="1881"/>
            <w:shd w:val="clear" w:color="auto" w:fill="DDEBF7"/>
          </w:tcPr>
          <w:p>
            <w:r>
              <w:rPr>
                <w:rFonts w:ascii="Meiryo UI" w:hAnsi="Meiryo UI"/>
                <w:sz w:val="18"/>
              </w:rPr>
              <w:t>横ばい</w:t>
            </w:r>
          </w:p>
        </w:tc>
      </w:tr>
      <w:tr>
        <w:tc>
          <w:tcPr>
            <w:tcW w:type="dxa" w:w="1881"/>
          </w:tcPr>
          <w:p>
            <w:r>
              <w:rPr>
                <w:rFonts w:ascii="Meiryo UI" w:hAnsi="Meiryo UI"/>
                <w:sz w:val="18"/>
              </w:rPr>
              <w:t>配当金/株</w:t>
            </w:r>
          </w:p>
        </w:tc>
        <w:tc>
          <w:tcPr>
            <w:tcW w:type="dxa" w:w="1881"/>
          </w:tcPr>
          <w:p>
            <w:r>
              <w:rPr>
                <w:rFonts w:ascii="Meiryo UI" w:hAnsi="Meiryo UI"/>
                <w:sz w:val="18"/>
              </w:rPr>
              <w:t>¥22</w:t>
            </w:r>
          </w:p>
        </w:tc>
        <w:tc>
          <w:tcPr>
            <w:tcW w:type="dxa" w:w="1881"/>
          </w:tcPr>
          <w:p>
            <w:r>
              <w:rPr>
                <w:rFonts w:ascii="Meiryo UI" w:hAnsi="Meiryo UI"/>
                <w:sz w:val="18"/>
              </w:rPr>
              <w:t>¥22</w:t>
            </w:r>
          </w:p>
        </w:tc>
        <w:tc>
          <w:tcPr>
            <w:tcW w:type="dxa" w:w="1881"/>
          </w:tcPr>
          <w:p>
            <w:r>
              <w:rPr>
                <w:rFonts w:ascii="Meiryo UI" w:hAnsi="Meiryo UI"/>
                <w:sz w:val="18"/>
              </w:rPr>
              <w:t>¥22〜24（予定）</w:t>
            </w:r>
          </w:p>
        </w:tc>
        <w:tc>
          <w:tcPr>
            <w:tcW w:type="dxa" w:w="1881"/>
          </w:tcPr>
          <w:p>
            <w:r>
              <w:rPr>
                <w:rFonts w:ascii="Meiryo UI" w:hAnsi="Meiryo UI"/>
                <w:sz w:val="18"/>
              </w:rPr>
              <w:t>横ばい</w:t>
            </w:r>
          </w:p>
        </w:tc>
      </w:tr>
    </w:tbl>
    <w:p/>
    <w:p>
      <w:r>
        <w:rPr>
          <w:rFonts w:ascii="Meiryo UI" w:hAnsi="Meiryo UI"/>
          <w:sz w:val="20"/>
        </w:rPr>
        <w:t>&gt; 注記：EPS ¥89はリアルタイム取得値（絶対値として使用）。FY2023・FY2024の数値は公開IR・業界データベースからの推定値。</w:t>
      </w:r>
    </w:p>
    <w:p/>
    <w:p>
      <w:pPr>
        <w:pStyle w:val="Heading3"/>
      </w:pPr>
      <w:r>
        <w:rPr>
          <w:rFonts w:ascii="Meiryo UI" w:hAnsi="Meiryo UI"/>
          <w:color w:val="2E74B5"/>
        </w:rPr>
        <w:t>3-2. 財務健全性チェック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D/E比率（推定）</w:t>
            </w:r>
          </w:p>
        </w:tc>
        <w:tc>
          <w:tcPr>
            <w:tcW w:type="dxa" w:w="3135"/>
          </w:tcPr>
          <w:p>
            <w:r>
              <w:rPr>
                <w:rFonts w:ascii="Meiryo UI" w:hAnsi="Meiryo UI"/>
                <w:sz w:val="18"/>
              </w:rPr>
              <w:t>約0.35〜0.45</w:t>
            </w:r>
          </w:p>
        </w:tc>
        <w:tc>
          <w:tcPr>
            <w:tcW w:type="dxa" w:w="3135"/>
          </w:tcPr>
          <w:p>
            <w:r>
              <w:rPr>
                <w:rFonts w:ascii="Meiryo UI" w:hAnsi="Meiryo UI"/>
                <w:sz w:val="18"/>
              </w:rPr>
              <w:t>健全（低レバレッジ）</w:t>
            </w:r>
          </w:p>
        </w:tc>
      </w:tr>
      <w:tr>
        <w:tc>
          <w:tcPr>
            <w:tcW w:type="dxa" w:w="3135"/>
            <w:shd w:val="clear" w:color="auto" w:fill="DDEBF7"/>
          </w:tcPr>
          <w:p>
            <w:r>
              <w:rPr>
                <w:rFonts w:ascii="Meiryo UI" w:hAnsi="Meiryo UI"/>
                <w:sz w:val="18"/>
              </w:rPr>
              <w:t>流動比率（推定）</w:t>
            </w:r>
          </w:p>
        </w:tc>
        <w:tc>
          <w:tcPr>
            <w:tcW w:type="dxa" w:w="3135"/>
            <w:shd w:val="clear" w:color="auto" w:fill="DDEBF7"/>
          </w:tcPr>
          <w:p>
            <w:r>
              <w:rPr>
                <w:rFonts w:ascii="Meiryo UI" w:hAnsi="Meiryo UI"/>
                <w:sz w:val="18"/>
              </w:rPr>
              <w:t>約200〜220%</w:t>
            </w:r>
          </w:p>
        </w:tc>
        <w:tc>
          <w:tcPr>
            <w:tcW w:type="dxa" w:w="3135"/>
            <w:shd w:val="clear" w:color="auto" w:fill="DDEBF7"/>
          </w:tcPr>
          <w:p>
            <w:r>
              <w:rPr>
                <w:rFonts w:ascii="Meiryo UI" w:hAnsi="Meiryo UI"/>
                <w:sz w:val="18"/>
              </w:rPr>
              <w:t>十分な流動性</w:t>
            </w:r>
          </w:p>
        </w:tc>
      </w:tr>
      <w:tr>
        <w:tc>
          <w:tcPr>
            <w:tcW w:type="dxa" w:w="3135"/>
          </w:tcPr>
          <w:p>
            <w:r>
              <w:rPr>
                <w:rFonts w:ascii="Meiryo UI" w:hAnsi="Meiryo UI"/>
                <w:sz w:val="18"/>
              </w:rPr>
              <w:t>EBITDA（推定）</w:t>
            </w:r>
          </w:p>
        </w:tc>
        <w:tc>
          <w:tcPr>
            <w:tcW w:type="dxa" w:w="3135"/>
          </w:tcPr>
          <w:p>
            <w:r>
              <w:rPr>
                <w:rFonts w:ascii="Meiryo UI" w:hAnsi="Meiryo UI"/>
                <w:sz w:val="18"/>
              </w:rPr>
              <w:t>約1,600〜1,700億円</w:t>
            </w:r>
          </w:p>
        </w:tc>
        <w:tc>
          <w:tcPr>
            <w:tcW w:type="dxa" w:w="3135"/>
          </w:tcPr>
          <w:p>
            <w:r>
              <w:rPr>
                <w:rFonts w:ascii="Meiryo UI" w:hAnsi="Meiryo UI"/>
                <w:sz w:val="18"/>
              </w:rPr>
              <w:t>キャッシュ創出力は維持</w:t>
            </w:r>
          </w:p>
        </w:tc>
      </w:tr>
      <w:tr>
        <w:tc>
          <w:tcPr>
            <w:tcW w:type="dxa" w:w="3135"/>
            <w:shd w:val="clear" w:color="auto" w:fill="DDEBF7"/>
          </w:tcPr>
          <w:p>
            <w:r>
              <w:rPr>
                <w:rFonts w:ascii="Meiryo UI" w:hAnsi="Meiryo UI"/>
                <w:sz w:val="18"/>
              </w:rPr>
              <w:t>Net Debt/EBITDA</w:t>
            </w:r>
          </w:p>
        </w:tc>
        <w:tc>
          <w:tcPr>
            <w:tcW w:type="dxa" w:w="3135"/>
            <w:shd w:val="clear" w:color="auto" w:fill="DDEBF7"/>
          </w:tcPr>
          <w:p>
            <w:r>
              <w:rPr>
                <w:rFonts w:ascii="Meiryo UI" w:hAnsi="Meiryo UI"/>
                <w:sz w:val="18"/>
              </w:rPr>
              <w:t>約1.2〜1.5x</w:t>
            </w:r>
          </w:p>
        </w:tc>
        <w:tc>
          <w:tcPr>
            <w:tcW w:type="dxa" w:w="3135"/>
            <w:shd w:val="clear" w:color="auto" w:fill="DDEBF7"/>
          </w:tcPr>
          <w:p>
            <w:r>
              <w:rPr>
                <w:rFonts w:ascii="Meiryo UI" w:hAnsi="Meiryo UI"/>
                <w:sz w:val="18"/>
              </w:rPr>
              <w:t>低リスク域</w:t>
            </w:r>
          </w:p>
        </w:tc>
      </w:tr>
      <w:tr>
        <w:tc>
          <w:tcPr>
            <w:tcW w:type="dxa" w:w="3135"/>
          </w:tcPr>
          <w:p>
            <w:r>
              <w:rPr>
                <w:rFonts w:ascii="Meiryo UI" w:hAnsi="Meiryo UI"/>
                <w:sz w:val="18"/>
              </w:rPr>
              <w:t>配当性向</w:t>
            </w:r>
          </w:p>
        </w:tc>
        <w:tc>
          <w:tcPr>
            <w:tcW w:type="dxa" w:w="3135"/>
          </w:tcPr>
          <w:p>
            <w:r>
              <w:rPr>
                <w:rFonts w:ascii="Meiryo UI" w:hAnsi="Meiryo UI"/>
                <w:sz w:val="18"/>
              </w:rPr>
              <w:t>約20〜25%</w:t>
            </w:r>
          </w:p>
        </w:tc>
        <w:tc>
          <w:tcPr>
            <w:tcW w:type="dxa" w:w="3135"/>
          </w:tcPr>
          <w:p>
            <w:r>
              <w:rPr>
                <w:rFonts w:ascii="Meiryo UI" w:hAnsi="Meiryo UI"/>
                <w:sz w:val="18"/>
              </w:rPr>
              <w:t>低め（内部留保重視）</w:t>
            </w:r>
          </w:p>
        </w:tc>
      </w:tr>
      <w:tr>
        <w:tc>
          <w:tcPr>
            <w:tcW w:type="dxa" w:w="3135"/>
            <w:shd w:val="clear" w:color="auto" w:fill="DDEBF7"/>
          </w:tcPr>
          <w:p>
            <w:r>
              <w:rPr>
                <w:rFonts w:ascii="Meiryo UI" w:hAnsi="Meiryo UI"/>
                <w:sz w:val="18"/>
              </w:rPr>
              <w:t>自社株買い実績</w:t>
            </w:r>
          </w:p>
        </w:tc>
        <w:tc>
          <w:tcPr>
            <w:tcW w:type="dxa" w:w="3135"/>
            <w:shd w:val="clear" w:color="auto" w:fill="DDEBF7"/>
          </w:tcPr>
          <w:p>
            <w:r>
              <w:rPr>
                <w:rFonts w:ascii="Meiryo UI" w:hAnsi="Meiryo UI"/>
                <w:sz w:val="18"/>
              </w:rPr>
              <w:t>継続実施中</w:t>
            </w:r>
          </w:p>
        </w:tc>
        <w:tc>
          <w:tcPr>
            <w:tcW w:type="dxa" w:w="3135"/>
            <w:shd w:val="clear" w:color="auto" w:fill="DDEBF7"/>
          </w:tcPr>
          <w:p>
            <w:r>
              <w:rPr>
                <w:rFonts w:ascii="Meiryo UI" w:hAnsi="Meiryo UI"/>
                <w:sz w:val="18"/>
              </w:rPr>
              <w:t>株主還元姿勢○</w:t>
            </w:r>
          </w:p>
        </w:tc>
      </w:tr>
    </w:tbl>
    <w:p/>
    <w:p>
      <w:pPr>
        <w:pStyle w:val="Heading3"/>
      </w:pPr>
      <w:r>
        <w:rPr>
          <w:rFonts w:ascii="Meiryo UI" w:hAnsi="Meiryo UI"/>
          <w:color w:val="2E74B5"/>
        </w:rPr>
        <w:t>3-3. SaaS指標（BCTリカーリング収益の代替指標）</w:t>
      </w:r>
    </w:p>
    <w:p/>
    <w:p>
      <w:pPr>
        <w:shd w:val="clear" w:color="auto" w:fill="F2F2F2"/>
      </w:pPr>
      <w:r>
        <w:rPr>
          <w:rFonts w:ascii="Courier New" w:hAnsi="Courier New"/>
          <w:sz w:val="16"/>
        </w:rPr>
        <w:t>BCTは純粋なSaaSではないが、消耗品リカーリングモデルの観点で評価：</w:t>
        <w:br/>
        <w:br/>
        <w:t>ARR相当（消耗品・試薬収益）：</w:t>
        <w:br/>
        <w:t xml:space="preserve">  BCT売上の約60〜65% → 約1,410〜1,527億円/年</w:t>
        <w:br/>
        <w:t xml:space="preserve">  → 機器販売後の定期収益として安定的</w:t>
        <w:br/>
        <w:br/>
        <w:t>NRR（Net Revenue Retention）相当：</w:t>
        <w:br/>
        <w:t xml:space="preserve">  既存顧客の更新率：推定97〜99%</w:t>
        <w:br/>
        <w:t xml:space="preserve">  追加消耗品販売の伸び：+3〜5%/年</w:t>
        <w:br/>
        <w:t xml:space="preserve">  → 実質的NRR：約100〜104%（健全水準）</w:t>
        <w:br/>
        <w:br/>
        <w:t>リカーリング収益の特徴：</w:t>
        <w:br/>
        <w:t xml:space="preserve">  ・アフェレーシス機器の平均リース/更新サイクル：7〜10年</w:t>
        <w:br/>
        <w:t xml:space="preserve">  ・一度導入された病院・血液センターからの撤退率は極めて低い</w:t>
        <w:br/>
        <w:t xml:space="preserve">  → BCTセグメントの安定性はテルモ全体のダウンサイドリスクを緩和</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WACC前提条件</w:t>
      </w:r>
    </w:p>
    <w:p/>
    <w:p>
      <w:pPr>
        <w:shd w:val="clear" w:color="auto" w:fill="F2F2F2"/>
      </w:pPr>
      <w:r>
        <w:rPr>
          <w:rFonts w:ascii="Courier New" w:hAnsi="Courier New"/>
          <w:sz w:val="16"/>
        </w:rPr>
        <w:t>【WACC計算前提（全パラメータ明示）】</w:t>
        <w:br/>
        <w:br/>
        <w:t>■ リスクフリーレート（Rf）</w:t>
        <w:br/>
        <w:t xml:space="preserve">  Rf = 2.386%（日本10年国債JGB10Y、2026-04-07 05:04 JST取得）</w:t>
        <w:br/>
        <w:t xml:space="preserve">  ※絶対変更禁止パラメータ</w:t>
        <w:br/>
        <w:br/>
        <w:t>■ β（ベータ）</w:t>
        <w:br/>
        <w:t xml:space="preserve">  テルモ（4543.T）β推定：1.05</w:t>
        <w:br/>
        <w:t xml:space="preserve">  （東証医療機器セクターの平均β：1.00〜1.15。テルモは海外売上比率83%</w:t>
        <w:br/>
        <w:t xml:space="preserve">   により為替感応度が高く、市場平均よりやや高いβを採用）</w:t>
        <w:br/>
        <w:br/>
        <w:t>■ ERP（エクイティリスクプレミアム）</w:t>
        <w:br/>
        <w:t xml:space="preserve">  日本市場ERP：5.50%（Damodaran 2026年推定値ベース）</w:t>
        <w:br/>
        <w:br/>
        <w:t>■ 株主資本コスト（Re）</w:t>
        <w:br/>
        <w:t xml:space="preserve">  Re = Rf + β × ERP</w:t>
        <w:br/>
        <w:t xml:space="preserve">  Re = 2.386% + 1.05 × 5.50%</w:t>
        <w:br/>
        <w:t xml:space="preserve">  Re = 2.386% + 5.775%</w:t>
        <w:br/>
        <w:t xml:space="preserve">  Re = 8.161%</w:t>
        <w:br/>
        <w:br/>
        <w:t>■ 資本構成（推定）</w:t>
        <w:br/>
        <w:t xml:space="preserve">  E（株主資本）：約1兆5,389億円（時価総額）</w:t>
        <w:br/>
        <w:t xml:space="preserve">  D（有利子負債）：約4,800〜5,000億円（推定簿価）</w:t>
        <w:br/>
        <w:t xml:space="preserve">  ※ 実質的なEV算出のため時価ベース使用</w:t>
        <w:br/>
        <w:t xml:space="preserve">  E/(D+E)：約75%</w:t>
        <w:br/>
        <w:t xml:space="preserve">  D/(D+E)：約25%</w:t>
        <w:br/>
        <w:br/>
        <w:t>■ 負債コスト（Rd）</w:t>
        <w:br/>
        <w:t xml:space="preserve">  Rd = 1.5%（信用格付AA相当・日本の優良企業水準）</w:t>
        <w:br/>
        <w:br/>
        <w:t>■ 実効税率（Tc）</w:t>
        <w:br/>
        <w:t xml:space="preserve">  Tc = 30%（日本法人税率標準）</w:t>
        <w:br/>
        <w:br/>
        <w:t>■ WACC計算</w:t>
        <w:br/>
        <w:t xml:space="preserve">  WACC = [E/(D+E) × Re] + [D/(D+E) × Rd × (1-Tc)]</w:t>
        <w:br/>
        <w:t xml:space="preserve">  WACC = [0.75 × 8.161%] + [0.25 × 1.5% × (1-0.30)]</w:t>
        <w:br/>
        <w:t xml:space="preserve">  WACC = 6.121% + 0.263%</w:t>
        <w:br/>
        <w:t xml:space="preserve">  WACC = 6.38%</w:t>
        <w:br/>
        <w:t xml:space="preserve">  （採用値：6.38%）</w:t>
      </w:r>
    </w:p>
    <w:p/>
    <w:p>
      <w:pPr>
        <w:pStyle w:val="Heading3"/>
      </w:pPr>
      <w:r>
        <w:rPr>
          <w:rFonts w:ascii="Meiryo UI" w:hAnsi="Meiryo UI"/>
          <w:color w:val="2E74B5"/>
        </w:rPr>
        <w:t>4-2. DCFモデル：シナリオ別</w:t>
      </w:r>
    </w:p>
    <w:p/>
    <w:p>
      <w:pPr>
        <w:pStyle w:val="Heading4"/>
      </w:pPr>
      <w:r>
        <w:rPr>
          <w:rFonts w:ascii="Meiryo UI" w:hAnsi="Meiryo UI"/>
          <w:color w:val="2E74B5"/>
        </w:rPr>
        <w:t>共通前提</w:t>
      </w:r>
    </w:p>
    <w:p>
      <w:pPr>
        <w:shd w:val="clear" w:color="auto" w:fill="F2F2F2"/>
      </w:pPr>
      <w:r>
        <w:rPr>
          <w:rFonts w:ascii="Courier New" w:hAnsi="Courier New"/>
          <w:sz w:val="16"/>
        </w:rPr>
        <w:t>分析対象：FCF（フリーキャッシュフロー）ベース</w:t>
        <w:br/>
        <w:t>基準FCF（FY2025E）：約460億円（中央値）</w:t>
        <w:br/>
        <w:t>予測期間：10年（FY2026〜FY2035）</w:t>
        <w:br/>
        <w:t>ターミナルバリュー：ゴードン成長モデル（TV = FCF×(1+g)/(WACC-g)）</w:t>
        <w:br/>
        <w:t>発行済株式数：約7.04億株（703,670千株推定）</w:t>
        <w:br/>
        <w:t>純有利子負債（Net Debt）：約3,800億円（推定）</w:t>
      </w:r>
    </w:p>
    <w:p/>
    <w:p>
      <w:r>
        <w:t>──────────────────────────────────────────────────</w:t>
      </w:r>
    </w:p>
    <w:p/>
    <w:p>
      <w:pPr>
        <w:pStyle w:val="Heading4"/>
      </w:pPr>
      <w:r>
        <w:rPr>
          <w:rFonts w:ascii="Meiryo UI" w:hAnsi="Meiryo UI"/>
          <w:color w:val="2E74B5"/>
        </w:rPr>
        <w:t>【強気シナリオ】：CAR-T立ち上がり + 為替安定（USD/JPY 142〜148円）</w:t>
      </w:r>
    </w:p>
    <w:p/>
    <w:p>
      <w:pPr>
        <w:shd w:val="clear" w:color="auto" w:fill="F2F2F2"/>
      </w:pPr>
      <w:r>
        <w:rPr>
          <w:rFonts w:ascii="Courier New" w:hAnsi="Courier New"/>
          <w:sz w:val="16"/>
        </w:rPr>
        <w:t>成長率前提：</w:t>
        <w:br/>
        <w:t xml:space="preserve">  FY2026〜FY2027：FCF成長率 +10%/年（CVのTAVR参入 + BCTのCAR-T立ち上がり）</w:t>
        <w:br/>
        <w:t xml:space="preserve">  FY2028〜FY2030：FCF成長率 +8%/年</w:t>
        <w:br/>
        <w:t xml:space="preserve">  FY2031〜FY2035：FCF成長率 +5%/年</w:t>
        <w:br/>
        <w:t xml:space="preserve">  Terminal Growth Rate (g)：2.5%</w:t>
        <w:br/>
        <w:br/>
        <w:t>FCF予測（単位：億円）：</w:t>
        <w:br/>
        <w:t xml:space="preserve">  FY2026E:  506</w:t>
        <w:br/>
        <w:t xml:space="preserve">  FY2027E:  557</w:t>
        <w:br/>
        <w:t xml:space="preserve">  FY2028E:  601</w:t>
        <w:br/>
        <w:t xml:space="preserve">  FY2029E:  649</w:t>
        <w:br/>
        <w:t xml:space="preserve">  FY2030E:  701</w:t>
        <w:br/>
        <w:t xml:space="preserve">  FY2031E:  736</w:t>
        <w:br/>
        <w:t xml:space="preserve">  FY2032E:  773</w:t>
        <w:br/>
        <w:t xml:space="preserve">  FY2033E:  812</w:t>
        <w:br/>
        <w:t xml:space="preserve">  FY2034E:  852</w:t>
        <w:br/>
        <w:t xml:space="preserve">  FY2035E:  895</w:t>
        <w:br/>
        <w:br/>
        <w:t>WACC = 6.38%</w:t>
        <w:br/>
        <w:t>PV（予測FCF合計）= 約5,280億円</w:t>
        <w:br/>
        <w:t>ターミナルバリューPV = [895×1.025/(6.38%-2.5%)] / (1+0.0638)^10</w:t>
        <w:br/>
        <w:t xml:space="preserve">  = 23,625億円 PV ÷ (1.0638)^10</w:t>
        <w:br/>
        <w:t xml:space="preserve">  = 23,625 / 1.864</w:t>
        <w:br/>
        <w:t xml:space="preserve">  = 約12,675億円</w:t>
        <w:br/>
        <w:br/>
        <w:t>Enterprise Value (EV) = 5,280 + 12,675 = 17,955億円</w:t>
        <w:br/>
        <w:t>Equity Value = EV - Net Debt = 17,955 - 3,800 = 14,155億円</w:t>
        <w:br/>
        <w:t>理論株価（強気）= 14,155億円 ÷ 7.04億株 = ¥2,010 / 株</w:t>
        <w:br/>
        <w:br/>
        <w:t>→ 強気シナリオでも現在株価¥2,186より下！</w:t>
        <w:br/>
        <w:t xml:space="preserve">  強気ケースで既に現在株価比▲8%という結果は重要シグナル</w:t>
      </w:r>
    </w:p>
    <w:p/>
    <w:p>
      <w:r>
        <w:t>──────────────────────────────────────────────────</w:t>
      </w:r>
    </w:p>
    <w:p/>
    <w:p>
      <w:pPr>
        <w:pStyle w:val="Heading4"/>
      </w:pPr>
      <w:r>
        <w:rPr>
          <w:rFonts w:ascii="Meiryo UI" w:hAnsi="Meiryo UI"/>
          <w:color w:val="2E74B5"/>
        </w:rPr>
        <w:t>【基本シナリオ】：緩やかな回復 + 円高軽度（USD/JPY 135〜142円）</w:t>
      </w:r>
    </w:p>
    <w:p/>
    <w:p>
      <w:pPr>
        <w:shd w:val="clear" w:color="auto" w:fill="F2F2F2"/>
      </w:pPr>
      <w:r>
        <w:rPr>
          <w:rFonts w:ascii="Courier New" w:hAnsi="Courier New"/>
          <w:sz w:val="16"/>
        </w:rPr>
        <w:t>成長率前提：</w:t>
        <w:br/>
        <w:t xml:space="preserve">  FY2026〜FY2027：FCF成長率 +5%/年</w:t>
        <w:br/>
        <w:t xml:space="preserve">  FY2028〜FY2030：FCF成長率 +5%/年</w:t>
        <w:br/>
        <w:t xml:space="preserve">  FY2031〜FY2035：FCF成長率 +3%/年</w:t>
        <w:br/>
        <w:t xml:space="preserve">  Terminal Growth Rate (g)：2.0%</w:t>
        <w:br/>
        <w:br/>
        <w:t>FCF予測（単位：億円）：</w:t>
        <w:br/>
        <w:t xml:space="preserve">  FY2026E:  483</w:t>
        <w:br/>
        <w:t xml:space="preserve">  FY2027E:  507</w:t>
        <w:br/>
        <w:t xml:space="preserve">  FY2028E:  533</w:t>
        <w:br/>
        <w:t xml:space="preserve">  FY2029E:  559</w:t>
        <w:br/>
        <w:t xml:space="preserve">  FY2030E:  587</w:t>
        <w:br/>
        <w:t xml:space="preserve">  FY2031E:  605</w:t>
        <w:br/>
        <w:t xml:space="preserve">  FY2032E:  623</w:t>
        <w:br/>
        <w:t xml:space="preserve">  FY2033E:  641</w:t>
        <w:br/>
        <w:t xml:space="preserve">  FY2034E:  661</w:t>
        <w:br/>
        <w:t xml:space="preserve">  FY2035E:  681</w:t>
        <w:br/>
        <w:br/>
        <w:t>WACC = 6.38%</w:t>
        <w:br/>
        <w:t>PV（予測FCF合計）= 約4,013億円</w:t>
        <w:br/>
        <w:t>ターミナルバリューPV = [681×1.020/(6.38%-2.0%)] / (1.0638)^10</w:t>
        <w:br/>
        <w:t xml:space="preserve">  = 15,854億円 / 1.864</w:t>
        <w:br/>
        <w:t xml:space="preserve">  = 約8,505億円</w:t>
        <w:br/>
        <w:br/>
        <w:t>Enterprise Value (EV) = 4,013 + 8,505 = 12,518億円</w:t>
        <w:br/>
        <w:t>Equity Value = EV - Net Debt = 12,518 - 3,800 = 8,718億円</w:t>
        <w:br/>
        <w:t>理論株価（基本）= 8,718億円 ÷ 7.04億株 = ¥1,238 / 株</w:t>
      </w:r>
    </w:p>
    <w:p/>
    <w:p>
      <w:r>
        <w:t>──────────────────────────────────────────────────</w:t>
      </w:r>
    </w:p>
    <w:p/>
    <w:p>
      <w:pPr>
        <w:pStyle w:val="Heading4"/>
      </w:pPr>
      <w:r>
        <w:rPr>
          <w:rFonts w:ascii="Meiryo UI" w:hAnsi="Meiryo UI"/>
          <w:color w:val="2E74B5"/>
        </w:rPr>
        <w:t>【弱気シナリオ】：円高急進（USD/JPY 125〜130円）+ コスト高止まり</w:t>
      </w:r>
    </w:p>
    <w:p/>
    <w:p>
      <w:pPr>
        <w:shd w:val="clear" w:color="auto" w:fill="F2F2F2"/>
      </w:pPr>
      <w:r>
        <w:rPr>
          <w:rFonts w:ascii="Courier New" w:hAnsi="Courier New"/>
          <w:sz w:val="16"/>
        </w:rPr>
        <w:t>成長率前提：</w:t>
        <w:br/>
        <w:t xml:space="preserve">  FY2026〜FY2027：FCF成長率 ▲3%/年（為替・コストダブルパンチ）</w:t>
        <w:br/>
        <w:t xml:space="preserve">  FY2028〜FY2030：FCF成長率 +2%/年（底打ち・微回復）</w:t>
        <w:br/>
        <w:t xml:space="preserve">  FY2031〜FY2035：FCF成長率 +3%/年</w:t>
        <w:br/>
        <w:t xml:space="preserve">  Terminal Growth Rate (g)：1.5%</w:t>
        <w:br/>
        <w:br/>
        <w:t>FCF予測（単位：億円）：</w:t>
        <w:br/>
        <w:t xml:space="preserve">  FY2026E:  446</w:t>
        <w:br/>
        <w:t xml:space="preserve">  FY2027E:  433</w:t>
        <w:br/>
        <w:t xml:space="preserve">  FY2028E:  441</w:t>
        <w:br/>
        <w:t xml:space="preserve">  FY2029E:  450</w:t>
        <w:br/>
        <w:t xml:space="preserve">  FY2030E:  459</w:t>
        <w:br/>
        <w:t xml:space="preserve">  FY2031E:  473</w:t>
        <w:br/>
        <w:t xml:space="preserve">  FY2032E:  487</w:t>
        <w:br/>
        <w:t xml:space="preserve">  FY2033E:  502</w:t>
        <w:br/>
        <w:t xml:space="preserve">  FY2034E:  517</w:t>
        <w:br/>
        <w:t xml:space="preserve">  FY2035E:  533</w:t>
        <w:br/>
        <w:br/>
        <w:t>WACC = 6.38%</w:t>
        <w:br/>
        <w:t>PV（予測FCF合計）= 約2,977億円</w:t>
        <w:br/>
        <w:t>ターミナルバリューPV = [533×1.015/(6.38%-1.5%)] / (1.0638)^10</w:t>
        <w:br/>
        <w:t xml:space="preserve">  = 11,100億円 / 1.864</w:t>
        <w:br/>
        <w:t xml:space="preserve">  = 約5,955億円</w:t>
        <w:br/>
        <w:br/>
        <w:t>Enterprise Value (EV) = 2,977 + 5,955 = 8,932億円</w:t>
        <w:br/>
        <w:t>Equity Value = EV - Net Debt = 8,932 - 3,800 = 5,132億円</w:t>
        <w:br/>
        <w:t>理論株価（弱気）= 5,132億円 ÷ 7.04億株 = ¥729 / 株</w:t>
      </w:r>
    </w:p>
    <w:p/>
    <w:p>
      <w:r>
        <w:t>──────────────────────────────────────────────────</w:t>
      </w:r>
    </w:p>
    <w:p/>
    <w:p>
      <w:pPr>
        <w:pStyle w:val="Heading3"/>
      </w:pPr>
      <w:r>
        <w:rPr>
          <w:rFonts w:ascii="Meiryo UI" w:hAnsi="Meiryo UI"/>
          <w:color w:val="2E74B5"/>
        </w:rPr>
        <w:t>4-3. シナリオ別理論株価サマリー</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シナリオ</w:t>
            </w:r>
          </w:p>
        </w:tc>
        <w:tc>
          <w:tcPr>
            <w:tcW w:type="dxa" w:w="1568"/>
            <w:shd w:val="clear" w:color="auto" w:fill="2E74B5"/>
          </w:tcPr>
          <w:p>
            <w:r>
              <w:rPr>
                <w:rFonts w:ascii="Meiryo UI" w:hAnsi="Meiryo UI"/>
                <w:b/>
                <w:color w:val="FFFFFF"/>
                <w:sz w:val="18"/>
              </w:rPr>
              <w:t>FCF CAGR（予測期間）</w:t>
            </w:r>
          </w:p>
        </w:tc>
        <w:tc>
          <w:tcPr>
            <w:tcW w:type="dxa" w:w="1568"/>
            <w:shd w:val="clear" w:color="auto" w:fill="2E74B5"/>
          </w:tcPr>
          <w:p>
            <w:r>
              <w:rPr>
                <w:rFonts w:ascii="Meiryo UI" w:hAnsi="Meiryo UI"/>
                <w:b/>
                <w:color w:val="FFFFFF"/>
                <w:sz w:val="18"/>
              </w:rPr>
              <w:t>Terminal g</w:t>
            </w:r>
          </w:p>
        </w:tc>
        <w:tc>
          <w:tcPr>
            <w:tcW w:type="dxa" w:w="1568"/>
            <w:shd w:val="clear" w:color="auto" w:fill="2E74B5"/>
          </w:tcPr>
          <w:p>
            <w:r>
              <w:rPr>
                <w:rFonts w:ascii="Meiryo UI" w:hAnsi="Meiryo UI"/>
                <w:b/>
                <w:color w:val="FFFFFF"/>
                <w:sz w:val="18"/>
              </w:rPr>
              <w:t>理論株価</w:t>
            </w:r>
          </w:p>
        </w:tc>
        <w:tc>
          <w:tcPr>
            <w:tcW w:type="dxa" w:w="1568"/>
            <w:shd w:val="clear" w:color="auto" w:fill="2E74B5"/>
          </w:tcPr>
          <w:p>
            <w:r>
              <w:rPr>
                <w:rFonts w:ascii="Meiryo UI" w:hAnsi="Meiryo UI"/>
                <w:b/>
                <w:color w:val="FFFFFF"/>
                <w:sz w:val="18"/>
              </w:rPr>
              <w:t>現在値比</w:t>
            </w:r>
          </w:p>
        </w:tc>
        <w:tc>
          <w:tcPr>
            <w:tcW w:type="dxa" w:w="1568"/>
            <w:shd w:val="clear" w:color="auto" w:fill="2E74B5"/>
          </w:tcPr>
          <w:p>
            <w:r>
              <w:rPr>
                <w:rFonts w:ascii="Meiryo UI" w:hAnsi="Meiryo UI"/>
                <w:b/>
                <w:color w:val="FFFFFF"/>
                <w:sz w:val="18"/>
              </w:rPr>
              <w:t>判定</w:t>
            </w:r>
          </w:p>
        </w:tc>
      </w:tr>
      <w:tr>
        <w:tc>
          <w:tcPr>
            <w:tcW w:type="dxa" w:w="1568"/>
          </w:tcPr>
          <w:p>
            <w:r>
              <w:rPr>
                <w:rFonts w:ascii="Meiryo UI" w:hAnsi="Meiryo UI"/>
                <w:sz w:val="18"/>
              </w:rPr>
              <w:t>強気</w:t>
            </w:r>
          </w:p>
        </w:tc>
        <w:tc>
          <w:tcPr>
            <w:tcW w:type="dxa" w:w="1568"/>
          </w:tcPr>
          <w:p>
            <w:r>
              <w:rPr>
                <w:rFonts w:ascii="Meiryo UI" w:hAnsi="Meiryo UI"/>
                <w:sz w:val="18"/>
              </w:rPr>
              <w:t>+7.0%</w:t>
            </w:r>
          </w:p>
        </w:tc>
        <w:tc>
          <w:tcPr>
            <w:tcW w:type="dxa" w:w="1568"/>
          </w:tcPr>
          <w:p>
            <w:r>
              <w:rPr>
                <w:rFonts w:ascii="Meiryo UI" w:hAnsi="Meiryo UI"/>
                <w:sz w:val="18"/>
              </w:rPr>
              <w:t>2.5%</w:t>
            </w:r>
          </w:p>
        </w:tc>
        <w:tc>
          <w:tcPr>
            <w:tcW w:type="dxa" w:w="1568"/>
          </w:tcPr>
          <w:p>
            <w:r>
              <w:rPr>
                <w:rFonts w:ascii="Meiryo UI" w:hAnsi="Meiryo UI"/>
                <w:sz w:val="18"/>
              </w:rPr>
              <w:t>¥2,010</w:t>
            </w:r>
          </w:p>
        </w:tc>
        <w:tc>
          <w:tcPr>
            <w:tcW w:type="dxa" w:w="1568"/>
          </w:tcPr>
          <w:p>
            <w:r>
              <w:rPr>
                <w:rFonts w:ascii="Meiryo UI" w:hAnsi="Meiryo UI"/>
                <w:sz w:val="18"/>
              </w:rPr>
              <w:t>▲8.1%</w:t>
            </w:r>
          </w:p>
        </w:tc>
        <w:tc>
          <w:tcPr>
            <w:tcW w:type="dxa" w:w="1568"/>
          </w:tcPr>
          <w:p>
            <w:r>
              <w:rPr>
                <w:rFonts w:ascii="Meiryo UI" w:hAnsi="Meiryo UI"/>
                <w:sz w:val="18"/>
              </w:rPr>
              <w:t>現在株価は強気でも割高</w:t>
            </w:r>
          </w:p>
        </w:tc>
      </w:tr>
      <w:tr>
        <w:tc>
          <w:tcPr>
            <w:tcW w:type="dxa" w:w="1568"/>
            <w:shd w:val="clear" w:color="auto" w:fill="DDEBF7"/>
          </w:tcPr>
          <w:p>
            <w:r>
              <w:rPr>
                <w:rFonts w:ascii="Meiryo UI" w:hAnsi="Meiryo UI"/>
                <w:sz w:val="18"/>
              </w:rPr>
              <w:t>基本</w:t>
            </w:r>
          </w:p>
        </w:tc>
        <w:tc>
          <w:tcPr>
            <w:tcW w:type="dxa" w:w="1568"/>
            <w:shd w:val="clear" w:color="auto" w:fill="DDEBF7"/>
          </w:tcPr>
          <w:p>
            <w:r>
              <w:rPr>
                <w:rFonts w:ascii="Meiryo UI" w:hAnsi="Meiryo UI"/>
                <w:sz w:val="18"/>
              </w:rPr>
              <w:t>+4.1%</w:t>
            </w:r>
          </w:p>
        </w:tc>
        <w:tc>
          <w:tcPr>
            <w:tcW w:type="dxa" w:w="1568"/>
            <w:shd w:val="clear" w:color="auto" w:fill="DDEBF7"/>
          </w:tcPr>
          <w:p>
            <w:r>
              <w:rPr>
                <w:rFonts w:ascii="Meiryo UI" w:hAnsi="Meiryo UI"/>
                <w:sz w:val="18"/>
              </w:rPr>
              <w:t>2.0%</w:t>
            </w:r>
          </w:p>
        </w:tc>
        <w:tc>
          <w:tcPr>
            <w:tcW w:type="dxa" w:w="1568"/>
            <w:shd w:val="clear" w:color="auto" w:fill="DDEBF7"/>
          </w:tcPr>
          <w:p>
            <w:r>
              <w:rPr>
                <w:rFonts w:ascii="Meiryo UI" w:hAnsi="Meiryo UI"/>
                <w:sz w:val="18"/>
              </w:rPr>
              <w:t>¥1,238</w:t>
            </w:r>
          </w:p>
        </w:tc>
        <w:tc>
          <w:tcPr>
            <w:tcW w:type="dxa" w:w="1568"/>
            <w:shd w:val="clear" w:color="auto" w:fill="DDEBF7"/>
          </w:tcPr>
          <w:p>
            <w:r>
              <w:rPr>
                <w:rFonts w:ascii="Meiryo UI" w:hAnsi="Meiryo UI"/>
                <w:sz w:val="18"/>
              </w:rPr>
              <w:t>▲43.4%</w:t>
            </w:r>
          </w:p>
        </w:tc>
        <w:tc>
          <w:tcPr>
            <w:tcW w:type="dxa" w:w="1568"/>
            <w:shd w:val="clear" w:color="auto" w:fill="DDEBF7"/>
          </w:tcPr>
          <w:p>
            <w:r>
              <w:rPr>
                <w:rFonts w:ascii="Meiryo UI" w:hAnsi="Meiryo UI"/>
                <w:sz w:val="18"/>
              </w:rPr>
              <w:t>大幅割高</w:t>
            </w:r>
          </w:p>
        </w:tc>
      </w:tr>
      <w:tr>
        <w:tc>
          <w:tcPr>
            <w:tcW w:type="dxa" w:w="1568"/>
          </w:tcPr>
          <w:p>
            <w:r>
              <w:rPr>
                <w:rFonts w:ascii="Meiryo UI" w:hAnsi="Meiryo UI"/>
                <w:sz w:val="18"/>
              </w:rPr>
              <w:t>弱気</w:t>
            </w:r>
          </w:p>
        </w:tc>
        <w:tc>
          <w:tcPr>
            <w:tcW w:type="dxa" w:w="1568"/>
          </w:tcPr>
          <w:p>
            <w:r>
              <w:rPr>
                <w:rFonts w:ascii="Meiryo UI" w:hAnsi="Meiryo UI"/>
                <w:sz w:val="18"/>
              </w:rPr>
              <w:t>+1.4%</w:t>
            </w:r>
          </w:p>
        </w:tc>
        <w:tc>
          <w:tcPr>
            <w:tcW w:type="dxa" w:w="1568"/>
          </w:tcPr>
          <w:p>
            <w:r>
              <w:rPr>
                <w:rFonts w:ascii="Meiryo UI" w:hAnsi="Meiryo UI"/>
                <w:sz w:val="18"/>
              </w:rPr>
              <w:t>1.5%</w:t>
            </w:r>
          </w:p>
        </w:tc>
        <w:tc>
          <w:tcPr>
            <w:tcW w:type="dxa" w:w="1568"/>
          </w:tcPr>
          <w:p>
            <w:r>
              <w:rPr>
                <w:rFonts w:ascii="Meiryo UI" w:hAnsi="Meiryo UI"/>
                <w:sz w:val="18"/>
              </w:rPr>
              <w:t>¥729</w:t>
            </w:r>
          </w:p>
        </w:tc>
        <w:tc>
          <w:tcPr>
            <w:tcW w:type="dxa" w:w="1568"/>
          </w:tcPr>
          <w:p>
            <w:r>
              <w:rPr>
                <w:rFonts w:ascii="Meiryo UI" w:hAnsi="Meiryo UI"/>
                <w:sz w:val="18"/>
              </w:rPr>
              <w:t>▲66.7%</w:t>
            </w:r>
          </w:p>
        </w:tc>
        <w:tc>
          <w:tcPr>
            <w:tcW w:type="dxa" w:w="1568"/>
          </w:tcPr>
          <w:p>
            <w:r>
              <w:rPr>
                <w:rFonts w:ascii="Meiryo UI" w:hAnsi="Meiryo UI"/>
                <w:sz w:val="18"/>
              </w:rPr>
              <w:t>著しく割高</w:t>
            </w:r>
          </w:p>
        </w:tc>
      </w:tr>
    </w:tbl>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総合理論株価（加重平均）</w:t>
      </w:r>
    </w:p>
    <w:p/>
    <w:p>
      <w:pPr>
        <w:shd w:val="clear" w:color="auto" w:fill="F2F2F2"/>
      </w:pPr>
      <w:r>
        <w:rPr>
          <w:rFonts w:ascii="Courier New" w:hAnsi="Courier New"/>
          <w:sz w:val="16"/>
        </w:rPr>
        <w:t>シナリオ加重（深井設定）：</w:t>
        <w:br/>
        <w:t xml:space="preserve">  強気：30%  基本：45%  弱気：25%</w:t>
        <w:br/>
        <w:br/>
        <w:t>加重平均理論株価：</w:t>
        <w:br/>
        <w:t xml:space="preserve">  = ¥2,010 × 0.30 + ¥1,238 × 0.45 + ¥729 × 0.25</w:t>
        <w:br/>
        <w:t xml:space="preserve">  = ¥603 + ¥557 + ¥182</w:t>
        <w:br/>
        <w:t xml:space="preserve">  = ¥1,342</w:t>
        <w:br/>
        <w:br/>
        <w:t>安全域（Margin of Safety）：±20%</w:t>
        <w:br/>
        <w:br/>
        <w:t xml:space="preserve">  MoS下限（エントリー推奨下限）：¥1,342 × 0.80 = ¥1,074</w:t>
        <w:br/>
        <w:t xml:space="preserve">  MoS上限（ショート検討上限）：¥1,342 × 1.20 = ¥1,610</w:t>
        <w:br/>
        <w:br/>
        <w:t>現在株価 ¥2,186 vs 理論株価 ¥1,342</w:t>
        <w:br/>
        <w:t>乖離率：▲38.6%（現在株価は理論値より38.6%割高）</w:t>
      </w:r>
    </w:p>
    <w:p/>
    <w:p>
      <w:pPr>
        <w:pStyle w:val="Heading3"/>
      </w:pPr>
      <w:r>
        <w:rPr>
          <w:rFonts w:ascii="Meiryo UI" w:hAnsi="Meiryo UI"/>
          <w:color w:val="2E74B5"/>
        </w:rPr>
        <w:t>5-2. 投資判断</w:t>
      </w:r>
    </w:p>
    <w:p/>
    <w:p>
      <w:pPr>
        <w:shd w:val="clear" w:color="auto" w:fill="F2F2F2"/>
      </w:pPr>
      <w:r>
        <w:rPr>
          <w:rFonts w:ascii="Courier New" w:hAnsi="Courier New"/>
          <w:sz w:val="16"/>
        </w:rPr>
        <w:t>┌─────────────────────────────────────────┐</w:t>
        <w:br/>
        <w:t>│  投資判断：【売り】                          │</w:t>
        <w:br/>
        <w:t>│  現在株価：¥2,186                           │</w:t>
        <w:br/>
        <w:t>│  理論株価（加重平均）：¥1,342                │</w:t>
        <w:br/>
        <w:t>│  安全域を考慮した下値目標：¥1,074〜¥1,342   │</w:t>
        <w:br/>
        <w:t>│  乖離率：▲38.6%（大幅割高）                 │</w:t>
        <w:br/>
        <w:t>│  判定根拠：                                  │</w:t>
        <w:br/>
        <w:t>│   1. 強気シナリオでも現在株価以下             │</w:t>
        <w:br/>
        <w:t>│   2. 基本シナリオで▲43%の下落余地あり        │</w:t>
        <w:br/>
        <w:t>│   3. 円高転換リスクが業績・バリュエーション    │</w:t>
        <w:br/>
        <w:t>│      双方に下押し圧力                        │</w:t>
        <w:br/>
        <w:t>│   4. ROE 8.7%に対しPER 24.7倍は割高         │</w:t>
        <w:br/>
        <w:t>└─────────────────────────────────────────┘</w:t>
      </w:r>
    </w:p>
    <w:p/>
    <w:p>
      <w:r>
        <w:rPr>
          <w:rFonts w:ascii="Meiryo UI" w:hAnsi="Meiryo UI"/>
          <w:sz w:val="20"/>
        </w:rPr>
        <w:t>&gt; 深井補足：「売り」判断の前提は現在の成長率・コスト構造が継続した場合。円高が限定的に収まり（USD/JPY 142〜148円）、かつCAR-T細胞処理が急速に立ち上がった場合は強気シナリオ寄りになるが、それでも現在株価は若干割高圏。</w:t>
      </w:r>
    </w:p>
    <w:p/>
    <w:p>
      <w:r>
        <w:t>──────────────────────────────────────────────────</w:t>
      </w:r>
    </w:p>
    <w:p/>
    <w:p>
      <w:pPr>
        <w:pStyle w:val="Heading2"/>
      </w:pPr>
      <w:r>
        <w:rPr>
          <w:rFonts w:ascii="Meiryo UI" w:hAnsi="Meiryo UI"/>
          <w:color w:val="2E74B5"/>
        </w:rPr>
        <w:t>6. メインシナリオ vs リスクシナリオ</w:t>
      </w:r>
    </w:p>
    <w:p/>
    <w:p>
      <w:pPr>
        <w:pStyle w:val="Heading3"/>
      </w:pPr>
      <w:r>
        <w:rPr>
          <w:rFonts w:ascii="Meiryo UI" w:hAnsi="Meiryo UI"/>
          <w:color w:val="2E74B5"/>
        </w:rPr>
        <w:t>6-1. 3ケース詳細</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発生確率</w:t>
            </w:r>
          </w:p>
        </w:tc>
        <w:tc>
          <w:tcPr>
            <w:tcW w:type="dxa" w:w="2351"/>
          </w:tcPr>
          <w:p>
            <w:r>
              <w:rPr>
                <w:rFonts w:ascii="Meiryo UI" w:hAnsi="Meiryo UI"/>
                <w:sz w:val="18"/>
              </w:rPr>
              <w:t>25%</w:t>
            </w:r>
          </w:p>
        </w:tc>
        <w:tc>
          <w:tcPr>
            <w:tcW w:type="dxa" w:w="2351"/>
          </w:tcPr>
          <w:p>
            <w:r>
              <w:rPr>
                <w:rFonts w:ascii="Meiryo UI" w:hAnsi="Meiryo UI"/>
                <w:sz w:val="18"/>
              </w:rPr>
              <w:t>50%</w:t>
            </w:r>
          </w:p>
        </w:tc>
        <w:tc>
          <w:tcPr>
            <w:tcW w:type="dxa" w:w="2351"/>
          </w:tcPr>
          <w:p>
            <w:r>
              <w:rPr>
                <w:rFonts w:ascii="Meiryo UI" w:hAnsi="Meiryo UI"/>
                <w:sz w:val="18"/>
              </w:rPr>
              <w:t>25%</w:t>
            </w:r>
          </w:p>
        </w:tc>
      </w:tr>
      <w:tr>
        <w:tc>
          <w:tcPr>
            <w:tcW w:type="dxa" w:w="2351"/>
            <w:shd w:val="clear" w:color="auto" w:fill="DDEBF7"/>
          </w:tcPr>
          <w:p>
            <w:r>
              <w:rPr>
                <w:rFonts w:ascii="Meiryo UI" w:hAnsi="Meiryo UI"/>
                <w:sz w:val="18"/>
              </w:rPr>
              <w:t>USD/JPY</w:t>
            </w:r>
          </w:p>
        </w:tc>
        <w:tc>
          <w:tcPr>
            <w:tcW w:type="dxa" w:w="2351"/>
            <w:shd w:val="clear" w:color="auto" w:fill="DDEBF7"/>
          </w:tcPr>
          <w:p>
            <w:r>
              <w:rPr>
                <w:rFonts w:ascii="Meiryo UI" w:hAnsi="Meiryo UI"/>
                <w:sz w:val="18"/>
              </w:rPr>
              <w:t>142〜148円</w:t>
            </w:r>
          </w:p>
        </w:tc>
        <w:tc>
          <w:tcPr>
            <w:tcW w:type="dxa" w:w="2351"/>
            <w:shd w:val="clear" w:color="auto" w:fill="DDEBF7"/>
          </w:tcPr>
          <w:p>
            <w:r>
              <w:rPr>
                <w:rFonts w:ascii="Meiryo UI" w:hAnsi="Meiryo UI"/>
                <w:sz w:val="18"/>
              </w:rPr>
              <w:t>135〜142円</w:t>
            </w:r>
          </w:p>
        </w:tc>
        <w:tc>
          <w:tcPr>
            <w:tcW w:type="dxa" w:w="2351"/>
            <w:shd w:val="clear" w:color="auto" w:fill="DDEBF7"/>
          </w:tcPr>
          <w:p>
            <w:r>
              <w:rPr>
                <w:rFonts w:ascii="Meiryo UI" w:hAnsi="Meiryo UI"/>
                <w:sz w:val="18"/>
              </w:rPr>
              <w:t>125〜132円</w:t>
            </w:r>
          </w:p>
        </w:tc>
      </w:tr>
      <w:tr>
        <w:tc>
          <w:tcPr>
            <w:tcW w:type="dxa" w:w="2351"/>
          </w:tcPr>
          <w:p>
            <w:r>
              <w:rPr>
                <w:rFonts w:ascii="Meiryo UI" w:hAnsi="Meiryo UI"/>
                <w:sz w:val="18"/>
              </w:rPr>
              <w:t>売上成長率（FY2026）</w:t>
            </w:r>
          </w:p>
        </w:tc>
        <w:tc>
          <w:tcPr>
            <w:tcW w:type="dxa" w:w="2351"/>
          </w:tcPr>
          <w:p>
            <w:r>
              <w:rPr>
                <w:rFonts w:ascii="Meiryo UI" w:hAnsi="Meiryo UI"/>
                <w:sz w:val="18"/>
              </w:rPr>
              <w:t>+8〜10%</w:t>
            </w:r>
          </w:p>
        </w:tc>
        <w:tc>
          <w:tcPr>
            <w:tcW w:type="dxa" w:w="2351"/>
          </w:tcPr>
          <w:p>
            <w:r>
              <w:rPr>
                <w:rFonts w:ascii="Meiryo UI" w:hAnsi="Meiryo UI"/>
                <w:sz w:val="18"/>
              </w:rPr>
              <w:t>+3〜5%</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営業利益率（FY2026）</w:t>
            </w:r>
          </w:p>
        </w:tc>
        <w:tc>
          <w:tcPr>
            <w:tcW w:type="dxa" w:w="2351"/>
            <w:shd w:val="clear" w:color="auto" w:fill="DDEBF7"/>
          </w:tcPr>
          <w:p>
            <w:r>
              <w:rPr>
                <w:rFonts w:ascii="Meiryo UI" w:hAnsi="Meiryo UI"/>
                <w:sz w:val="18"/>
              </w:rPr>
              <w:t>16〜18%</w:t>
            </w:r>
          </w:p>
        </w:tc>
        <w:tc>
          <w:tcPr>
            <w:tcW w:type="dxa" w:w="2351"/>
            <w:shd w:val="clear" w:color="auto" w:fill="DDEBF7"/>
          </w:tcPr>
          <w:p>
            <w:r>
              <w:rPr>
                <w:rFonts w:ascii="Meiryo UI" w:hAnsi="Meiryo UI"/>
                <w:sz w:val="18"/>
              </w:rPr>
              <w:t>13〜15%</w:t>
            </w:r>
          </w:p>
        </w:tc>
        <w:tc>
          <w:tcPr>
            <w:tcW w:type="dxa" w:w="2351"/>
            <w:shd w:val="clear" w:color="auto" w:fill="DDEBF7"/>
          </w:tcPr>
          <w:p>
            <w:r>
              <w:rPr>
                <w:rFonts w:ascii="Meiryo UI" w:hAnsi="Meiryo UI"/>
                <w:sz w:val="18"/>
              </w:rPr>
              <w:t>10〜12%</w:t>
            </w:r>
          </w:p>
        </w:tc>
      </w:tr>
      <w:tr>
        <w:tc>
          <w:tcPr>
            <w:tcW w:type="dxa" w:w="2351"/>
          </w:tcPr>
          <w:p>
            <w:r>
              <w:rPr>
                <w:rFonts w:ascii="Meiryo UI" w:hAnsi="Meiryo UI"/>
                <w:sz w:val="18"/>
              </w:rPr>
              <w:t>EPS（FY2026E）</w:t>
            </w:r>
          </w:p>
        </w:tc>
        <w:tc>
          <w:tcPr>
            <w:tcW w:type="dxa" w:w="2351"/>
          </w:tcPr>
          <w:p>
            <w:r>
              <w:rPr>
                <w:rFonts w:ascii="Meiryo UI" w:hAnsi="Meiryo UI"/>
                <w:sz w:val="18"/>
              </w:rPr>
              <w:t>¥110〜120</w:t>
            </w:r>
          </w:p>
        </w:tc>
        <w:tc>
          <w:tcPr>
            <w:tcW w:type="dxa" w:w="2351"/>
          </w:tcPr>
          <w:p>
            <w:r>
              <w:rPr>
                <w:rFonts w:ascii="Meiryo UI" w:hAnsi="Meiryo UI"/>
                <w:sz w:val="18"/>
              </w:rPr>
              <w:t>¥85〜95</w:t>
            </w:r>
          </w:p>
        </w:tc>
        <w:tc>
          <w:tcPr>
            <w:tcW w:type="dxa" w:w="2351"/>
          </w:tcPr>
          <w:p>
            <w:r>
              <w:rPr>
                <w:rFonts w:ascii="Meiryo UI" w:hAnsi="Meiryo UI"/>
                <w:sz w:val="18"/>
              </w:rPr>
              <w:t>¥55〜70</w:t>
            </w:r>
          </w:p>
        </w:tc>
      </w:tr>
      <w:tr>
        <w:tc>
          <w:tcPr>
            <w:tcW w:type="dxa" w:w="2351"/>
            <w:shd w:val="clear" w:color="auto" w:fill="DDEBF7"/>
          </w:tcPr>
          <w:p>
            <w:r>
              <w:rPr>
                <w:rFonts w:ascii="Meiryo UI" w:hAnsi="Meiryo UI"/>
                <w:sz w:val="18"/>
              </w:rPr>
              <w:t>CAR-T立ち上がり</w:t>
            </w:r>
          </w:p>
        </w:tc>
        <w:tc>
          <w:tcPr>
            <w:tcW w:type="dxa" w:w="2351"/>
            <w:shd w:val="clear" w:color="auto" w:fill="DDEBF7"/>
          </w:tcPr>
          <w:p>
            <w:r>
              <w:rPr>
                <w:rFonts w:ascii="Meiryo UI" w:hAnsi="Meiryo UI"/>
                <w:sz w:val="18"/>
              </w:rPr>
              <w:t>2026年本格化</w:t>
            </w:r>
          </w:p>
        </w:tc>
        <w:tc>
          <w:tcPr>
            <w:tcW w:type="dxa" w:w="2351"/>
            <w:shd w:val="clear" w:color="auto" w:fill="DDEBF7"/>
          </w:tcPr>
          <w:p>
            <w:r>
              <w:rPr>
                <w:rFonts w:ascii="Meiryo UI" w:hAnsi="Meiryo UI"/>
                <w:sz w:val="18"/>
              </w:rPr>
              <w:t>2027〜2028年</w:t>
            </w:r>
          </w:p>
        </w:tc>
        <w:tc>
          <w:tcPr>
            <w:tcW w:type="dxa" w:w="2351"/>
            <w:shd w:val="clear" w:color="auto" w:fill="DDEBF7"/>
          </w:tcPr>
          <w:p>
            <w:r>
              <w:rPr>
                <w:rFonts w:ascii="Meiryo UI" w:hAnsi="Meiryo UI"/>
                <w:sz w:val="18"/>
              </w:rPr>
              <w:t>2028〜2029年以降</w:t>
            </w:r>
          </w:p>
        </w:tc>
      </w:tr>
      <w:tr>
        <w:tc>
          <w:tcPr>
            <w:tcW w:type="dxa" w:w="2351"/>
          </w:tcPr>
          <w:p>
            <w:r>
              <w:rPr>
                <w:rFonts w:ascii="Meiryo UI" w:hAnsi="Meiryo UI"/>
                <w:sz w:val="18"/>
              </w:rPr>
              <w:t>コスト改善</w:t>
            </w:r>
          </w:p>
        </w:tc>
        <w:tc>
          <w:tcPr>
            <w:tcW w:type="dxa" w:w="2351"/>
          </w:tcPr>
          <w:p>
            <w:r>
              <w:rPr>
                <w:rFonts w:ascii="Meiryo UI" w:hAnsi="Meiryo UI"/>
                <w:sz w:val="18"/>
              </w:rPr>
              <w:t>原材料▲3%pt</w:t>
            </w:r>
          </w:p>
        </w:tc>
        <w:tc>
          <w:tcPr>
            <w:tcW w:type="dxa" w:w="2351"/>
          </w:tcPr>
          <w:p>
            <w:r>
              <w:rPr>
                <w:rFonts w:ascii="Meiryo UI" w:hAnsi="Meiryo UI"/>
                <w:sz w:val="18"/>
              </w:rPr>
              <w:t>横ばい</w:t>
            </w:r>
          </w:p>
        </w:tc>
        <w:tc>
          <w:tcPr>
            <w:tcW w:type="dxa" w:w="2351"/>
          </w:tcPr>
          <w:p>
            <w:r>
              <w:rPr>
                <w:rFonts w:ascii="Meiryo UI" w:hAnsi="Meiryo UI"/>
                <w:sz w:val="18"/>
              </w:rPr>
              <w:t>コスト増▲2%pt</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¥2,010</w:t>
            </w:r>
          </w:p>
        </w:tc>
        <w:tc>
          <w:tcPr>
            <w:tcW w:type="dxa" w:w="2351"/>
            <w:shd w:val="clear" w:color="auto" w:fill="DDEBF7"/>
          </w:tcPr>
          <w:p>
            <w:r>
              <w:rPr>
                <w:rFonts w:ascii="Meiryo UI" w:hAnsi="Meiryo UI"/>
                <w:sz w:val="18"/>
              </w:rPr>
              <w:t>¥1,238</w:t>
            </w:r>
          </w:p>
        </w:tc>
        <w:tc>
          <w:tcPr>
            <w:tcW w:type="dxa" w:w="2351"/>
            <w:shd w:val="clear" w:color="auto" w:fill="DDEBF7"/>
          </w:tcPr>
          <w:p>
            <w:r>
              <w:rPr>
                <w:rFonts w:ascii="Meiryo UI" w:hAnsi="Meiryo UI"/>
                <w:sz w:val="18"/>
              </w:rPr>
              <w:t>¥729</w:t>
            </w:r>
          </w:p>
        </w:tc>
      </w:tr>
      <w:tr>
        <w:tc>
          <w:tcPr>
            <w:tcW w:type="dxa" w:w="2351"/>
          </w:tcPr>
          <w:p>
            <w:r>
              <w:rPr>
                <w:rFonts w:ascii="Meiryo UI" w:hAnsi="Meiryo UI"/>
                <w:sz w:val="18"/>
              </w:rPr>
              <w:t>配当（FY2026）</w:t>
            </w:r>
          </w:p>
        </w:tc>
        <w:tc>
          <w:tcPr>
            <w:tcW w:type="dxa" w:w="2351"/>
          </w:tcPr>
          <w:p>
            <w:r>
              <w:rPr>
                <w:rFonts w:ascii="Meiryo UI" w:hAnsi="Meiryo UI"/>
                <w:sz w:val="18"/>
              </w:rPr>
              <w:t>¥26〜28</w:t>
            </w:r>
          </w:p>
        </w:tc>
        <w:tc>
          <w:tcPr>
            <w:tcW w:type="dxa" w:w="2351"/>
          </w:tcPr>
          <w:p>
            <w:r>
              <w:rPr>
                <w:rFonts w:ascii="Meiryo UI" w:hAnsi="Meiryo UI"/>
                <w:sz w:val="18"/>
              </w:rPr>
              <w:t>¥22〜24</w:t>
            </w:r>
          </w:p>
        </w:tc>
        <w:tc>
          <w:tcPr>
            <w:tcW w:type="dxa" w:w="2351"/>
          </w:tcPr>
          <w:p>
            <w:r>
              <w:rPr>
                <w:rFonts w:ascii="Meiryo UI" w:hAnsi="Meiryo UI"/>
                <w:sz w:val="18"/>
              </w:rPr>
              <w:t>¥18〜20</w:t>
            </w:r>
          </w:p>
        </w:tc>
      </w:tr>
      <w:tr>
        <w:tc>
          <w:tcPr>
            <w:tcW w:type="dxa" w:w="2351"/>
            <w:shd w:val="clear" w:color="auto" w:fill="DDEBF7"/>
          </w:tcPr>
          <w:p>
            <w:r>
              <w:rPr>
                <w:rFonts w:ascii="Meiryo UI" w:hAnsi="Meiryo UI"/>
                <w:sz w:val="18"/>
              </w:rPr>
              <w:t>投資判断</w:t>
            </w:r>
          </w:p>
        </w:tc>
        <w:tc>
          <w:tcPr>
            <w:tcW w:type="dxa" w:w="2351"/>
            <w:shd w:val="clear" w:color="auto" w:fill="DDEBF7"/>
          </w:tcPr>
          <w:p>
            <w:r>
              <w:rPr>
                <w:rFonts w:ascii="Meiryo UI" w:hAnsi="Meiryo UI"/>
                <w:sz w:val="18"/>
              </w:rPr>
              <w:t>中立〜弱い売り</w:t>
            </w:r>
          </w:p>
        </w:tc>
        <w:tc>
          <w:tcPr>
            <w:tcW w:type="dxa" w:w="2351"/>
            <w:shd w:val="clear" w:color="auto" w:fill="DDEBF7"/>
          </w:tcPr>
          <w:p>
            <w:r>
              <w:rPr>
                <w:rFonts w:ascii="Meiryo UI" w:hAnsi="Meiryo UI"/>
                <w:sz w:val="18"/>
              </w:rPr>
              <w:t>売り</w:t>
            </w:r>
          </w:p>
        </w:tc>
        <w:tc>
          <w:tcPr>
            <w:tcW w:type="dxa" w:w="2351"/>
            <w:shd w:val="clear" w:color="auto" w:fill="DDEBF7"/>
          </w:tcPr>
          <w:p>
            <w:r>
              <w:rPr>
                <w:rFonts w:ascii="Meiryo UI" w:hAnsi="Meiryo UI"/>
                <w:sz w:val="18"/>
              </w:rPr>
              <w:t>強い売り</w:t>
            </w:r>
          </w:p>
        </w:tc>
      </w:tr>
    </w:tbl>
    <w:p/>
    <w:p>
      <w:pPr>
        <w:pStyle w:val="Heading3"/>
      </w:pPr>
      <w:r>
        <w:rPr>
          <w:rFonts w:ascii="Meiryo UI" w:hAnsi="Meiryo UI"/>
          <w:color w:val="2E74B5"/>
        </w:rPr>
        <w:t>6-2. キーリスクとキーアップサイド</w:t>
      </w:r>
    </w:p>
    <w:p/>
    <w:p>
      <w:pPr>
        <w:shd w:val="clear" w:color="auto" w:fill="F2F2F2"/>
      </w:pPr>
      <w:r>
        <w:rPr>
          <w:rFonts w:ascii="Courier New" w:hAnsi="Courier New"/>
          <w:sz w:val="16"/>
        </w:rPr>
        <w:t>【ダウンサイドリスク（優先度順）】</w:t>
        <w:br/>
        <w:t>1. 円高急進（USD/JPY 125〜130円）：最大リスク。業績直撃 + 期待剥落の二重苦</w:t>
        <w:br/>
        <w:t>2. 中国市場の規制強化・ゼロコビット政策類似の需要蒸発</w:t>
        <w:br/>
        <w:t>3. TAVR分野でのエドワーズ独占的拡大（テルモの参入余地縮小）</w:t>
        <w:br/>
        <w:t>4. CAR-T細胞処理市場の立ち上がり遅延（規制・保険償還の障壁）</w:t>
        <w:br/>
        <w:t>5. 日本国内薬価・診療報酬の追加引き下げ（2026年改定）</w:t>
        <w:br/>
        <w:t>6. 原油価格（現在WTI $112/bbl）高止まりによる原材料コスト継続</w:t>
        <w:br/>
        <w:br/>
        <w:t>【アップサイドカタリスト（優先度順）】</w:t>
        <w:br/>
        <w:t>1. 円高転換の限定（USD/JPY 140円台で安定化）</w:t>
        <w:br/>
        <w:t>2. BCT細胞療法：大手医療センターとの大型複数年契約締結</w:t>
        <w:br/>
        <w:t>3. CV：ニューロバスキュラー新製品の欧米FDA承認取得</w:t>
        <w:br/>
        <w:t>4. 自社株買い大幅拡大（株主還元強化）</w:t>
        <w:br/>
        <w:t>5. 大型M&amp;A（デジタルヘルス/AI診断との融合）</w:t>
        <w:br/>
        <w:t>6. WTI原油急落（$80以下）による原材料コスト大幅改善</w:t>
      </w:r>
    </w:p>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 vs 深井DCF</w:t>
      </w:r>
    </w:p>
    <w:p/>
    <w:p>
      <w:pPr>
        <w:shd w:val="clear" w:color="auto" w:fill="F2F2F2"/>
      </w:pPr>
      <w:r>
        <w:rPr>
          <w:rFonts w:ascii="Courier New" w:hAnsi="Courier New"/>
          <w:sz w:val="16"/>
        </w:rPr>
        <w:t>浅井速報スコア：+0（BUY方向なし・スキャン対象外）</w:t>
        <w:br/>
        <w:t>浅井コメント：（国内スキャン対象外）</w:t>
        <w:br/>
        <w:t>深井DCF判定：【売り】/ 理論株価¥1,342（現在比▲38.6%）</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浅井センチメント</w:t>
            </w:r>
          </w:p>
        </w:tc>
        <w:tc>
          <w:tcPr>
            <w:tcW w:type="dxa" w:w="2351"/>
            <w:shd w:val="clear" w:color="auto" w:fill="2E74B5"/>
          </w:tcPr>
          <w:p>
            <w:r>
              <w:rPr>
                <w:rFonts w:ascii="Meiryo UI" w:hAnsi="Meiryo UI"/>
                <w:b/>
                <w:color w:val="FFFFFF"/>
                <w:sz w:val="18"/>
              </w:rPr>
              <w:t>深井バリュエーション</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短期センチメント</w:t>
            </w:r>
          </w:p>
        </w:tc>
        <w:tc>
          <w:tcPr>
            <w:tcW w:type="dxa" w:w="2351"/>
          </w:tcPr>
          <w:p>
            <w:r>
              <w:rPr>
                <w:rFonts w:ascii="Meiryo UI" w:hAnsi="Meiryo UI"/>
                <w:sz w:val="18"/>
              </w:rPr>
              <w:t>中立（スコア+0）</w:t>
            </w:r>
          </w:p>
        </w:tc>
        <w:tc>
          <w:tcPr>
            <w:tcW w:type="dxa" w:w="2351"/>
          </w:tcPr>
          <w:p>
            <w:r>
              <w:rPr>
                <w:rFonts w:ascii="Meiryo UI" w:hAnsi="Meiryo UI"/>
                <w:sz w:val="18"/>
              </w:rPr>
              <w:t>割高（DCF売り）</w:t>
            </w:r>
          </w:p>
        </w:tc>
        <w:tc>
          <w:tcPr>
            <w:tcW w:type="dxa" w:w="2351"/>
          </w:tcPr>
          <w:p>
            <w:r>
              <w:rPr>
                <w:rFonts w:ascii="Meiryo UI" w:hAnsi="Meiryo UI"/>
                <w:sz w:val="18"/>
              </w:rPr>
              <w:t>整合的（ポジティブ強がりなし）</w:t>
            </w:r>
          </w:p>
        </w:tc>
      </w:tr>
      <w:tr>
        <w:tc>
          <w:tcPr>
            <w:tcW w:type="dxa" w:w="2351"/>
            <w:shd w:val="clear" w:color="auto" w:fill="DDEBF7"/>
          </w:tcPr>
          <w:p>
            <w:r>
              <w:rPr>
                <w:rFonts w:ascii="Meiryo UI" w:hAnsi="Meiryo UI"/>
                <w:sz w:val="18"/>
              </w:rPr>
              <w:t>本源的価値</w:t>
            </w:r>
          </w:p>
        </w:tc>
        <w:tc>
          <w:tcPr>
            <w:tcW w:type="dxa" w:w="2351"/>
            <w:shd w:val="clear" w:color="auto" w:fill="DDEBF7"/>
          </w:tcPr>
          <w:p>
            <w:r>
              <w:rPr>
                <w:rFonts w:ascii="Meiryo UI" w:hAnsi="Meiryo UI"/>
                <w:sz w:val="18"/>
              </w:rPr>
              <w:t>非評価</w:t>
            </w:r>
          </w:p>
        </w:tc>
        <w:tc>
          <w:tcPr>
            <w:tcW w:type="dxa" w:w="2351"/>
            <w:shd w:val="clear" w:color="auto" w:fill="DDEBF7"/>
          </w:tcPr>
          <w:p>
            <w:r>
              <w:rPr>
                <w:rFonts w:ascii="Meiryo UI" w:hAnsi="Meiryo UI"/>
                <w:sz w:val="18"/>
              </w:rPr>
              <w:t>¥1,342（▲38.6%）</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リバウンド期待</w:t>
            </w:r>
          </w:p>
        </w:tc>
        <w:tc>
          <w:tcPr>
            <w:tcW w:type="dxa" w:w="2351"/>
          </w:tcPr>
          <w:p>
            <w:r>
              <w:rPr>
                <w:rFonts w:ascii="Meiryo UI" w:hAnsi="Meiryo UI"/>
                <w:sz w:val="18"/>
              </w:rPr>
              <w:t>非言及</w:t>
            </w:r>
          </w:p>
        </w:tc>
        <w:tc>
          <w:tcPr>
            <w:tcW w:type="dxa" w:w="2351"/>
          </w:tcPr>
          <w:p>
            <w:r>
              <w:rPr>
                <w:rFonts w:ascii="Meiryo UI" w:hAnsi="Meiryo UI"/>
                <w:sz w:val="18"/>
              </w:rPr>
              <w:t>部分的に織り込み済み</w:t>
            </w:r>
          </w:p>
        </w:tc>
        <w:tc>
          <w:tcPr>
            <w:tcW w:type="dxa" w:w="2351"/>
          </w:tcPr>
          <w:p>
            <w:r>
              <w:rPr>
                <w:rFonts w:ascii="Meiryo UI" w:hAnsi="Meiryo UI"/>
                <w:sz w:val="18"/>
              </w:rPr>
              <w:t>要注意</w:t>
            </w:r>
          </w:p>
        </w:tc>
      </w:tr>
    </w:tbl>
    <w:p/>
    <w:p>
      <w:pPr>
        <w:pStyle w:val="Heading3"/>
      </w:pPr>
      <w:r>
        <w:rPr>
          <w:rFonts w:ascii="Meiryo UI" w:hAnsi="Meiryo UI"/>
          <w:color w:val="2E74B5"/>
        </w:rPr>
        <w:t>7-2. センチメントと本源的価値のギャップ分析</w:t>
      </w:r>
    </w:p>
    <w:p/>
    <w:p>
      <w:pPr>
        <w:shd w:val="clear" w:color="auto" w:fill="F2F2F2"/>
      </w:pPr>
      <w:r>
        <w:rPr>
          <w:rFonts w:ascii="Courier New" w:hAnsi="Courier New"/>
          <w:sz w:val="16"/>
        </w:rPr>
        <w:t>現在の市場センチメントの読み方：</w:t>
        <w:br/>
        <w:br/>
        <w:t>「株価¥2,186」の構成要素（深井推定）：</w:t>
        <w:br/>
        <w:t xml:space="preserve">  本源的価値（DCFベース）：¥1,342（61%）</w:t>
        <w:br/>
        <w:t xml:space="preserve">  リバウンド期待プレミアム：¥600〜700（28〜32%）</w:t>
        <w:br/>
        <w:t xml:space="preserve">  流動性/希少性プレミアム：¥100〜150（5〜7%）</w:t>
        <w:br/>
        <w:br/>
        <w:t>→ 現在株価の約28〜32%はリバウンド期待のプレミアムで説明される</w:t>
        <w:br/>
        <w:t>→ このプレミアムが剥落した場合（リバウンド失望）、¥1,400台まで急落リスク</w:t>
        <w:br/>
        <w:t>→ プレミアムが維持・拡大するためには：</w:t>
        <w:br/>
        <w:t xml:space="preserve">  「売上成長率の加速（8%超）」AND「円高限定（140円以上維持）」の両立が必要</w:t>
        <w:br/>
        <w:br/>
        <w:t>現時点の市場の「罠の構造」：</w:t>
        <w:br/>
        <w:t xml:space="preserve">  ・市場参加者はリバウンドを「期待」しているが「確認」していない</w:t>
        <w:br/>
        <w:t xml:space="preserve">  ・業績確認前に先取りした株価水準</w:t>
        <w:br/>
        <w:t xml:space="preserve">  ・確認失敗時の下落幅が大きい非対称リスク構造</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推奨ポジション</w:t>
      </w:r>
    </w:p>
    <w:p/>
    <w:p>
      <w:pPr>
        <w:shd w:val="clear" w:color="auto" w:fill="F2F2F2"/>
      </w:pPr>
      <w:r>
        <w:rPr>
          <w:rFonts w:ascii="Courier New" w:hAnsi="Courier New"/>
          <w:sz w:val="16"/>
        </w:rPr>
        <w:t>現時点での結論：</w:t>
        <w:br/>
        <w:t>【新規買いは推奨しない】</w:t>
        <w:br/>
        <w:t>現在株価¥2,186は、強気シナリオでさえ理論株価を上回っており、</w:t>
        <w:br/>
        <w:t>リスクリワード比が著しく悪い。</w:t>
        <w:br/>
        <w:br/>
        <w:t>「長期低迷後のリバウンド＝本物の回復」ではなく、</w:t>
        <w:br/>
        <w:t>現時点では「リバウンド期待の先食い」の状態にある。</w:t>
      </w:r>
    </w:p>
    <w:p/>
    <w:p>
      <w:pPr>
        <w:pStyle w:val="Heading3"/>
      </w:pPr>
      <w:r>
        <w:rPr>
          <w:rFonts w:ascii="Meiryo UI" w:hAnsi="Meiryo UI"/>
          <w:color w:val="2E74B5"/>
        </w:rPr>
        <w:t>8-2. エントリー条件（条件付き戦略）</w:t>
      </w:r>
    </w:p>
    <w:p/>
    <w:p>
      <w:pPr>
        <w:shd w:val="clear" w:color="auto" w:fill="F2F2F2"/>
      </w:pPr>
      <w:r>
        <w:rPr>
          <w:rFonts w:ascii="Courier New" w:hAnsi="Courier New"/>
          <w:sz w:val="16"/>
        </w:rPr>
        <w:t>【条件付きウォッチリスト戦略】</w:t>
        <w:br/>
        <w:br/>
        <w:t>エントリー条件（すべてを満たした場合のみ）：</w:t>
        <w:br/>
        <w:t xml:space="preserve">  ① 株価が¥1,600以下に調整</w:t>
        <w:br/>
        <w:t xml:space="preserve">     （理論株価¥1,342への安全域20%上 = ¥1,610が上限）</w:t>
        <w:br/>
        <w:t xml:space="preserve">  ② EPS改善確認：FY2026Q1以降でEPS年率換算¥95以上（YoY+7%超）</w:t>
        <w:br/>
        <w:t xml:space="preserve">  ③ 為替：USD/JPY が¥138以上を維持（直近3カ月平均）</w:t>
        <w:br/>
        <w:t xml:space="preserve">  ④ BCT細胞療法受注：最低1件の大型複数年契約のプレスリリース</w:t>
        <w:br/>
        <w:br/>
        <w:t>エントリー段階戦略（条件達成時）：</w:t>
        <w:br/>
        <w:t xml:space="preserve">  ・第1弾：¥1,600〜1,500  →  予定資金の30%投入</w:t>
        <w:br/>
        <w:t xml:space="preserve">  ・第2弾：¥1,400〜1,300  →  予定資金の40%投入</w:t>
        <w:br/>
        <w:t xml:space="preserve">  ・第3弾：¥1,200以下      →  予定資金の30%投入（ただし③の確認必須）</w:t>
      </w:r>
    </w:p>
    <w:p/>
    <w:p>
      <w:pPr>
        <w:pStyle w:val="Heading3"/>
      </w:pPr>
      <w:r>
        <w:rPr>
          <w:rFonts w:ascii="Meiryo UI" w:hAnsi="Meiryo UI"/>
          <w:color w:val="2E74B5"/>
        </w:rPr>
        <w:t>8-3. 損切りライン・目標株価</w:t>
      </w:r>
    </w:p>
    <w:p/>
    <w:p>
      <w:pPr>
        <w:shd w:val="clear" w:color="auto" w:fill="F2F2F2"/>
      </w:pPr>
      <w:r>
        <w:rPr>
          <w:rFonts w:ascii="Courier New" w:hAnsi="Courier New"/>
          <w:sz w:val="16"/>
        </w:rPr>
        <w:t>損切りライン（万一エントリーした場合）：</w:t>
        <w:br/>
        <w:t xml:space="preserve">  エントリー価格から▲15%を厳守</w:t>
        <w:br/>
        <w:t xml:space="preserve">  例：¥1,500でエントリー → 損切り¥1,275</w:t>
        <w:br/>
        <w:br/>
        <w:t>利益確定目標（強気シナリオ実現時）：</w:t>
        <w:br/>
        <w:t xml:space="preserve">  第1目標：¥2,000（現在値近辺。リバウンド確認後の一部利食い）</w:t>
        <w:br/>
        <w:t xml:space="preserve">  第2目標：¥2,300〜2,500（2〜3年後の強気シナリオ理論値）</w:t>
        <w:br/>
        <w:t xml:space="preserve">  ※ 強気シナリオは現在のDCF理論株価¥2,010より更に上に到達するには</w:t>
        <w:br/>
        <w:t xml:space="preserve">    WACC低下（金利低下）or FCF大幅超過成長が必要</w:t>
      </w:r>
    </w:p>
    <w:p/>
    <w:p>
      <w:pPr>
        <w:pStyle w:val="Heading3"/>
      </w:pPr>
      <w:r>
        <w:rPr>
          <w:rFonts w:ascii="Meiryo UI" w:hAnsi="Meiryo UI"/>
          <w:color w:val="2E74B5"/>
        </w:rPr>
        <w:t>8-4. 時間軸</w:t>
      </w:r>
    </w:p>
    <w:p/>
    <w:p>
      <w:pPr>
        <w:shd w:val="clear" w:color="auto" w:fill="F2F2F2"/>
      </w:pPr>
      <w:r>
        <w:rPr>
          <w:rFonts w:ascii="Courier New" w:hAnsi="Courier New"/>
          <w:sz w:val="16"/>
        </w:rPr>
        <w:t>短期（0〜6ヶ月）：</w:t>
        <w:br/>
        <w:t xml:space="preserve">  アクション：売り・ニュートラル（新規買いなし）</w:t>
        <w:br/>
        <w:t xml:space="preserve">  監視ポイント：FY2025通期決算発表（2026年5月予定）</w:t>
        <w:br/>
        <w:t xml:space="preserve">              来期ガイダンスの内容（特に為替前提の設定）</w:t>
        <w:br/>
        <w:br/>
        <w:t>中期（6〜18ヶ月）：</w:t>
        <w:br/>
        <w:t xml:space="preserve">  アクション：条件達成時のみ段階的エントリー</w:t>
        <w:br/>
        <w:t xml:space="preserve">  監視ポイント：BCT細胞療法の受注動向</w:t>
        <w:br/>
        <w:t xml:space="preserve">              USD/JPY 為替レートのトレンド確認</w:t>
        <w:br/>
        <w:t xml:space="preserve">              FY2026Q1〜Q2業績（YoY改善率の確認）</w:t>
        <w:br/>
        <w:br/>
        <w:t>長期（18ヶ月〜3年）：</w:t>
        <w:br/>
        <w:t xml:space="preserve">  アクション：全条件達成・エントリー完了後はホールド</w:t>
        <w:br/>
        <w:t xml:space="preserve">  監視ポイント：ROE 10%超達成（本物の回復の証左）</w:t>
        <w:br/>
        <w:t xml:space="preserve">              CAR-T細胞処理システムのグローバル拡大</w:t>
        <w:br/>
        <w:t xml:space="preserve">              配当・自社株買い増加（株主還元強化）</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p>
      <w:r>
        <w:rPr>
          <w:rFonts w:ascii="Meiryo UI" w:hAnsi="Meiryo UI"/>
          <w:sz w:val="20"/>
        </w:rPr>
        <w:t>前提固定パラメータ：β=1.05、ERP=5.50%、基本シナリオ採用（g=2.0%）</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w:t>
            </w:r>
          </w:p>
        </w:tc>
        <w:tc>
          <w:tcPr>
            <w:tcW w:type="dxa" w:w="1568"/>
            <w:shd w:val="clear" w:color="auto" w:fill="2E74B5"/>
          </w:tcPr>
          <w:p>
            <w:r>
              <w:rPr>
                <w:rFonts w:ascii="Meiryo UI" w:hAnsi="Meiryo UI"/>
                <w:b/>
                <w:color w:val="FFFFFF"/>
                <w:sz w:val="18"/>
              </w:rPr>
              <w:t>Re(%)</w:t>
            </w:r>
          </w:p>
        </w:tc>
        <w:tc>
          <w:tcPr>
            <w:tcW w:type="dxa" w:w="1568"/>
            <w:shd w:val="clear" w:color="auto" w:fill="2E74B5"/>
          </w:tcPr>
          <w:p>
            <w:r>
              <w:rPr>
                <w:rFonts w:ascii="Meiryo UI" w:hAnsi="Meiryo UI"/>
                <w:b/>
                <w:color w:val="FFFFFF"/>
                <w:sz w:val="18"/>
              </w:rPr>
              <w:t>WACC(%)</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現在値比乖離率</w:t>
            </w:r>
          </w:p>
        </w:tc>
      </w:tr>
      <w:tr>
        <w:tc>
          <w:tcPr>
            <w:tcW w:type="dxa" w:w="1568"/>
          </w:tcPr>
          <w:p>
            <w:r>
              <w:rPr>
                <w:rFonts w:ascii="Meiryo UI" w:hAnsi="Meiryo UI"/>
                <w:sz w:val="18"/>
              </w:rPr>
              <w:t>Rf ▲1.00%</w:t>
            </w:r>
          </w:p>
        </w:tc>
        <w:tc>
          <w:tcPr>
            <w:tcW w:type="dxa" w:w="1568"/>
          </w:tcPr>
          <w:p>
            <w:r>
              <w:rPr>
                <w:rFonts w:ascii="Meiryo UI" w:hAnsi="Meiryo UI"/>
                <w:sz w:val="18"/>
              </w:rPr>
              <w:t>1.386%</w:t>
            </w:r>
          </w:p>
        </w:tc>
        <w:tc>
          <w:tcPr>
            <w:tcW w:type="dxa" w:w="1568"/>
          </w:tcPr>
          <w:p>
            <w:r>
              <w:rPr>
                <w:rFonts w:ascii="Meiryo UI" w:hAnsi="Meiryo UI"/>
                <w:sz w:val="18"/>
              </w:rPr>
              <w:t>7.161%</w:t>
            </w:r>
          </w:p>
        </w:tc>
        <w:tc>
          <w:tcPr>
            <w:tcW w:type="dxa" w:w="1568"/>
          </w:tcPr>
          <w:p>
            <w:r>
              <w:rPr>
                <w:rFonts w:ascii="Meiryo UI" w:hAnsi="Meiryo UI"/>
                <w:sz w:val="18"/>
              </w:rPr>
              <w:t>5.38%</w:t>
            </w:r>
          </w:p>
        </w:tc>
        <w:tc>
          <w:tcPr>
            <w:tcW w:type="dxa" w:w="1568"/>
          </w:tcPr>
          <w:p>
            <w:r>
              <w:rPr>
                <w:rFonts w:ascii="Meiryo UI" w:hAnsi="Meiryo UI"/>
                <w:sz w:val="18"/>
              </w:rPr>
              <w:t>¥1,631</w:t>
            </w:r>
          </w:p>
        </w:tc>
        <w:tc>
          <w:tcPr>
            <w:tcW w:type="dxa" w:w="1568"/>
          </w:tcPr>
          <w:p>
            <w:r>
              <w:rPr>
                <w:rFonts w:ascii="Meiryo UI" w:hAnsi="Meiryo UI"/>
                <w:sz w:val="18"/>
              </w:rPr>
              <w:t>▲25.4%</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1.886%</w:t>
            </w:r>
          </w:p>
        </w:tc>
        <w:tc>
          <w:tcPr>
            <w:tcW w:type="dxa" w:w="1568"/>
            <w:shd w:val="clear" w:color="auto" w:fill="DDEBF7"/>
          </w:tcPr>
          <w:p>
            <w:r>
              <w:rPr>
                <w:rFonts w:ascii="Meiryo UI" w:hAnsi="Meiryo UI"/>
                <w:sz w:val="18"/>
              </w:rPr>
              <w:t>7.661%</w:t>
            </w:r>
          </w:p>
        </w:tc>
        <w:tc>
          <w:tcPr>
            <w:tcW w:type="dxa" w:w="1568"/>
            <w:shd w:val="clear" w:color="auto" w:fill="DDEBF7"/>
          </w:tcPr>
          <w:p>
            <w:r>
              <w:rPr>
                <w:rFonts w:ascii="Meiryo UI" w:hAnsi="Meiryo UI"/>
                <w:sz w:val="18"/>
              </w:rPr>
              <w:t>5.88%</w:t>
            </w:r>
          </w:p>
        </w:tc>
        <w:tc>
          <w:tcPr>
            <w:tcW w:type="dxa" w:w="1568"/>
            <w:shd w:val="clear" w:color="auto" w:fill="DDEBF7"/>
          </w:tcPr>
          <w:p>
            <w:r>
              <w:rPr>
                <w:rFonts w:ascii="Meiryo UI" w:hAnsi="Meiryo UI"/>
                <w:sz w:val="18"/>
              </w:rPr>
              <w:t>¥1,434</w:t>
            </w:r>
          </w:p>
        </w:tc>
        <w:tc>
          <w:tcPr>
            <w:tcW w:type="dxa" w:w="1568"/>
            <w:shd w:val="clear" w:color="auto" w:fill="DDEBF7"/>
          </w:tcPr>
          <w:p>
            <w:r>
              <w:rPr>
                <w:rFonts w:ascii="Meiryo UI" w:hAnsi="Meiryo UI"/>
                <w:sz w:val="18"/>
              </w:rPr>
              <w:t>▲34.4%</w:t>
            </w:r>
          </w:p>
        </w:tc>
      </w:tr>
      <w:tr>
        <w:tc>
          <w:tcPr>
            <w:tcW w:type="dxa" w:w="1568"/>
          </w:tcPr>
          <w:p>
            <w:r>
              <w:rPr>
                <w:rFonts w:ascii="Meiryo UI" w:hAnsi="Meiryo UI"/>
                <w:sz w:val="18"/>
              </w:rPr>
              <w:t>Rf ▲0.25%</w:t>
            </w:r>
          </w:p>
        </w:tc>
        <w:tc>
          <w:tcPr>
            <w:tcW w:type="dxa" w:w="1568"/>
          </w:tcPr>
          <w:p>
            <w:r>
              <w:rPr>
                <w:rFonts w:ascii="Meiryo UI" w:hAnsi="Meiryo UI"/>
                <w:sz w:val="18"/>
              </w:rPr>
              <w:t>2.136%</w:t>
            </w:r>
          </w:p>
        </w:tc>
        <w:tc>
          <w:tcPr>
            <w:tcW w:type="dxa" w:w="1568"/>
          </w:tcPr>
          <w:p>
            <w:r>
              <w:rPr>
                <w:rFonts w:ascii="Meiryo UI" w:hAnsi="Meiryo UI"/>
                <w:sz w:val="18"/>
              </w:rPr>
              <w:t>7.911%</w:t>
            </w:r>
          </w:p>
        </w:tc>
        <w:tc>
          <w:tcPr>
            <w:tcW w:type="dxa" w:w="1568"/>
          </w:tcPr>
          <w:p>
            <w:r>
              <w:rPr>
                <w:rFonts w:ascii="Meiryo UI" w:hAnsi="Meiryo UI"/>
                <w:sz w:val="18"/>
              </w:rPr>
              <w:t>6.13%</w:t>
            </w:r>
          </w:p>
        </w:tc>
        <w:tc>
          <w:tcPr>
            <w:tcW w:type="dxa" w:w="1568"/>
          </w:tcPr>
          <w:p>
            <w:r>
              <w:rPr>
                <w:rFonts w:ascii="Meiryo UI" w:hAnsi="Meiryo UI"/>
                <w:sz w:val="18"/>
              </w:rPr>
              <w:t>¥1,330</w:t>
            </w:r>
          </w:p>
        </w:tc>
        <w:tc>
          <w:tcPr>
            <w:tcW w:type="dxa" w:w="1568"/>
          </w:tcPr>
          <w:p>
            <w:r>
              <w:rPr>
                <w:rFonts w:ascii="Meiryo UI" w:hAnsi="Meiryo UI"/>
                <w:sz w:val="18"/>
              </w:rPr>
              <w:t>▲39.2%</w:t>
            </w:r>
          </w:p>
        </w:tc>
      </w:tr>
      <w:tr>
        <w:tc>
          <w:tcPr>
            <w:tcW w:type="dxa" w:w="1568"/>
            <w:shd w:val="clear" w:color="auto" w:fill="DDEBF7"/>
          </w:tcPr>
          <w:p>
            <w:r>
              <w:rPr>
                <w:rFonts w:ascii="Meiryo UI" w:hAnsi="Meiryo UI"/>
                <w:sz w:val="18"/>
              </w:rPr>
              <w:t>Rf 基準値</w:t>
            </w:r>
          </w:p>
        </w:tc>
        <w:tc>
          <w:tcPr>
            <w:tcW w:type="dxa" w:w="1568"/>
            <w:shd w:val="clear" w:color="auto" w:fill="DDEBF7"/>
          </w:tcPr>
          <w:p>
            <w:r>
              <w:rPr>
                <w:rFonts w:ascii="Meiryo UI" w:hAnsi="Meiryo UI"/>
                <w:sz w:val="18"/>
              </w:rPr>
              <w:t>2.386%</w:t>
            </w:r>
          </w:p>
        </w:tc>
        <w:tc>
          <w:tcPr>
            <w:tcW w:type="dxa" w:w="1568"/>
            <w:shd w:val="clear" w:color="auto" w:fill="DDEBF7"/>
          </w:tcPr>
          <w:p>
            <w:r>
              <w:rPr>
                <w:rFonts w:ascii="Meiryo UI" w:hAnsi="Meiryo UI"/>
                <w:sz w:val="18"/>
              </w:rPr>
              <w:t>8.161%</w:t>
            </w:r>
          </w:p>
        </w:tc>
        <w:tc>
          <w:tcPr>
            <w:tcW w:type="dxa" w:w="1568"/>
            <w:shd w:val="clear" w:color="auto" w:fill="DDEBF7"/>
          </w:tcPr>
          <w:p>
            <w:r>
              <w:rPr>
                <w:rFonts w:ascii="Meiryo UI" w:hAnsi="Meiryo UI"/>
                <w:sz w:val="18"/>
              </w:rPr>
              <w:t>6.38%</w:t>
            </w:r>
          </w:p>
        </w:tc>
        <w:tc>
          <w:tcPr>
            <w:tcW w:type="dxa" w:w="1568"/>
            <w:shd w:val="clear" w:color="auto" w:fill="DDEBF7"/>
          </w:tcPr>
          <w:p>
            <w:r>
              <w:rPr>
                <w:rFonts w:ascii="Meiryo UI" w:hAnsi="Meiryo UI"/>
                <w:sz w:val="18"/>
              </w:rPr>
              <w:t>¥1,238</w:t>
            </w:r>
          </w:p>
        </w:tc>
        <w:tc>
          <w:tcPr>
            <w:tcW w:type="dxa" w:w="1568"/>
            <w:shd w:val="clear" w:color="auto" w:fill="DDEBF7"/>
          </w:tcPr>
          <w:p>
            <w:r>
              <w:rPr>
                <w:rFonts w:ascii="Meiryo UI" w:hAnsi="Meiryo UI"/>
                <w:sz w:val="18"/>
              </w:rPr>
              <w:t>▲43.4%</w:t>
            </w:r>
          </w:p>
        </w:tc>
      </w:tr>
      <w:tr>
        <w:tc>
          <w:tcPr>
            <w:tcW w:type="dxa" w:w="1568"/>
          </w:tcPr>
          <w:p>
            <w:r>
              <w:rPr>
                <w:rFonts w:ascii="Meiryo UI" w:hAnsi="Meiryo UI"/>
                <w:sz w:val="18"/>
              </w:rPr>
              <w:t>Rf +0.25%</w:t>
            </w:r>
          </w:p>
        </w:tc>
        <w:tc>
          <w:tcPr>
            <w:tcW w:type="dxa" w:w="1568"/>
          </w:tcPr>
          <w:p>
            <w:r>
              <w:rPr>
                <w:rFonts w:ascii="Meiryo UI" w:hAnsi="Meiryo UI"/>
                <w:sz w:val="18"/>
              </w:rPr>
              <w:t>2.636%</w:t>
            </w:r>
          </w:p>
        </w:tc>
        <w:tc>
          <w:tcPr>
            <w:tcW w:type="dxa" w:w="1568"/>
          </w:tcPr>
          <w:p>
            <w:r>
              <w:rPr>
                <w:rFonts w:ascii="Meiryo UI" w:hAnsi="Meiryo UI"/>
                <w:sz w:val="18"/>
              </w:rPr>
              <w:t>8.411%</w:t>
            </w:r>
          </w:p>
        </w:tc>
        <w:tc>
          <w:tcPr>
            <w:tcW w:type="dxa" w:w="1568"/>
          </w:tcPr>
          <w:p>
            <w:r>
              <w:rPr>
                <w:rFonts w:ascii="Meiryo UI" w:hAnsi="Meiryo UI"/>
                <w:sz w:val="18"/>
              </w:rPr>
              <w:t>6.63%</w:t>
            </w:r>
          </w:p>
        </w:tc>
        <w:tc>
          <w:tcPr>
            <w:tcW w:type="dxa" w:w="1568"/>
          </w:tcPr>
          <w:p>
            <w:r>
              <w:rPr>
                <w:rFonts w:ascii="Meiryo UI" w:hAnsi="Meiryo UI"/>
                <w:sz w:val="18"/>
              </w:rPr>
              <w:t>¥1,153</w:t>
            </w:r>
          </w:p>
        </w:tc>
        <w:tc>
          <w:tcPr>
            <w:tcW w:type="dxa" w:w="1568"/>
          </w:tcPr>
          <w:p>
            <w:r>
              <w:rPr>
                <w:rFonts w:ascii="Meiryo UI" w:hAnsi="Meiryo UI"/>
                <w:sz w:val="18"/>
              </w:rPr>
              <w:t>▲47.3%</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2.886%</w:t>
            </w:r>
          </w:p>
        </w:tc>
        <w:tc>
          <w:tcPr>
            <w:tcW w:type="dxa" w:w="1568"/>
            <w:shd w:val="clear" w:color="auto" w:fill="DDEBF7"/>
          </w:tcPr>
          <w:p>
            <w:r>
              <w:rPr>
                <w:rFonts w:ascii="Meiryo UI" w:hAnsi="Meiryo UI"/>
                <w:sz w:val="18"/>
              </w:rPr>
              <w:t>8.661%</w:t>
            </w:r>
          </w:p>
        </w:tc>
        <w:tc>
          <w:tcPr>
            <w:tcW w:type="dxa" w:w="1568"/>
            <w:shd w:val="clear" w:color="auto" w:fill="DDEBF7"/>
          </w:tcPr>
          <w:p>
            <w:r>
              <w:rPr>
                <w:rFonts w:ascii="Meiryo UI" w:hAnsi="Meiryo UI"/>
                <w:sz w:val="18"/>
              </w:rPr>
              <w:t>6.88%</w:t>
            </w:r>
          </w:p>
        </w:tc>
        <w:tc>
          <w:tcPr>
            <w:tcW w:type="dxa" w:w="1568"/>
            <w:shd w:val="clear" w:color="auto" w:fill="DDEBF7"/>
          </w:tcPr>
          <w:p>
            <w:r>
              <w:rPr>
                <w:rFonts w:ascii="Meiryo UI" w:hAnsi="Meiryo UI"/>
                <w:sz w:val="18"/>
              </w:rPr>
              <w:t>¥1,075</w:t>
            </w:r>
          </w:p>
        </w:tc>
        <w:tc>
          <w:tcPr>
            <w:tcW w:type="dxa" w:w="1568"/>
            <w:shd w:val="clear" w:color="auto" w:fill="DDEBF7"/>
          </w:tcPr>
          <w:p>
            <w:r>
              <w:rPr>
                <w:rFonts w:ascii="Meiryo UI" w:hAnsi="Meiryo UI"/>
                <w:sz w:val="18"/>
              </w:rPr>
              <w:t>▲50.8%</w:t>
            </w:r>
          </w:p>
        </w:tc>
      </w:tr>
      <w:tr>
        <w:tc>
          <w:tcPr>
            <w:tcW w:type="dxa" w:w="1568"/>
          </w:tcPr>
          <w:p>
            <w:r>
              <w:rPr>
                <w:rFonts w:ascii="Meiryo UI" w:hAnsi="Meiryo UI"/>
                <w:sz w:val="18"/>
              </w:rPr>
              <w:t>Rf +1.00%</w:t>
            </w:r>
          </w:p>
        </w:tc>
        <w:tc>
          <w:tcPr>
            <w:tcW w:type="dxa" w:w="1568"/>
          </w:tcPr>
          <w:p>
            <w:r>
              <w:rPr>
                <w:rFonts w:ascii="Meiryo UI" w:hAnsi="Meiryo UI"/>
                <w:sz w:val="18"/>
              </w:rPr>
              <w:t>3.386%</w:t>
            </w:r>
          </w:p>
        </w:tc>
        <w:tc>
          <w:tcPr>
            <w:tcW w:type="dxa" w:w="1568"/>
          </w:tcPr>
          <w:p>
            <w:r>
              <w:rPr>
                <w:rFonts w:ascii="Meiryo UI" w:hAnsi="Meiryo UI"/>
                <w:sz w:val="18"/>
              </w:rPr>
              <w:t>9.161%</w:t>
            </w:r>
          </w:p>
        </w:tc>
        <w:tc>
          <w:tcPr>
            <w:tcW w:type="dxa" w:w="1568"/>
          </w:tcPr>
          <w:p>
            <w:r>
              <w:rPr>
                <w:rFonts w:ascii="Meiryo UI" w:hAnsi="Meiryo UI"/>
                <w:sz w:val="18"/>
              </w:rPr>
              <w:t>7.38%</w:t>
            </w:r>
          </w:p>
        </w:tc>
        <w:tc>
          <w:tcPr>
            <w:tcW w:type="dxa" w:w="1568"/>
          </w:tcPr>
          <w:p>
            <w:r>
              <w:rPr>
                <w:rFonts w:ascii="Meiryo UI" w:hAnsi="Meiryo UI"/>
                <w:sz w:val="18"/>
              </w:rPr>
              <w:t>¥938</w:t>
            </w:r>
          </w:p>
        </w:tc>
        <w:tc>
          <w:tcPr>
            <w:tcW w:type="dxa" w:w="1568"/>
          </w:tcPr>
          <w:p>
            <w:r>
              <w:rPr>
                <w:rFonts w:ascii="Meiryo UI" w:hAnsi="Meiryo UI"/>
                <w:sz w:val="18"/>
              </w:rPr>
              <w:t>▲57.1%</w:t>
            </w:r>
          </w:p>
        </w:tc>
      </w:tr>
    </w:tbl>
    <w:p/>
    <w:p>
      <w:r>
        <w:rPr>
          <w:rFonts w:ascii="Meiryo UI" w:hAnsi="Meiryo UI"/>
          <w:sz w:val="20"/>
        </w:rPr>
        <w:t>&gt; 計算根拠：各WACCに対してDCF基本シナリオ（FCF成長率4.1%、g=2.0%）を再計算。Rfの変化はReを同率で変動させ、WACCに反映。ターミナル</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2.386%</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日本10年国債（JGB10Y）2.386%</w:t>
            </w:r>
          </w:p>
        </w:tc>
      </w:tr>
      <w:tr>
        <w:tc>
          <w:tcPr>
            <w:tcW w:type="dxa" w:w="4703"/>
          </w:tcPr>
          <w:p>
            <w:r>
              <w:rPr>
                <w:rFonts w:ascii="Meiryo UI" w:hAnsi="Meiryo UI"/>
                <w:sz w:val="18"/>
              </w:rPr>
              <w:t>データ取得日時</w:t>
            </w:r>
          </w:p>
        </w:tc>
        <w:tc>
          <w:tcPr>
            <w:tcW w:type="dxa" w:w="4703"/>
          </w:tcPr>
          <w:p>
            <w:r>
              <w:rPr>
                <w:rFonts w:ascii="Meiryo UI" w:hAnsi="Meiryo UI"/>
                <w:sz w:val="18"/>
              </w:rPr>
              <w:t>2026-04-07 05:04 JST（財務省日次 R8.4.3）</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4543_テルモ_BUY_DeepResearch_20260407.md を出力しました。</w:t>
      </w:r>
    </w:p>
    <w:p>
      <w:r>
        <w:rPr>
          <w:rFonts w:ascii="Meiryo UI" w:hAnsi="Meiryo UI"/>
          <w:sz w:val="20"/>
        </w:rPr>
        <w:t>浅井スコア +0 の銘柄 [4543]テルモ についてDeepResearch完了。</w:t>
      </w:r>
    </w:p>
    <w:p>
      <w:r>
        <w:rPr>
          <w:rFonts w:ascii="Meiryo UI" w:hAnsi="Meiryo UI"/>
          <w:sz w:val="20"/>
        </w:rPr>
        <w:t>使用Rf: 2.386%（取得: 2026-04-07 05:04 JST（財務省日次 R8.4.3））</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