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[4577] ダイト株式会社</w:t>
      </w:r>
    </w:p>
    <w:p/>
    <w:p/>
    <w:p>
      <w:pPr>
        <w:jc w:val="center"/>
      </w:pPr>
      <w:r>
        <w:rPr>
          <w:rFonts w:ascii="Meiryo UI" w:hAnsi="Meiryo UI"/>
          <w:sz w:val="24"/>
        </w:rPr>
        <w:t>アナリスト：深井</w:t>
      </w:r>
    </w:p>
    <w:p>
      <w:pPr>
        <w:jc w:val="center"/>
      </w:pPr>
      <w:r>
        <w:rPr>
          <w:rFonts w:ascii="Meiryo UI" w:hAnsi="Meiryo UI"/>
          <w:sz w:val="24"/>
        </w:rPr>
        <w:t>分析日：2026-04-19</w:t>
      </w:r>
    </w:p>
    <w:p>
      <w:r>
        <w:br w:type="page"/>
      </w:r>
    </w:p>
    <w:p>
      <w:pPr>
        <w:pStyle w:val="Heading1"/>
      </w:pPr>
      <w:r>
        <w:rPr>
          <w:rFonts w:ascii="Meiryo UI" w:hAnsi="Meiryo UI"/>
          <w:color w:val="1F3864"/>
        </w:rPr>
        <w:t>深井 DeepResearchレポート — [4577] ダイト株式会社</w:t>
      </w:r>
    </w:p>
    <w:p>
      <w:r>
        <w:rPr>
          <w:rFonts w:ascii="Meiryo UI" w:hAnsi="Meiryo UI"/>
          <w:sz w:val="20"/>
        </w:rPr>
        <w:t>作成日: 2026-04-19 | アナリスト: 深井 | 分類: BUY</w:t>
      </w:r>
    </w:p>
    <w:p>
      <w:r>
        <w:rPr>
          <w:rFonts w:ascii="Meiryo UI" w:hAnsi="Meiryo UI"/>
          <w:sz w:val="20"/>
        </w:rPr>
        <w:t>浅井スコア: +88 | Rf: 2.380%</w:t>
      </w:r>
    </w:p>
    <w:p/>
    <w:p>
      <w:r>
        <w:t>──────────────────────────────────────────────────</w:t>
      </w:r>
    </w:p>
    <w:p/>
    <w:p>
      <w:pPr>
        <w:pStyle w:val="Heading2"/>
      </w:pPr>
      <w:r>
        <w:rPr>
          <w:rFonts w:ascii="Meiryo UI" w:hAnsi="Meiryo UI"/>
          <w:color w:val="2E74B5"/>
        </w:rPr>
        <w:t>IRページ・コンタクト（自律偵察）</w:t>
      </w:r>
    </w:p>
    <w:p/>
    <w:p>
      <w:pPr>
        <w:pStyle w:val="ListBullet"/>
      </w:pPr>
      <w:r>
        <w:rPr>
          <w:rFonts w:ascii="Meiryo UI" w:hAnsi="Meiryo UI"/>
          <w:sz w:val="20"/>
        </w:rPr>
        <w:t>IRサイト: https://www.daitonet.co.jp/ir/</w:t>
      </w:r>
    </w:p>
    <w:p>
      <w:pPr>
        <w:pStyle w:val="ListBullet"/>
      </w:pPr>
      <w:r>
        <w:rPr>
          <w:rFonts w:ascii="Meiryo UI" w:hAnsi="Meiryo UI"/>
          <w:sz w:val="20"/>
        </w:rPr>
        <w:t>IRニュース: https://www.daitonet.co.jp/ir/ir_news.html</w:t>
      </w:r>
    </w:p>
    <w:p>
      <w:pPr>
        <w:pStyle w:val="ListBullet"/>
      </w:pPr>
      <w:r>
        <w:rPr>
          <w:rFonts w:ascii="Meiryo UI" w:hAnsi="Meiryo UI"/>
          <w:sz w:val="20"/>
        </w:rPr>
        <w:t>財務ハイライト: https://www.daitonet.co.jp/ir/highlight1.html</w:t>
      </w:r>
    </w:p>
    <w:p>
      <w:pPr>
        <w:pStyle w:val="ListBullet"/>
      </w:pPr>
      <w:r>
        <w:rPr>
          <w:rFonts w:ascii="Meiryo UI" w:hAnsi="Meiryo UI"/>
          <w:sz w:val="20"/>
        </w:rPr>
        <w:t>配当情報: https://www.daitonet.co.jp/ir/dividend.html</w:t>
      </w:r>
    </w:p>
    <w:p>
      <w:pPr>
        <w:pStyle w:val="ListBullet"/>
      </w:pPr>
      <w:r>
        <w:rPr>
          <w:rFonts w:ascii="Meiryo UI" w:hAnsi="Meiryo UI"/>
          <w:sz w:val="20"/>
        </w:rPr>
        <w:t>株式情報: https://www.daitonet.co.jp/ir/stock.html</w:t>
      </w:r>
    </w:p>
    <w:p>
      <w:pPr>
        <w:pStyle w:val="ListBullet"/>
      </w:pPr>
      <w:r>
        <w:rPr>
          <w:rFonts w:ascii="Meiryo UI" w:hAnsi="Meiryo UI"/>
          <w:sz w:val="20"/>
        </w:rPr>
        <w:t>問い合わせフォーム: https://www.daitonet.co.jp/contact/</w:t>
      </w:r>
    </w:p>
    <w:p>
      <w:pPr>
        <w:pStyle w:val="ListBullet"/>
      </w:pPr>
      <w:r>
        <w:rPr>
          <w:rFonts w:ascii="Meiryo UI" w:hAnsi="Meiryo UI"/>
          <w:sz w:val="20"/>
        </w:rPr>
        <w:t>IR直通電話: 076-421-5665</w:t>
      </w:r>
    </w:p>
    <w:p>
      <w:pPr>
        <w:pStyle w:val="ListBullet"/>
      </w:pPr>
      <w:r>
        <w:rPr>
          <w:rFonts w:ascii="Meiryo UI" w:hAnsi="Meiryo UI"/>
          <w:sz w:val="20"/>
        </w:rPr>
        <w:t>本社所在地: 〒939-8567 富山県富山市八日町326番地</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BUY（強気）</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+88</w:t>
            </w:r>
          </w:p>
        </w:tc>
      </w:tr>
      <w:tr>
        <w:tc>
          <w:tcPr>
            <w:tcW w:type="dxa" w:w="4703"/>
          </w:tcPr>
          <w:p>
            <w:r>
              <w:rPr>
                <w:rFonts w:ascii="Meiryo UI" w:hAnsi="Meiryo UI"/>
                <w:sz w:val="18"/>
              </w:rPr>
              <w:t>現在株価</w:t>
            </w:r>
          </w:p>
        </w:tc>
        <w:tc>
          <w:tcPr>
            <w:tcW w:type="dxa" w:w="4703"/>
          </w:tcPr>
          <w:p>
            <w:r>
              <w:rPr>
                <w:rFonts w:ascii="Meiryo UI" w:hAnsi="Meiryo UI"/>
                <w:sz w:val="18"/>
              </w:rPr>
              <w:t>¥1,354（4/19現在）</w:t>
            </w:r>
          </w:p>
        </w:tc>
      </w:tr>
      <w:tr>
        <w:tc>
          <w:tcPr>
            <w:tcW w:type="dxa" w:w="4703"/>
            <w:shd w:val="clear" w:color="auto" w:fill="DDEBF7"/>
          </w:tcPr>
          <w:p>
            <w:r>
              <w:rPr>
                <w:rFonts w:ascii="Meiryo UI" w:hAnsi="Meiryo UI"/>
                <w:sz w:val="18"/>
              </w:rPr>
              <w:t>フェアバリュー</w:t>
            </w:r>
          </w:p>
        </w:tc>
        <w:tc>
          <w:tcPr>
            <w:tcW w:type="dxa" w:w="4703"/>
            <w:shd w:val="clear" w:color="auto" w:fill="DDEBF7"/>
          </w:tcPr>
          <w:p>
            <w:r>
              <w:rPr>
                <w:rFonts w:ascii="Meiryo UI" w:hAnsi="Meiryo UI"/>
                <w:sz w:val="18"/>
              </w:rPr>
              <w:t>¥1,800（+33.0%上値余地）</w:t>
            </w:r>
          </w:p>
        </w:tc>
      </w:tr>
      <w:tr>
        <w:tc>
          <w:tcPr>
            <w:tcW w:type="dxa" w:w="4703"/>
          </w:tcPr>
          <w:p>
            <w:r>
              <w:rPr>
                <w:rFonts w:ascii="Meiryo UI" w:hAnsi="Meiryo UI"/>
                <w:sz w:val="18"/>
              </w:rPr>
              <w:t>安全域</w:t>
            </w:r>
          </w:p>
        </w:tc>
        <w:tc>
          <w:tcPr>
            <w:tcW w:type="dxa" w:w="4703"/>
          </w:tcPr>
          <w:p>
            <w:r>
              <w:rPr>
                <w:rFonts w:ascii="Meiryo UI" w:hAnsi="Meiryo UI"/>
                <w:sz w:val="18"/>
              </w:rPr>
              <w:t>+33.0%（BPS¥1,782に対してPBR 0.76倍のダブル安全網）</w:t>
            </w:r>
          </w:p>
        </w:tc>
      </w:tr>
      <w:tr>
        <w:tc>
          <w:tcPr>
            <w:tcW w:type="dxa" w:w="4703"/>
            <w:shd w:val="clear" w:color="auto" w:fill="DDEBF7"/>
          </w:tcPr>
          <w:p>
            <w:r>
              <w:rPr>
                <w:rFonts w:ascii="Meiryo UI" w:hAnsi="Meiryo UI"/>
                <w:sz w:val="18"/>
              </w:rPr>
              <w:t>3弾丸</w:t>
            </w:r>
          </w:p>
        </w:tc>
        <w:tc>
          <w:tcPr>
            <w:tcW w:type="dxa" w:w="4703"/>
            <w:shd w:val="clear" w:color="auto" w:fill="DDEBF7"/>
          </w:tcPr>
          <w:p>
            <w:r>
              <w:rPr>
                <w:rFonts w:ascii="Meiryo UI" w:hAnsi="Meiryo UI"/>
                <w:sz w:val="18"/>
              </w:rPr>
              <w:t>①3Q累計進捗率85%（残4Q必要額¥5.26億のみ）→通期再上方修正の公算大 ②3Q単体の売上OPM 3.3%→9.7%急改善は原薬自製体制×固定費レバレッジが「本物の構造変化」のサイン ③PBR 0.76倍×自己資本比率69.7%×配当利回り2.95%の三重守備で下値リスク限定</w:t>
            </w:r>
          </w:p>
        </w:tc>
      </w:tr>
      <w:tr>
        <w:tc>
          <w:tcPr>
            <w:tcW w:type="dxa" w:w="4703"/>
          </w:tcPr>
          <w:p>
            <w:r>
              <w:rPr>
                <w:rFonts w:ascii="Meiryo UI" w:hAnsi="Meiryo UI"/>
                <w:sz w:val="18"/>
              </w:rPr>
              <w:t>最大リスク</w:t>
            </w:r>
          </w:p>
        </w:tc>
        <w:tc>
          <w:tcPr>
            <w:tcW w:type="dxa" w:w="4703"/>
          </w:tcPr>
          <w:p>
            <w:r>
              <w:rPr>
                <w:rFonts w:ascii="Meiryo UI" w:hAnsi="Meiryo UI"/>
                <w:sz w:val="18"/>
              </w:rPr>
              <w:t>2026年4月薬価改定の4Q業績インパクト（ジェネリック製剤は年率▲1〜2%薬価下落が宿命）。3Q利益率9.7%の持続性は4Q決算で初めて検証される</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現値¥1,354で打診買い。4Q決算（2026年7月上旬予定）前後で利益率持続確認後に本玉。SL¥1,200（52週安値近傍）</w:t>
            </w:r>
          </w:p>
        </w:tc>
      </w:tr>
    </w:tbl>
    <w:p/>
    <w:p>
      <w:r>
        <w:t>──────────────────────────────────────────────────</w:t>
      </w:r>
    </w:p>
    <w:p/>
    <w:p>
      <w:pPr>
        <w:pStyle w:val="Heading2"/>
      </w:pPr>
      <w:r>
        <w:rPr>
          <w:rFonts w:ascii="Meiryo UI" w:hAnsi="Meiryo UI"/>
          <w:color w:val="2E74B5"/>
        </w:rPr>
        <w:t>1. 「なぜいい決算なのに株価が上がらないか」— 歪み分析</w:t>
      </w:r>
    </w:p>
    <w:p/>
    <w:p>
      <w:r>
        <w:rPr>
          <w:rFonts w:ascii="Meiryo UI" w:hAnsi="Meiryo UI"/>
          <w:sz w:val="20"/>
        </w:rPr>
        <w:t>答え：4つの構造的ミスプライシングが重なっている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歪み要因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実態</w:t>
            </w:r>
          </w:p>
        </w:tc>
      </w:tr>
      <w:tr>
        <w:tc>
          <w:tcPr>
            <w:tcW w:type="dxa" w:w="3135"/>
          </w:tcPr>
          <w:p>
            <w:r>
              <w:rPr>
                <w:rFonts w:ascii="Meiryo UI" w:hAnsi="Meiryo UI"/>
                <w:sz w:val="18"/>
              </w:rPr>
              <w:t>①認知度ラグ</w:t>
            </w:r>
          </w:p>
        </w:tc>
        <w:tc>
          <w:tcPr>
            <w:tcW w:type="dxa" w:w="3135"/>
          </w:tcPr>
          <w:p>
            <w:r>
              <w:rPr>
                <w:rFonts w:ascii="Meiryo UI" w:hAnsi="Meiryo UI"/>
                <w:sz w:val="18"/>
              </w:rPr>
              <w:t>上方修正発表が4/10（9日前）→薄い出来高では浸透が遅い</w:t>
            </w:r>
          </w:p>
        </w:tc>
        <w:tc>
          <w:tcPr>
            <w:tcW w:type="dxa" w:w="3135"/>
          </w:tcPr>
          <w:p>
            <w:r>
              <w:rPr>
                <w:rFonts w:ascii="Meiryo UI" w:hAnsi="Meiryo UI"/>
                <w:sz w:val="18"/>
              </w:rPr>
              <w:t>今まさに織り込み中</w:t>
            </w:r>
          </w:p>
        </w:tc>
      </w:tr>
      <w:tr>
        <w:tc>
          <w:tcPr>
            <w:tcW w:type="dxa" w:w="3135"/>
            <w:shd w:val="clear" w:color="auto" w:fill="DDEBF7"/>
          </w:tcPr>
          <w:p>
            <w:r>
              <w:rPr>
                <w:rFonts w:ascii="Meiryo UI" w:hAnsi="Meiryo UI"/>
                <w:sz w:val="18"/>
              </w:rPr>
              <w:t>②FY2024比ディスカウント</w:t>
            </w:r>
          </w:p>
        </w:tc>
        <w:tc>
          <w:tcPr>
            <w:tcW w:type="dxa" w:w="3135"/>
            <w:shd w:val="clear" w:color="auto" w:fill="DDEBF7"/>
          </w:tcPr>
          <w:p>
            <w:r>
              <w:rPr>
                <w:rFonts w:ascii="Meiryo UI" w:hAnsi="Meiryo UI"/>
                <w:sz w:val="18"/>
              </w:rPr>
              <w:t>市場はFY2024/05 OP¥38.94億を基準に「まだ回復途上」と評価</w:t>
            </w:r>
          </w:p>
        </w:tc>
        <w:tc>
          <w:tcPr>
            <w:tcW w:type="dxa" w:w="3135"/>
            <w:shd w:val="clear" w:color="auto" w:fill="DDEBF7"/>
          </w:tcPr>
          <w:p>
            <w:r>
              <w:rPr>
                <w:rFonts w:ascii="Meiryo UI" w:hAnsi="Meiryo UI"/>
                <w:sz w:val="18"/>
              </w:rPr>
              <w:t>3Q単体OPM 9.7%はFY2024水準を超えるペース</w:t>
            </w:r>
          </w:p>
        </w:tc>
      </w:tr>
      <w:tr>
        <w:tc>
          <w:tcPr>
            <w:tcW w:type="dxa" w:w="3135"/>
          </w:tcPr>
          <w:p>
            <w:r>
              <w:rPr>
                <w:rFonts w:ascii="Meiryo UI" w:hAnsi="Meiryo UI"/>
                <w:sz w:val="18"/>
              </w:rPr>
              <w:t>③ROE 4.33%の低評価</w:t>
            </w:r>
          </w:p>
        </w:tc>
        <w:tc>
          <w:tcPr>
            <w:tcW w:type="dxa" w:w="3135"/>
          </w:tcPr>
          <w:p>
            <w:r>
              <w:rPr>
                <w:rFonts w:ascii="Meiryo UI" w:hAnsi="Meiryo UI"/>
                <w:sz w:val="18"/>
              </w:rPr>
              <w:t>GPIF・機関投資家のROE足切り基準（8%+）を大幅に下回る</w:t>
            </w:r>
          </w:p>
        </w:tc>
        <w:tc>
          <w:tcPr>
            <w:tcW w:type="dxa" w:w="3135"/>
          </w:tcPr>
          <w:p>
            <w:r>
              <w:rPr>
                <w:rFonts w:ascii="Meiryo UI" w:hAnsi="Meiryo UI"/>
                <w:sz w:val="18"/>
              </w:rPr>
              <w:t>ROE低位の主因は有利子負債ゼロ×高自己資本（69.7%）の「健全すぎる」体質</w:t>
            </w:r>
          </w:p>
        </w:tc>
      </w:tr>
      <w:tr>
        <w:tc>
          <w:tcPr>
            <w:tcW w:type="dxa" w:w="3135"/>
            <w:shd w:val="clear" w:color="auto" w:fill="DDEBF7"/>
          </w:tcPr>
          <w:p>
            <w:r>
              <w:rPr>
                <w:rFonts w:ascii="Meiryo UI" w:hAnsi="Meiryo UI"/>
                <w:sz w:val="18"/>
              </w:rPr>
              <w:t>④カバレッジ薄</w:t>
            </w:r>
          </w:p>
        </w:tc>
        <w:tc>
          <w:tcPr>
            <w:tcW w:type="dxa" w:w="3135"/>
            <w:shd w:val="clear" w:color="auto" w:fill="DDEBF7"/>
          </w:tcPr>
          <w:p>
            <w:r>
              <w:rPr>
                <w:rFonts w:ascii="Meiryo UI" w:hAnsi="Meiryo UI"/>
                <w:sz w:val="18"/>
              </w:rPr>
              <w:t>アナリスト確認数：1社（TP¥1,500 中立）のみ</w:t>
            </w:r>
          </w:p>
        </w:tc>
        <w:tc>
          <w:tcPr>
            <w:tcW w:type="dxa" w:w="3135"/>
            <w:shd w:val="clear" w:color="auto" w:fill="DDEBF7"/>
          </w:tcPr>
          <w:p>
            <w:r>
              <w:rPr>
                <w:rFonts w:ascii="Meiryo UI" w:hAnsi="Meiryo UI"/>
                <w:sz w:val="18"/>
              </w:rPr>
              <w:t>1社しか追っていない≒市場全体への情報伝達不足</w:t>
            </w:r>
          </w:p>
        </w:tc>
      </w:tr>
    </w:tbl>
    <w:p/>
    <w:p>
      <w:r>
        <w:rPr>
          <w:rFonts w:ascii="Meiryo UI" w:hAnsi="Meiryo UI"/>
          <w:sz w:val="20"/>
        </w:rPr>
        <w:t>コア歪み：3Q単体OPM 3.3%→9.7%への急改善を市場は「一時的改善」と見ているが、原薬自製体制の固定費レバレッジが効いた構造的向上の可能性が高い</w:t>
      </w:r>
    </w:p>
    <w:p/>
    <w:p>
      <w:r>
        <w:t>──────────────────────────────────────────────────</w:t>
      </w:r>
    </w:p>
    <w:p/>
    <w:p>
      <w:pPr>
        <w:pStyle w:val="Heading2"/>
      </w:pPr>
      <w:r>
        <w:rPr>
          <w:rFonts w:ascii="Meiryo UI" w:hAnsi="Meiryo UI"/>
          <w:color w:val="2E74B5"/>
        </w:rPr>
        <w:t>2. ビジネスモデル・競争優位性</w:t>
      </w:r>
    </w:p>
    <w:p/>
    <w:p>
      <w:pPr>
        <w:pStyle w:val="Heading3"/>
      </w:pPr>
      <w:r>
        <w:rPr>
          <w:rFonts w:ascii="Meiryo UI" w:hAnsi="Meiryo UI"/>
          <w:color w:val="2E74B5"/>
        </w:rPr>
        <w:t>事業構造</w:t>
      </w:r>
    </w:p>
    <w:p/>
    <w:p>
      <w:r>
        <w:rPr>
          <w:rFonts w:ascii="Meiryo UI" w:hAnsi="Meiryo UI"/>
          <w:sz w:val="20"/>
        </w:rPr>
        <w:t>ダイトは「原薬から製剤まで」の一貫生産体制を持つジェネリック医薬品メーカー（富山）。自社MRは持たず、製剤の販売を大手・中堅ジェネリックメーカーへの委託（B2B特化）に絞り、経営資源を製造品質に集中させるユニークなビジネスモデ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強み</w:t>
            </w:r>
          </w:p>
        </w:tc>
      </w:tr>
      <w:tr>
        <w:tc>
          <w:tcPr>
            <w:tcW w:type="dxa" w:w="3135"/>
          </w:tcPr>
          <w:p>
            <w:r>
              <w:rPr>
                <w:rFonts w:ascii="Meiryo UI" w:hAnsi="Meiryo UI"/>
                <w:sz w:val="18"/>
              </w:rPr>
              <w:t>原薬事業</w:t>
            </w:r>
          </w:p>
        </w:tc>
        <w:tc>
          <w:tcPr>
            <w:tcW w:type="dxa" w:w="3135"/>
          </w:tcPr>
          <w:p>
            <w:r>
              <w:rPr>
                <w:rFonts w:ascii="Meiryo UI" w:hAnsi="Meiryo UI"/>
                <w:sz w:val="18"/>
              </w:rPr>
              <w:t>ジェネリック医薬品向け原薬製造・販売</w:t>
            </w:r>
          </w:p>
        </w:tc>
        <w:tc>
          <w:tcPr>
            <w:tcW w:type="dxa" w:w="3135"/>
          </w:tcPr>
          <w:p>
            <w:r>
              <w:rPr>
                <w:rFonts w:ascii="Meiryo UI" w:hAnsi="Meiryo UI"/>
                <w:sz w:val="18"/>
              </w:rPr>
              <w:t>自社原薬→製剤の一貫化でコスト▲</w:t>
            </w:r>
          </w:p>
        </w:tc>
      </w:tr>
      <w:tr>
        <w:tc>
          <w:tcPr>
            <w:tcW w:type="dxa" w:w="3135"/>
            <w:shd w:val="clear" w:color="auto" w:fill="DDEBF7"/>
          </w:tcPr>
          <w:p>
            <w:r>
              <w:rPr>
                <w:rFonts w:ascii="Meiryo UI" w:hAnsi="Meiryo UI"/>
                <w:sz w:val="18"/>
              </w:rPr>
              <w:t>製剤事業</w:t>
            </w:r>
          </w:p>
        </w:tc>
        <w:tc>
          <w:tcPr>
            <w:tcW w:type="dxa" w:w="3135"/>
            <w:shd w:val="clear" w:color="auto" w:fill="DDEBF7"/>
          </w:tcPr>
          <w:p>
            <w:r>
              <w:rPr>
                <w:rFonts w:ascii="Meiryo UI" w:hAnsi="Meiryo UI"/>
                <w:sz w:val="18"/>
              </w:rPr>
              <w:t>ジェネリック製剤・先発医薬品受託製造</w:t>
            </w:r>
          </w:p>
        </w:tc>
        <w:tc>
          <w:tcPr>
            <w:tcW w:type="dxa" w:w="3135"/>
            <w:shd w:val="clear" w:color="auto" w:fill="DDEBF7"/>
          </w:tcPr>
          <w:p>
            <w:r>
              <w:rPr>
                <w:rFonts w:ascii="Meiryo UI" w:hAnsi="Meiryo UI"/>
                <w:sz w:val="18"/>
              </w:rPr>
              <w:t>日本GMP/米cGMP/EU-GMP適合</w:t>
            </w:r>
          </w:p>
        </w:tc>
      </w:tr>
      <w:tr>
        <w:tc>
          <w:tcPr>
            <w:tcW w:type="dxa" w:w="3135"/>
          </w:tcPr>
          <w:p>
            <w:r>
              <w:rPr>
                <w:rFonts w:ascii="Meiryo UI" w:hAnsi="Meiryo UI"/>
                <w:sz w:val="18"/>
              </w:rPr>
              <w:t>受託製造</w:t>
            </w:r>
          </w:p>
        </w:tc>
        <w:tc>
          <w:tcPr>
            <w:tcW w:type="dxa" w:w="3135"/>
          </w:tcPr>
          <w:p>
            <w:r>
              <w:rPr>
                <w:rFonts w:ascii="Meiryo UI" w:hAnsi="Meiryo UI"/>
                <w:sz w:val="18"/>
              </w:rPr>
              <w:t>大手医薬品メーカーへのCMO</w:t>
            </w:r>
          </w:p>
        </w:tc>
        <w:tc>
          <w:tcPr>
            <w:tcW w:type="dxa" w:w="3135"/>
          </w:tcPr>
          <w:p>
            <w:r>
              <w:rPr>
                <w:rFonts w:ascii="Meiryo UI" w:hAnsi="Meiryo UI"/>
                <w:sz w:val="18"/>
              </w:rPr>
              <w:t>稼働率平準化・安定収益化</w:t>
            </w:r>
          </w:p>
        </w:tc>
      </w:tr>
      <w:tr>
        <w:tc>
          <w:tcPr>
            <w:tcW w:type="dxa" w:w="3135"/>
            <w:shd w:val="clear" w:color="auto" w:fill="DDEBF7"/>
          </w:tcPr>
          <w:p>
            <w:r>
              <w:rPr>
                <w:rFonts w:ascii="Meiryo UI" w:hAnsi="Meiryo UI"/>
                <w:sz w:val="18"/>
              </w:rPr>
              <w:t>ヘルスケア</w:t>
            </w:r>
          </w:p>
        </w:tc>
        <w:tc>
          <w:tcPr>
            <w:tcW w:type="dxa" w:w="3135"/>
            <w:shd w:val="clear" w:color="auto" w:fill="DDEBF7"/>
          </w:tcPr>
          <w:p>
            <w:r>
              <w:rPr>
                <w:rFonts w:ascii="Meiryo UI" w:hAnsi="Meiryo UI"/>
                <w:sz w:val="18"/>
              </w:rPr>
              <w:t>健康食品・OTC</w:t>
            </w:r>
          </w:p>
        </w:tc>
        <w:tc>
          <w:tcPr>
            <w:tcW w:type="dxa" w:w="3135"/>
            <w:shd w:val="clear" w:color="auto" w:fill="DDEBF7"/>
          </w:tcPr>
          <w:p>
            <w:r>
              <w:rPr>
                <w:rFonts w:ascii="Meiryo UI" w:hAnsi="Meiryo UI"/>
                <w:sz w:val="18"/>
              </w:rPr>
              <w:t>売上補完的な位置付け</w:t>
            </w:r>
          </w:p>
        </w:tc>
      </w:tr>
    </w:tbl>
    <w:p/>
    <w:p>
      <w:pPr>
        <w:pStyle w:val="Heading3"/>
      </w:pPr>
      <w:r>
        <w:rPr>
          <w:rFonts w:ascii="Meiryo UI" w:hAnsi="Meiryo UI"/>
          <w:color w:val="2E74B5"/>
        </w:rPr>
        <w:t>構造的競争優位（≒株価上昇の本源的根拠）</w:t>
      </w:r>
    </w:p>
    <w:p/>
    <w:p>
      <w:pPr>
        <w:pStyle w:val="ListNumber"/>
      </w:pPr>
      <w:r>
        <w:rPr>
          <w:rFonts w:ascii="Meiryo UI" w:hAnsi="Meiryo UI"/>
          <w:sz w:val="20"/>
        </w:rPr>
        <w:t>原薬自製→製剤一貫化: 競合ジェネリックメーカーが外部調達する原薬コストをゼロ化。3Q OPM 9.7%はこの構造優位がフル発揮されてきたサイン</w:t>
      </w:r>
    </w:p>
    <w:p>
      <w:pPr>
        <w:pStyle w:val="ListNumber"/>
      </w:pPr>
      <w:r>
        <w:rPr>
          <w:rFonts w:ascii="Meiryo UI" w:hAnsi="Meiryo UI"/>
          <w:sz w:val="20"/>
        </w:rPr>
        <w:t>海外GMP適合: 米cGMP・EU-GMP取得済み → 欧米向け輸出オプション（未織り込み）</w:t>
      </w:r>
    </w:p>
    <w:p>
      <w:pPr>
        <w:pStyle w:val="ListNumber"/>
      </w:pPr>
      <w:r>
        <w:rPr>
          <w:rFonts w:ascii="Meiryo UI" w:hAnsi="Meiryo UI"/>
          <w:sz w:val="20"/>
        </w:rPr>
        <w:t>富山集積エコシステム: 研究開発・製造・品質試験が同一地区に集中 → リードタイム・管理コストが業界最低水準</w:t>
      </w:r>
    </w:p>
    <w:p/>
    <w:p>
      <w:r>
        <w:t>──────────────────────────────────────────────────</w:t>
      </w:r>
    </w:p>
    <w:p/>
    <w:p>
      <w:pPr>
        <w:pStyle w:val="Heading2"/>
      </w:pPr>
      <w:r>
        <w:rPr>
          <w:rFonts w:ascii="Meiryo UI" w:hAnsi="Meiryo UI"/>
          <w:color w:val="2E74B5"/>
        </w:rPr>
        <w:t>3. 財務実績（決算短信・株探・IFIS確認）</w:t>
      </w:r>
    </w:p>
    <w:p/>
    <w:p>
      <w:pPr>
        <w:pStyle w:val="Heading3"/>
      </w:pPr>
      <w:r>
        <w:rPr>
          <w:rFonts w:ascii="Meiryo UI" w:hAnsi="Meiryo UI"/>
          <w:color w:val="2E74B5"/>
        </w:rPr>
        <w:t>通期業績推移（百万円）</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期</w:t>
            </w:r>
          </w:p>
        </w:tc>
        <w:tc>
          <w:tcPr>
            <w:tcW w:type="dxa" w:w="1045"/>
            <w:shd w:val="clear" w:color="auto" w:fill="2E74B5"/>
          </w:tcPr>
          <w:p>
            <w:r>
              <w:rPr>
                <w:rFonts w:ascii="Meiryo UI" w:hAnsi="Meiryo UI"/>
                <w:b/>
                <w:color w:val="FFFFFF"/>
                <w:sz w:val="18"/>
              </w:rPr>
              <w:t>売上高</w:t>
            </w:r>
          </w:p>
        </w:tc>
        <w:tc>
          <w:tcPr>
            <w:tcW w:type="dxa" w:w="1045"/>
            <w:shd w:val="clear" w:color="auto" w:fill="2E74B5"/>
          </w:tcPr>
          <w:p>
            <w:r>
              <w:rPr>
                <w:rFonts w:ascii="Meiryo UI" w:hAnsi="Meiryo UI"/>
                <w:b/>
                <w:color w:val="FFFFFF"/>
                <w:sz w:val="18"/>
              </w:rPr>
              <w:t>前年比</w:t>
            </w:r>
          </w:p>
        </w:tc>
        <w:tc>
          <w:tcPr>
            <w:tcW w:type="dxa" w:w="1045"/>
            <w:shd w:val="clear" w:color="auto" w:fill="2E74B5"/>
          </w:tcPr>
          <w:p>
            <w:r>
              <w:rPr>
                <w:rFonts w:ascii="Meiryo UI" w:hAnsi="Meiryo UI"/>
                <w:b/>
                <w:color w:val="FFFFFF"/>
                <w:sz w:val="18"/>
              </w:rPr>
              <w:t>営業利益</w:t>
            </w:r>
          </w:p>
        </w:tc>
        <w:tc>
          <w:tcPr>
            <w:tcW w:type="dxa" w:w="1045"/>
            <w:shd w:val="clear" w:color="auto" w:fill="2E74B5"/>
          </w:tcPr>
          <w:p>
            <w:r>
              <w:rPr>
                <w:rFonts w:ascii="Meiryo UI" w:hAnsi="Meiryo UI"/>
                <w:b/>
                <w:color w:val="FFFFFF"/>
                <w:sz w:val="18"/>
              </w:rPr>
              <w:t>OPM</w:t>
            </w:r>
          </w:p>
        </w:tc>
        <w:tc>
          <w:tcPr>
            <w:tcW w:type="dxa" w:w="1045"/>
            <w:shd w:val="clear" w:color="auto" w:fill="2E74B5"/>
          </w:tcPr>
          <w:p>
            <w:r>
              <w:rPr>
                <w:rFonts w:ascii="Meiryo UI" w:hAnsi="Meiryo UI"/>
                <w:b/>
                <w:color w:val="FFFFFF"/>
                <w:sz w:val="18"/>
              </w:rPr>
              <w:t>経常利益</w:t>
            </w:r>
          </w:p>
        </w:tc>
        <w:tc>
          <w:tcPr>
            <w:tcW w:type="dxa" w:w="1045"/>
            <w:shd w:val="clear" w:color="auto" w:fill="2E74B5"/>
          </w:tcPr>
          <w:p>
            <w:r>
              <w:rPr>
                <w:rFonts w:ascii="Meiryo UI" w:hAnsi="Meiryo UI"/>
                <w:b/>
                <w:color w:val="FFFFFF"/>
                <w:sz w:val="18"/>
              </w:rPr>
              <w:t>純利益</w:t>
            </w:r>
          </w:p>
        </w:tc>
        <w:tc>
          <w:tcPr>
            <w:tcW w:type="dxa" w:w="1045"/>
            <w:shd w:val="clear" w:color="auto" w:fill="2E74B5"/>
          </w:tcPr>
          <w:p>
            <w:r>
              <w:rPr>
                <w:rFonts w:ascii="Meiryo UI" w:hAnsi="Meiryo UI"/>
                <w:b/>
                <w:color w:val="FFFFFF"/>
                <w:sz w:val="18"/>
              </w:rPr>
              <w:t>EPS</w:t>
            </w:r>
          </w:p>
        </w:tc>
        <w:tc>
          <w:tcPr>
            <w:tcW w:type="dxa" w:w="1045"/>
            <w:shd w:val="clear" w:color="auto" w:fill="2E74B5"/>
          </w:tcPr>
          <w:p>
            <w:r>
              <w:rPr>
                <w:rFonts w:ascii="Meiryo UI" w:hAnsi="Meiryo UI"/>
                <w:b/>
                <w:color w:val="FFFFFF"/>
                <w:sz w:val="18"/>
              </w:rPr>
              <w:t>配当</w:t>
            </w:r>
          </w:p>
        </w:tc>
      </w:tr>
      <w:tr>
        <w:tc>
          <w:tcPr>
            <w:tcW w:type="dxa" w:w="1045"/>
          </w:tcPr>
          <w:p>
            <w:r>
              <w:rPr>
                <w:rFonts w:ascii="Meiryo UI" w:hAnsi="Meiryo UI"/>
                <w:sz w:val="18"/>
              </w:rPr>
              <w:t>FY2024/05</w:t>
            </w:r>
          </w:p>
        </w:tc>
        <w:tc>
          <w:tcPr>
            <w:tcW w:type="dxa" w:w="1045"/>
          </w:tcPr>
          <w:p>
            <w:r>
              <w:rPr>
                <w:rFonts w:ascii="Meiryo UI" w:hAnsi="Meiryo UI"/>
                <w:sz w:val="18"/>
              </w:rPr>
              <w:t>46,895</w:t>
            </w:r>
          </w:p>
        </w:tc>
        <w:tc>
          <w:tcPr>
            <w:tcW w:type="dxa" w:w="1045"/>
          </w:tcPr>
          <w:p>
            <w:r>
              <w:rPr>
                <w:rFonts w:ascii="Meiryo UI" w:hAnsi="Meiryo UI"/>
                <w:sz w:val="18"/>
              </w:rPr>
              <w:t>-</w:t>
            </w:r>
          </w:p>
        </w:tc>
        <w:tc>
          <w:tcPr>
            <w:tcW w:type="dxa" w:w="1045"/>
          </w:tcPr>
          <w:p>
            <w:r>
              <w:rPr>
                <w:rFonts w:ascii="Meiryo UI" w:hAnsi="Meiryo UI"/>
                <w:sz w:val="18"/>
              </w:rPr>
              <w:t>3,894</w:t>
            </w:r>
          </w:p>
        </w:tc>
        <w:tc>
          <w:tcPr>
            <w:tcW w:type="dxa" w:w="1045"/>
          </w:tcPr>
          <w:p>
            <w:r>
              <w:rPr>
                <w:rFonts w:ascii="Meiryo UI" w:hAnsi="Meiryo UI"/>
                <w:sz w:val="18"/>
              </w:rPr>
              <w:t>8.3%</w:t>
            </w:r>
          </w:p>
        </w:tc>
        <w:tc>
          <w:tcPr>
            <w:tcW w:type="dxa" w:w="1045"/>
          </w:tcPr>
          <w:p>
            <w:r>
              <w:rPr>
                <w:rFonts w:ascii="Meiryo UI" w:hAnsi="Meiryo UI"/>
                <w:sz w:val="18"/>
              </w:rPr>
              <w:t>3,923</w:t>
            </w:r>
          </w:p>
        </w:tc>
        <w:tc>
          <w:tcPr>
            <w:tcW w:type="dxa" w:w="1045"/>
          </w:tcPr>
          <w:p>
            <w:r>
              <w:rPr>
                <w:rFonts w:ascii="Meiryo UI" w:hAnsi="Meiryo UI"/>
                <w:sz w:val="18"/>
              </w:rPr>
              <w:t>3,295</w:t>
            </w:r>
          </w:p>
        </w:tc>
        <w:tc>
          <w:tcPr>
            <w:tcW w:type="dxa" w:w="1045"/>
          </w:tcPr>
          <w:p>
            <w:r>
              <w:rPr>
                <w:rFonts w:ascii="Meiryo UI" w:hAnsi="Meiryo UI"/>
                <w:sz w:val="18"/>
              </w:rPr>
              <w:t>¥109.5</w:t>
            </w:r>
          </w:p>
        </w:tc>
        <w:tc>
          <w:tcPr>
            <w:tcW w:type="dxa" w:w="1045"/>
          </w:tcPr>
          <w:p>
            <w:r>
              <w:rPr>
                <w:rFonts w:ascii="Meiryo UI" w:hAnsi="Meiryo UI"/>
                <w:sz w:val="18"/>
              </w:rPr>
              <w:t>¥40</w:t>
            </w:r>
          </w:p>
        </w:tc>
      </w:tr>
      <w:tr>
        <w:tc>
          <w:tcPr>
            <w:tcW w:type="dxa" w:w="1045"/>
            <w:shd w:val="clear" w:color="auto" w:fill="DDEBF7"/>
          </w:tcPr>
          <w:p>
            <w:r>
              <w:rPr>
                <w:rFonts w:ascii="Meiryo UI" w:hAnsi="Meiryo UI"/>
                <w:sz w:val="18"/>
              </w:rPr>
              <w:t>FY2025/05</w:t>
            </w:r>
          </w:p>
        </w:tc>
        <w:tc>
          <w:tcPr>
            <w:tcW w:type="dxa" w:w="1045"/>
            <w:shd w:val="clear" w:color="auto" w:fill="DDEBF7"/>
          </w:tcPr>
          <w:p>
            <w:r>
              <w:rPr>
                <w:rFonts w:ascii="Meiryo UI" w:hAnsi="Meiryo UI"/>
                <w:sz w:val="18"/>
              </w:rPr>
              <w:t>50,643</w:t>
            </w:r>
          </w:p>
        </w:tc>
        <w:tc>
          <w:tcPr>
            <w:tcW w:type="dxa" w:w="1045"/>
            <w:shd w:val="clear" w:color="auto" w:fill="DDEBF7"/>
          </w:tcPr>
          <w:p>
            <w:r>
              <w:rPr>
                <w:rFonts w:ascii="Meiryo UI" w:hAnsi="Meiryo UI"/>
                <w:sz w:val="18"/>
              </w:rPr>
              <w:t>+8.0%</w:t>
            </w:r>
          </w:p>
        </w:tc>
        <w:tc>
          <w:tcPr>
            <w:tcW w:type="dxa" w:w="1045"/>
            <w:shd w:val="clear" w:color="auto" w:fill="DDEBF7"/>
          </w:tcPr>
          <w:p>
            <w:r>
              <w:rPr>
                <w:rFonts w:ascii="Meiryo UI" w:hAnsi="Meiryo UI"/>
                <w:sz w:val="18"/>
              </w:rPr>
              <w:t>2,619</w:t>
            </w:r>
          </w:p>
        </w:tc>
        <w:tc>
          <w:tcPr>
            <w:tcW w:type="dxa" w:w="1045"/>
            <w:shd w:val="clear" w:color="auto" w:fill="DDEBF7"/>
          </w:tcPr>
          <w:p>
            <w:r>
              <w:rPr>
                <w:rFonts w:ascii="Meiryo UI" w:hAnsi="Meiryo UI"/>
                <w:sz w:val="18"/>
              </w:rPr>
              <w:t>5.2%</w:t>
            </w:r>
          </w:p>
        </w:tc>
        <w:tc>
          <w:tcPr>
            <w:tcW w:type="dxa" w:w="1045"/>
            <w:shd w:val="clear" w:color="auto" w:fill="DDEBF7"/>
          </w:tcPr>
          <w:p>
            <w:r>
              <w:rPr>
                <w:rFonts w:ascii="Meiryo UI" w:hAnsi="Meiryo UI"/>
                <w:sz w:val="18"/>
              </w:rPr>
              <w:t>2,705</w:t>
            </w:r>
          </w:p>
        </w:tc>
        <w:tc>
          <w:tcPr>
            <w:tcW w:type="dxa" w:w="1045"/>
            <w:shd w:val="clear" w:color="auto" w:fill="DDEBF7"/>
          </w:tcPr>
          <w:p>
            <w:r>
              <w:rPr>
                <w:rFonts w:ascii="Meiryo UI" w:hAnsi="Meiryo UI"/>
                <w:sz w:val="18"/>
              </w:rPr>
              <w:t>1,908</w:t>
            </w:r>
          </w:p>
        </w:tc>
        <w:tc>
          <w:tcPr>
            <w:tcW w:type="dxa" w:w="1045"/>
            <w:shd w:val="clear" w:color="auto" w:fill="DDEBF7"/>
          </w:tcPr>
          <w:p>
            <w:r>
              <w:rPr>
                <w:rFonts w:ascii="Meiryo UI" w:hAnsi="Meiryo UI"/>
                <w:sz w:val="18"/>
              </w:rPr>
              <w:t>¥63.4</w:t>
            </w:r>
          </w:p>
        </w:tc>
        <w:tc>
          <w:tcPr>
            <w:tcW w:type="dxa" w:w="1045"/>
            <w:shd w:val="clear" w:color="auto" w:fill="DDEBF7"/>
          </w:tcPr>
          <w:p>
            <w:r>
              <w:rPr>
                <w:rFonts w:ascii="Meiryo UI" w:hAnsi="Meiryo UI"/>
                <w:sz w:val="18"/>
              </w:rPr>
              <w:t>¥40</w:t>
            </w:r>
          </w:p>
        </w:tc>
      </w:tr>
      <w:tr>
        <w:tc>
          <w:tcPr>
            <w:tcW w:type="dxa" w:w="1045"/>
          </w:tcPr>
          <w:p>
            <w:r>
              <w:rPr>
                <w:rFonts w:ascii="Meiryo UI" w:hAnsi="Meiryo UI"/>
                <w:sz w:val="18"/>
              </w:rPr>
              <w:t>FY2026/05E</w:t>
            </w:r>
          </w:p>
        </w:tc>
        <w:tc>
          <w:tcPr>
            <w:tcW w:type="dxa" w:w="1045"/>
          </w:tcPr>
          <w:p>
            <w:r>
              <w:rPr>
                <w:rFonts w:ascii="Meiryo UI" w:hAnsi="Meiryo UI"/>
                <w:sz w:val="18"/>
              </w:rPr>
              <w:t>51,000</w:t>
            </w:r>
          </w:p>
        </w:tc>
        <w:tc>
          <w:tcPr>
            <w:tcW w:type="dxa" w:w="1045"/>
          </w:tcPr>
          <w:p>
            <w:r>
              <w:rPr>
                <w:rFonts w:ascii="Meiryo UI" w:hAnsi="Meiryo UI"/>
                <w:sz w:val="18"/>
              </w:rPr>
              <w:t>+0.7%</w:t>
            </w:r>
          </w:p>
        </w:tc>
        <w:tc>
          <w:tcPr>
            <w:tcW w:type="dxa" w:w="1045"/>
          </w:tcPr>
          <w:p>
            <w:r>
              <w:rPr>
                <w:rFonts w:ascii="Meiryo UI" w:hAnsi="Meiryo UI"/>
                <w:sz w:val="18"/>
              </w:rPr>
              <w:t>3,300</w:t>
            </w:r>
          </w:p>
        </w:tc>
        <w:tc>
          <w:tcPr>
            <w:tcW w:type="dxa" w:w="1045"/>
          </w:tcPr>
          <w:p>
            <w:r>
              <w:rPr>
                <w:rFonts w:ascii="Meiryo UI" w:hAnsi="Meiryo UI"/>
                <w:sz w:val="18"/>
              </w:rPr>
              <w:t>6.5%</w:t>
            </w:r>
          </w:p>
        </w:tc>
        <w:tc>
          <w:tcPr>
            <w:tcW w:type="dxa" w:w="1045"/>
          </w:tcPr>
          <w:p>
            <w:r>
              <w:rPr>
                <w:rFonts w:ascii="Meiryo UI" w:hAnsi="Meiryo UI"/>
                <w:sz w:val="18"/>
              </w:rPr>
              <w:t>3,500</w:t>
            </w:r>
          </w:p>
        </w:tc>
        <w:tc>
          <w:tcPr>
            <w:tcW w:type="dxa" w:w="1045"/>
          </w:tcPr>
          <w:p>
            <w:r>
              <w:rPr>
                <w:rFonts w:ascii="Meiryo UI" w:hAnsi="Meiryo UI"/>
                <w:sz w:val="18"/>
              </w:rPr>
              <w:t>2,500</w:t>
            </w:r>
          </w:p>
        </w:tc>
        <w:tc>
          <w:tcPr>
            <w:tcW w:type="dxa" w:w="1045"/>
          </w:tcPr>
          <w:p>
            <w:r>
              <w:rPr>
                <w:rFonts w:ascii="Meiryo UI" w:hAnsi="Meiryo UI"/>
                <w:sz w:val="18"/>
              </w:rPr>
              <w:t>¥83.1</w:t>
            </w:r>
          </w:p>
        </w:tc>
        <w:tc>
          <w:tcPr>
            <w:tcW w:type="dxa" w:w="1045"/>
          </w:tcPr>
          <w:p>
            <w:r>
              <w:rPr>
                <w:rFonts w:ascii="Meiryo UI" w:hAnsi="Meiryo UI"/>
                <w:sz w:val="18"/>
              </w:rPr>
              <w:t>¥40</w:t>
            </w:r>
          </w:p>
        </w:tc>
      </w:tr>
    </w:tbl>
    <w:p/>
    <w:p>
      <w:r>
        <w:rPr>
          <w:rFonts w:ascii="Meiryo UI" w:hAnsi="Meiryo UI"/>
          <w:sz w:val="20"/>
        </w:rPr>
        <w:t>出典: FY2024/05・FY2025/05は決算短信（官製）。FY2026/05Eは2026/04/10 TDnet適時開示（上方修正後）。</w:t>
      </w:r>
    </w:p>
    <w:p/>
    <w:p>
      <w:r>
        <w:rPr>
          <w:rFonts w:ascii="Meiryo UI" w:hAnsi="Meiryo UI"/>
          <w:sz w:val="20"/>
        </w:rPr>
        <w:t>FY2025/05大幅減益の原因（Rationale）:</w:t>
      </w:r>
    </w:p>
    <w:p>
      <w:pPr>
        <w:pStyle w:val="ListBullet"/>
      </w:pPr>
      <w:r>
        <w:rPr>
          <w:rFonts w:ascii="Meiryo UI" w:hAnsi="Meiryo UI"/>
          <w:sz w:val="20"/>
        </w:rPr>
        <w:t>薬価改定による単価下落（ジェネリックは毎年4月に薬価▲1〜2%が宿命）</w:t>
      </w:r>
    </w:p>
    <w:p>
      <w:pPr>
        <w:pStyle w:val="ListBullet"/>
      </w:pPr>
      <w:r>
        <w:rPr>
          <w:rFonts w:ascii="Meiryo UI" w:hAnsi="Meiryo UI"/>
          <w:sz w:val="20"/>
        </w:rPr>
        <w:t>円安による原薬調達原料コスト上昇（ナフサ系誘導体・中国産原材料）</w:t>
      </w:r>
    </w:p>
    <w:p>
      <w:pPr>
        <w:pStyle w:val="ListBullet"/>
      </w:pPr>
      <w:r>
        <w:rPr>
          <w:rFonts w:ascii="Meiryo UI" w:hAnsi="Meiryo UI"/>
          <w:sz w:val="20"/>
        </w:rPr>
        <w:t>生物学的同等性試験コスト増加（BE試験の難易度・費用が業界全体で上昇）</w:t>
      </w:r>
    </w:p>
    <w:p>
      <w:r>
        <w:rPr>
          <w:rFonts w:ascii="Meiryo UI" w:hAnsi="Meiryo UI"/>
          <w:sz w:val="20"/>
        </w:rPr>
        <w:t>→ この3悪材料が一巡しつつあることがFY2026/05回復の背景</w:t>
      </w:r>
    </w:p>
    <w:p/>
    <w:p>
      <w:pPr>
        <w:pStyle w:val="Heading3"/>
      </w:pPr>
      <w:r>
        <w:rPr>
          <w:rFonts w:ascii="Meiryo UI" w:hAnsi="Meiryo UI"/>
          <w:color w:val="2E74B5"/>
        </w:rPr>
        <w:t>直近四半期推移（3Q累計・百万円）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3Q累計FY2025</w:t>
            </w:r>
          </w:p>
        </w:tc>
        <w:tc>
          <w:tcPr>
            <w:tcW w:type="dxa" w:w="1881"/>
            <w:shd w:val="clear" w:color="auto" w:fill="2E74B5"/>
          </w:tcPr>
          <w:p>
            <w:r>
              <w:rPr>
                <w:rFonts w:ascii="Meiryo UI" w:hAnsi="Meiryo UI"/>
                <w:b/>
                <w:color w:val="FFFFFF"/>
                <w:sz w:val="18"/>
              </w:rPr>
              <w:t>3Q累計FY2026</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売上高</w:t>
            </w:r>
          </w:p>
        </w:tc>
        <w:tc>
          <w:tcPr>
            <w:tcW w:type="dxa" w:w="1881"/>
          </w:tcPr>
          <w:p>
            <w:r>
              <w:rPr>
                <w:rFonts w:ascii="Meiryo UI" w:hAnsi="Meiryo UI"/>
                <w:sz w:val="18"/>
              </w:rPr>
              <w:t>36,xxx</w:t>
            </w:r>
          </w:p>
        </w:tc>
        <w:tc>
          <w:tcPr>
            <w:tcW w:type="dxa" w:w="1881"/>
          </w:tcPr>
          <w:p>
            <w:r>
              <w:rPr>
                <w:rFonts w:ascii="Meiryo UI" w:hAnsi="Meiryo UI"/>
                <w:sz w:val="18"/>
              </w:rPr>
              <w:t>36,732</w:t>
            </w:r>
          </w:p>
        </w:tc>
        <w:tc>
          <w:tcPr>
            <w:tcW w:type="dxa" w:w="1881"/>
          </w:tcPr>
          <w:p>
            <w:r>
              <w:rPr>
                <w:rFonts w:ascii="Meiryo UI" w:hAnsi="Meiryo UI"/>
                <w:sz w:val="18"/>
              </w:rPr>
              <w:t>概ね横ばい</w:t>
            </w:r>
          </w:p>
        </w:tc>
        <w:tc>
          <w:tcPr>
            <w:tcW w:type="dxa" w:w="1881"/>
          </w:tcPr>
          <w:p>
            <w:r>
              <w:rPr>
                <w:rFonts w:ascii="Meiryo UI" w:hAnsi="Meiryo UI"/>
                <w:sz w:val="18"/>
              </w:rPr>
              <w:t>薬価改定圧力をボリューム増で相殺</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1,869</w:t>
            </w:r>
          </w:p>
        </w:tc>
        <w:tc>
          <w:tcPr>
            <w:tcW w:type="dxa" w:w="1881"/>
            <w:shd w:val="clear" w:color="auto" w:fill="DDEBF7"/>
          </w:tcPr>
          <w:p>
            <w:r>
              <w:rPr>
                <w:rFonts w:ascii="Meiryo UI" w:hAnsi="Meiryo UI"/>
                <w:sz w:val="18"/>
              </w:rPr>
              <w:t>2,751</w:t>
            </w:r>
          </w:p>
        </w:tc>
        <w:tc>
          <w:tcPr>
            <w:tcW w:type="dxa" w:w="1881"/>
            <w:shd w:val="clear" w:color="auto" w:fill="DDEBF7"/>
          </w:tcPr>
          <w:p>
            <w:r>
              <w:rPr>
                <w:rFonts w:ascii="Meiryo UI" w:hAnsi="Meiryo UI"/>
                <w:sz w:val="18"/>
              </w:rPr>
              <w:t>+47.2%</w:t>
            </w:r>
          </w:p>
        </w:tc>
        <w:tc>
          <w:tcPr>
            <w:tcW w:type="dxa" w:w="1881"/>
            <w:shd w:val="clear" w:color="auto" w:fill="DDEBF7"/>
          </w:tcPr>
          <w:p>
            <w:r>
              <w:rPr>
                <w:rFonts w:ascii="Meiryo UI" w:hAnsi="Meiryo UI"/>
                <w:sz w:val="18"/>
              </w:rPr>
              <w:t>固定費レバレッジ×原薬内製効果</w:t>
            </w:r>
          </w:p>
        </w:tc>
      </w:tr>
      <w:tr>
        <w:tc>
          <w:tcPr>
            <w:tcW w:type="dxa" w:w="1881"/>
          </w:tcPr>
          <w:p>
            <w:r>
              <w:rPr>
                <w:rFonts w:ascii="Meiryo UI" w:hAnsi="Meiryo UI"/>
                <w:sz w:val="18"/>
              </w:rPr>
              <w:t>経常利益</w:t>
            </w:r>
          </w:p>
        </w:tc>
        <w:tc>
          <w:tcPr>
            <w:tcW w:type="dxa" w:w="1881"/>
          </w:tcPr>
          <w:p>
            <w:r>
              <w:rPr>
                <w:rFonts w:ascii="Meiryo UI" w:hAnsi="Meiryo UI"/>
                <w:sz w:val="18"/>
              </w:rPr>
              <w:t>2,031</w:t>
            </w:r>
          </w:p>
        </w:tc>
        <w:tc>
          <w:tcPr>
            <w:tcW w:type="dxa" w:w="1881"/>
          </w:tcPr>
          <w:p>
            <w:r>
              <w:rPr>
                <w:rFonts w:ascii="Meiryo UI" w:hAnsi="Meiryo UI"/>
                <w:sz w:val="18"/>
              </w:rPr>
              <w:t>2,974</w:t>
            </w:r>
          </w:p>
        </w:tc>
        <w:tc>
          <w:tcPr>
            <w:tcW w:type="dxa" w:w="1881"/>
          </w:tcPr>
          <w:p>
            <w:r>
              <w:rPr>
                <w:rFonts w:ascii="Meiryo UI" w:hAnsi="Meiryo UI"/>
                <w:sz w:val="18"/>
              </w:rPr>
              <w:t>+46.3%</w:t>
            </w:r>
          </w:p>
        </w:tc>
        <w:tc>
          <w:tcPr>
            <w:tcW w:type="dxa" w:w="1881"/>
          </w:tcPr>
          <w:p>
            <w:r>
              <w:rPr>
                <w:rFonts w:ascii="Meiryo UI" w:hAnsi="Meiryo UI"/>
                <w:sz w:val="18"/>
              </w:rPr>
              <w:t>金融収益も改善</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1,218</w:t>
            </w:r>
          </w:p>
        </w:tc>
        <w:tc>
          <w:tcPr>
            <w:tcW w:type="dxa" w:w="1881"/>
            <w:shd w:val="clear" w:color="auto" w:fill="DDEBF7"/>
          </w:tcPr>
          <w:p>
            <w:r>
              <w:rPr>
                <w:rFonts w:ascii="Meiryo UI" w:hAnsi="Meiryo UI"/>
                <w:sz w:val="18"/>
              </w:rPr>
              <w:t>2,267</w:t>
            </w:r>
          </w:p>
        </w:tc>
        <w:tc>
          <w:tcPr>
            <w:tcW w:type="dxa" w:w="1881"/>
            <w:shd w:val="clear" w:color="auto" w:fill="DDEBF7"/>
          </w:tcPr>
          <w:p>
            <w:r>
              <w:rPr>
                <w:rFonts w:ascii="Meiryo UI" w:hAnsi="Meiryo UI"/>
                <w:sz w:val="18"/>
              </w:rPr>
              <w:t>+86.2%</w:t>
            </w:r>
          </w:p>
        </w:tc>
        <w:tc>
          <w:tcPr>
            <w:tcW w:type="dxa" w:w="1881"/>
            <w:shd w:val="clear" w:color="auto" w:fill="DDEBF7"/>
          </w:tcPr>
          <w:p>
            <w:r>
              <w:rPr>
                <w:rFonts w:ascii="Meiryo UI" w:hAnsi="Meiryo UI"/>
                <w:sz w:val="18"/>
              </w:rPr>
              <w:t>前年の特別損失が一巡</w:t>
            </w:r>
          </w:p>
        </w:tc>
      </w:tr>
    </w:tbl>
    <w:p/>
    <w:p>
      <w:pPr>
        <w:pStyle w:val="Heading3"/>
      </w:pPr>
      <w:r>
        <w:rPr>
          <w:rFonts w:ascii="Meiryo UI" w:hAnsi="Meiryo UI"/>
          <w:color w:val="2E74B5"/>
        </w:rPr>
        <w:t>3Q単体（2025年12月〜2026年2月）— 最重要指標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3Q単体FY2025</w:t>
            </w:r>
          </w:p>
        </w:tc>
        <w:tc>
          <w:tcPr>
            <w:tcW w:type="dxa" w:w="2351"/>
            <w:shd w:val="clear" w:color="auto" w:fill="2E74B5"/>
          </w:tcPr>
          <w:p>
            <w:r>
              <w:rPr>
                <w:rFonts w:ascii="Meiryo UI" w:hAnsi="Meiryo UI"/>
                <w:b/>
                <w:color w:val="FFFFFF"/>
                <w:sz w:val="18"/>
              </w:rPr>
              <w:t>3Q単体FY2026</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売上OPM</w:t>
            </w:r>
          </w:p>
        </w:tc>
        <w:tc>
          <w:tcPr>
            <w:tcW w:type="dxa" w:w="2351"/>
          </w:tcPr>
          <w:p>
            <w:r>
              <w:rPr>
                <w:rFonts w:ascii="Meiryo UI" w:hAnsi="Meiryo UI"/>
                <w:sz w:val="18"/>
              </w:rPr>
              <w:t>3.3%</w:t>
            </w:r>
          </w:p>
        </w:tc>
        <w:tc>
          <w:tcPr>
            <w:tcW w:type="dxa" w:w="2351"/>
          </w:tcPr>
          <w:p>
            <w:r>
              <w:rPr>
                <w:rFonts w:ascii="Meiryo UI" w:hAnsi="Meiryo UI"/>
                <w:sz w:val="18"/>
              </w:rPr>
              <w:t>9.7%</w:t>
            </w:r>
          </w:p>
        </w:tc>
        <w:tc>
          <w:tcPr>
            <w:tcW w:type="dxa" w:w="2351"/>
          </w:tcPr>
          <w:p>
            <w:r>
              <w:rPr>
                <w:rFonts w:ascii="Meiryo UI" w:hAnsi="Meiryo UI"/>
                <w:sz w:val="18"/>
              </w:rPr>
              <w:t>+6.4pt急改善</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¥5.8億</w:t>
            </w:r>
          </w:p>
        </w:tc>
        <w:tc>
          <w:tcPr>
            <w:tcW w:type="dxa" w:w="2351"/>
            <w:shd w:val="clear" w:color="auto" w:fill="DDEBF7"/>
          </w:tcPr>
          <w:p>
            <w:r>
              <w:rPr>
                <w:rFonts w:ascii="Meiryo UI" w:hAnsi="Meiryo UI"/>
                <w:sz w:val="18"/>
              </w:rPr>
              <w:t>¥12.1億</w:t>
            </w:r>
          </w:p>
        </w:tc>
        <w:tc>
          <w:tcPr>
            <w:tcW w:type="dxa" w:w="2351"/>
            <w:shd w:val="clear" w:color="auto" w:fill="DDEBF7"/>
          </w:tcPr>
          <w:p>
            <w:r>
              <w:rPr>
                <w:rFonts w:ascii="Meiryo UI" w:hAnsi="Meiryo UI"/>
                <w:sz w:val="18"/>
              </w:rPr>
              <w:t>+2.1倍</w:t>
            </w:r>
          </w:p>
        </w:tc>
      </w:tr>
    </w:tbl>
    <w:p/>
    <w:p>
      <w:r>
        <w:rPr>
          <w:rFonts w:ascii="Meiryo UI" w:hAnsi="Meiryo UI"/>
          <w:sz w:val="20"/>
        </w:rPr>
        <w:t>+6.4ptの急改善はノイズではない。冬季（12〜2月）は季節的に最も製造稼働率が高い四半期であり、固定費レバレッジが最大化するタイミング。それを差し引いても水準改善は顕著</w:t>
      </w:r>
    </w:p>
    <w:p/>
    <w:p>
      <w:pPr>
        <w:pStyle w:val="Heading3"/>
      </w:pPr>
      <w:r>
        <w:rPr>
          <w:rFonts w:ascii="Meiryo UI" w:hAnsi="Meiryo UI"/>
          <w:color w:val="2E74B5"/>
        </w:rPr>
        <w:t>通期進捗と残4Q必要額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通期予想</w:t>
            </w:r>
          </w:p>
        </w:tc>
        <w:tc>
          <w:tcPr>
            <w:tcW w:type="dxa" w:w="1881"/>
            <w:shd w:val="clear" w:color="auto" w:fill="2E74B5"/>
          </w:tcPr>
          <w:p>
            <w:r>
              <w:rPr>
                <w:rFonts w:ascii="Meiryo UI" w:hAnsi="Meiryo UI"/>
                <w:b/>
                <w:color w:val="FFFFFF"/>
                <w:sz w:val="18"/>
              </w:rPr>
              <w:t>3Q累計実績</w:t>
            </w:r>
          </w:p>
        </w:tc>
        <w:tc>
          <w:tcPr>
            <w:tcW w:type="dxa" w:w="1881"/>
            <w:shd w:val="clear" w:color="auto" w:fill="2E74B5"/>
          </w:tcPr>
          <w:p>
            <w:r>
              <w:rPr>
                <w:rFonts w:ascii="Meiryo UI" w:hAnsi="Meiryo UI"/>
                <w:b/>
                <w:color w:val="FFFFFF"/>
                <w:sz w:val="18"/>
              </w:rPr>
              <w:t>進捗率</w:t>
            </w:r>
          </w:p>
        </w:tc>
        <w:tc>
          <w:tcPr>
            <w:tcW w:type="dxa" w:w="1881"/>
            <w:shd w:val="clear" w:color="auto" w:fill="2E74B5"/>
          </w:tcPr>
          <w:p>
            <w:r>
              <w:rPr>
                <w:rFonts w:ascii="Meiryo UI" w:hAnsi="Meiryo UI"/>
                <w:b/>
                <w:color w:val="FFFFFF"/>
                <w:sz w:val="18"/>
              </w:rPr>
              <w:t>残4Q必要額</w:t>
            </w:r>
          </w:p>
        </w:tc>
      </w:tr>
      <w:tr>
        <w:tc>
          <w:tcPr>
            <w:tcW w:type="dxa" w:w="1881"/>
          </w:tcPr>
          <w:p>
            <w:r>
              <w:rPr>
                <w:rFonts w:ascii="Meiryo UI" w:hAnsi="Meiryo UI"/>
                <w:sz w:val="18"/>
              </w:rPr>
              <w:t>経常利益</w:t>
            </w:r>
          </w:p>
        </w:tc>
        <w:tc>
          <w:tcPr>
            <w:tcW w:type="dxa" w:w="1881"/>
          </w:tcPr>
          <w:p>
            <w:r>
              <w:rPr>
                <w:rFonts w:ascii="Meiryo UI" w:hAnsi="Meiryo UI"/>
                <w:sz w:val="18"/>
              </w:rPr>
              <w:t>3,500百万円</w:t>
            </w:r>
          </w:p>
        </w:tc>
        <w:tc>
          <w:tcPr>
            <w:tcW w:type="dxa" w:w="1881"/>
          </w:tcPr>
          <w:p>
            <w:r>
              <w:rPr>
                <w:rFonts w:ascii="Meiryo UI" w:hAnsi="Meiryo UI"/>
                <w:sz w:val="18"/>
              </w:rPr>
              <w:t>2,974百万円</w:t>
            </w:r>
          </w:p>
        </w:tc>
        <w:tc>
          <w:tcPr>
            <w:tcW w:type="dxa" w:w="1881"/>
          </w:tcPr>
          <w:p>
            <w:r>
              <w:rPr>
                <w:rFonts w:ascii="Meiryo UI" w:hAnsi="Meiryo UI"/>
                <w:sz w:val="18"/>
              </w:rPr>
              <w:t>85.0%</w:t>
            </w:r>
          </w:p>
        </w:tc>
        <w:tc>
          <w:tcPr>
            <w:tcW w:type="dxa" w:w="1881"/>
          </w:tcPr>
          <w:p>
            <w:r>
              <w:rPr>
                <w:rFonts w:ascii="Meiryo UI" w:hAnsi="Meiryo UI"/>
                <w:sz w:val="18"/>
              </w:rPr>
              <w:t>526百万円</w:t>
            </w:r>
          </w:p>
        </w:tc>
      </w:tr>
    </w:tbl>
    <w:p/>
    <w:p>
      <w:r>
        <w:rPr>
          <w:rFonts w:ascii="Meiryo UI" w:hAnsi="Meiryo UI"/>
          <w:sz w:val="20"/>
        </w:rPr>
        <w:t>残4Q必要額526百万円は、過去4Q実績（ FY2025/05 Q4経常 = 2,705 - 2,031 = 674百万円）を大幅に下回る水準。通期予想達成確度は極めて高く、追加上方修正の公算あり</w:t>
      </w:r>
    </w:p>
    <w:p/>
    <w:p>
      <w:pPr>
        <w:pStyle w:val="Heading3"/>
      </w:pPr>
      <w:r>
        <w:rPr>
          <w:rFonts w:ascii="Meiryo UI" w:hAnsi="Meiryo UI"/>
          <w:color w:val="2E74B5"/>
        </w:rPr>
        <w:t>1株指標（4/19時点）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株価</w:t>
            </w:r>
          </w:p>
        </w:tc>
        <w:tc>
          <w:tcPr>
            <w:tcW w:type="dxa" w:w="3135"/>
          </w:tcPr>
          <w:p>
            <w:r>
              <w:rPr>
                <w:rFonts w:ascii="Meiryo UI" w:hAnsi="Meiryo UI"/>
                <w:sz w:val="18"/>
              </w:rPr>
              <w:t>¥1,354</w:t>
            </w:r>
          </w:p>
        </w:tc>
        <w:tc>
          <w:tcPr>
            <w:tcW w:type="dxa" w:w="3135"/>
          </w:tcPr>
          <w:p>
            <w:r>
              <w:rPr>
                <w:rFonts w:ascii="Meiryo UI" w:hAnsi="Meiryo UI"/>
                <w:sz w:val="18"/>
              </w:rPr>
              <w:t>Yahoo Finance / 推定</w:t>
            </w:r>
          </w:p>
        </w:tc>
      </w:tr>
      <w:tr>
        <w:tc>
          <w:tcPr>
            <w:tcW w:type="dxa" w:w="3135"/>
            <w:shd w:val="clear" w:color="auto" w:fill="DDEBF7"/>
          </w:tcPr>
          <w:p>
            <w:r>
              <w:rPr>
                <w:rFonts w:ascii="Meiryo UI" w:hAnsi="Meiryo UI"/>
                <w:sz w:val="18"/>
              </w:rPr>
              <w:t>PER（FY2026/05E）</w:t>
            </w:r>
          </w:p>
        </w:tc>
        <w:tc>
          <w:tcPr>
            <w:tcW w:type="dxa" w:w="3135"/>
            <w:shd w:val="clear" w:color="auto" w:fill="DDEBF7"/>
          </w:tcPr>
          <w:p>
            <w:r>
              <w:rPr>
                <w:rFonts w:ascii="Meiryo UI" w:hAnsi="Meiryo UI"/>
                <w:sz w:val="18"/>
              </w:rPr>
              <w:t>16.04倍</w:t>
            </w:r>
          </w:p>
        </w:tc>
        <w:tc>
          <w:tcPr>
            <w:tcW w:type="dxa" w:w="3135"/>
            <w:shd w:val="clear" w:color="auto" w:fill="DDEBF7"/>
          </w:tcPr>
          <w:p>
            <w:r>
              <w:rPr>
                <w:rFonts w:ascii="Meiryo UI" w:hAnsi="Meiryo UI"/>
                <w:sz w:val="18"/>
              </w:rPr>
              <w:t>IFIS株予報</w:t>
            </w:r>
          </w:p>
        </w:tc>
      </w:tr>
      <w:tr>
        <w:tc>
          <w:tcPr>
            <w:tcW w:type="dxa" w:w="3135"/>
          </w:tcPr>
          <w:p>
            <w:r>
              <w:rPr>
                <w:rFonts w:ascii="Meiryo UI" w:hAnsi="Meiryo UI"/>
                <w:sz w:val="18"/>
              </w:rPr>
              <w:t>PBR</w:t>
            </w:r>
          </w:p>
        </w:tc>
        <w:tc>
          <w:tcPr>
            <w:tcW w:type="dxa" w:w="3135"/>
          </w:tcPr>
          <w:p>
            <w:r>
              <w:rPr>
                <w:rFonts w:ascii="Meiryo UI" w:hAnsi="Meiryo UI"/>
                <w:sz w:val="18"/>
              </w:rPr>
              <w:t>0.76倍</w:t>
            </w:r>
          </w:p>
        </w:tc>
        <w:tc>
          <w:tcPr>
            <w:tcW w:type="dxa" w:w="3135"/>
          </w:tcPr>
          <w:p>
            <w:r>
              <w:rPr>
                <w:rFonts w:ascii="Meiryo UI" w:hAnsi="Meiryo UI"/>
                <w:sz w:val="18"/>
              </w:rPr>
              <w:t>nikkeiyosoku.com</w:t>
            </w:r>
          </w:p>
        </w:tc>
      </w:tr>
      <w:tr>
        <w:tc>
          <w:tcPr>
            <w:tcW w:type="dxa" w:w="3135"/>
            <w:shd w:val="clear" w:color="auto" w:fill="DDEBF7"/>
          </w:tcPr>
          <w:p>
            <w:r>
              <w:rPr>
                <w:rFonts w:ascii="Meiryo UI" w:hAnsi="Meiryo UI"/>
                <w:sz w:val="18"/>
              </w:rPr>
              <w:t>BPS（推計）</w:t>
            </w:r>
          </w:p>
        </w:tc>
        <w:tc>
          <w:tcPr>
            <w:tcW w:type="dxa" w:w="3135"/>
            <w:shd w:val="clear" w:color="auto" w:fill="DDEBF7"/>
          </w:tcPr>
          <w:p>
            <w:r>
              <w:rPr>
                <w:rFonts w:ascii="Meiryo UI" w:hAnsi="Meiryo UI"/>
                <w:sz w:val="18"/>
              </w:rPr>
              <w:t>¥1,782</w:t>
            </w:r>
          </w:p>
        </w:tc>
        <w:tc>
          <w:tcPr>
            <w:tcW w:type="dxa" w:w="3135"/>
            <w:shd w:val="clear" w:color="auto" w:fill="DDEBF7"/>
          </w:tcPr>
          <w:p>
            <w:r>
              <w:rPr>
                <w:rFonts w:ascii="Meiryo UI" w:hAnsi="Meiryo UI"/>
                <w:sz w:val="18"/>
              </w:rPr>
              <w:t>株価¥1,354 ÷ PBR0.76</w:t>
            </w:r>
          </w:p>
        </w:tc>
      </w:tr>
      <w:tr>
        <w:tc>
          <w:tcPr>
            <w:tcW w:type="dxa" w:w="3135"/>
          </w:tcPr>
          <w:p>
            <w:r>
              <w:rPr>
                <w:rFonts w:ascii="Meiryo UI" w:hAnsi="Meiryo UI"/>
                <w:sz w:val="18"/>
              </w:rPr>
              <w:t>ROE</w:t>
            </w:r>
          </w:p>
        </w:tc>
        <w:tc>
          <w:tcPr>
            <w:tcW w:type="dxa" w:w="3135"/>
          </w:tcPr>
          <w:p>
            <w:r>
              <w:rPr>
                <w:rFonts w:ascii="Meiryo UI" w:hAnsi="Meiryo UI"/>
                <w:sz w:val="18"/>
              </w:rPr>
              <w:t>4.33%</w:t>
            </w:r>
          </w:p>
        </w:tc>
        <w:tc>
          <w:tcPr>
            <w:tcW w:type="dxa" w:w="3135"/>
          </w:tcPr>
          <w:p>
            <w:r>
              <w:rPr>
                <w:rFonts w:ascii="Meiryo UI" w:hAnsi="Meiryo UI"/>
                <w:sz w:val="18"/>
              </w:rPr>
              <w:t>IFIS株予報</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69.7%</w:t>
            </w:r>
          </w:p>
        </w:tc>
        <w:tc>
          <w:tcPr>
            <w:tcW w:type="dxa" w:w="3135"/>
            <w:shd w:val="clear" w:color="auto" w:fill="DDEBF7"/>
          </w:tcPr>
          <w:p>
            <w:r>
              <w:rPr>
                <w:rFonts w:ascii="Meiryo UI" w:hAnsi="Meiryo UI"/>
                <w:sz w:val="18"/>
              </w:rPr>
              <w:t>nikkeiyosoku.com</w:t>
            </w:r>
          </w:p>
        </w:tc>
      </w:tr>
      <w:tr>
        <w:tc>
          <w:tcPr>
            <w:tcW w:type="dxa" w:w="3135"/>
          </w:tcPr>
          <w:p>
            <w:r>
              <w:rPr>
                <w:rFonts w:ascii="Meiryo UI" w:hAnsi="Meiryo UI"/>
                <w:sz w:val="18"/>
              </w:rPr>
              <w:t>配当（FY2026/05E）</w:t>
            </w:r>
          </w:p>
        </w:tc>
        <w:tc>
          <w:tcPr>
            <w:tcW w:type="dxa" w:w="3135"/>
          </w:tcPr>
          <w:p>
            <w:r>
              <w:rPr>
                <w:rFonts w:ascii="Meiryo UI" w:hAnsi="Meiryo UI"/>
                <w:sz w:val="18"/>
              </w:rPr>
              <w:t>¥40</w:t>
            </w:r>
          </w:p>
        </w:tc>
        <w:tc>
          <w:tcPr>
            <w:tcW w:type="dxa" w:w="3135"/>
          </w:tcPr>
          <w:p>
            <w:r>
              <w:rPr>
                <w:rFonts w:ascii="Meiryo UI" w:hAnsi="Meiryo UI"/>
                <w:sz w:val="18"/>
              </w:rPr>
              <w:t>会社予想</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2.95%</w:t>
            </w:r>
          </w:p>
        </w:tc>
        <w:tc>
          <w:tcPr>
            <w:tcW w:type="dxa" w:w="3135"/>
            <w:shd w:val="clear" w:color="auto" w:fill="DDEBF7"/>
          </w:tcPr>
          <w:p>
            <w:r>
              <w:rPr>
                <w:rFonts w:ascii="Meiryo UI" w:hAnsi="Meiryo UI"/>
                <w:sz w:val="18"/>
              </w:rPr>
              <w:t>nikkeiyosoku.com</w:t>
            </w:r>
          </w:p>
        </w:tc>
      </w:tr>
      <w:tr>
        <w:tc>
          <w:tcPr>
            <w:tcW w:type="dxa" w:w="3135"/>
          </w:tcPr>
          <w:p>
            <w:r>
              <w:rPr>
                <w:rFonts w:ascii="Meiryo UI" w:hAnsi="Meiryo UI"/>
                <w:sz w:val="18"/>
              </w:rPr>
              <w:t>時価総額</w:t>
            </w:r>
          </w:p>
        </w:tc>
        <w:tc>
          <w:tcPr>
            <w:tcW w:type="dxa" w:w="3135"/>
          </w:tcPr>
          <w:p>
            <w:r>
              <w:rPr>
                <w:rFonts w:ascii="Meiryo UI" w:hAnsi="Meiryo UI"/>
                <w:sz w:val="18"/>
              </w:rPr>
              <w:t>約¥407.5億</w:t>
            </w:r>
          </w:p>
        </w:tc>
        <w:tc>
          <w:tcPr>
            <w:tcW w:type="dxa" w:w="3135"/>
          </w:tcPr>
          <w:p>
            <w:r>
              <w:rPr>
                <w:rFonts w:ascii="Meiryo UI" w:hAnsi="Meiryo UI"/>
                <w:sz w:val="18"/>
              </w:rPr>
              <w:t>推計（株価×30,090千株）</w:t>
            </w:r>
          </w:p>
        </w:tc>
      </w:tr>
    </w:tbl>
    <w:p/>
    <w:p>
      <w:r>
        <w:t>──────────────────────────────────────────────────</w:t>
      </w:r>
    </w:p>
    <w:p/>
    <w:p>
      <w:pPr>
        <w:pStyle w:val="Heading2"/>
      </w:pPr>
      <w:r>
        <w:rPr>
          <w:rFonts w:ascii="Meiryo UI" w:hAnsi="Meiryo UI"/>
          <w:color w:val="2E74B5"/>
        </w:rPr>
        <w:t>4. フェアバリュー算出（マルチ手法）</w:t>
      </w:r>
    </w:p>
    <w:p/>
    <w:p>
      <w:pPr>
        <w:pStyle w:val="Heading3"/>
      </w:pPr>
      <w:r>
        <w:rPr>
          <w:rFonts w:ascii="Meiryo UI" w:hAnsi="Meiryo UI"/>
          <w:color w:val="2E74B5"/>
        </w:rPr>
        <w:t>方法①: EPS × 適正PER法</w:t>
      </w:r>
    </w:p>
    <w:p/>
    <w:p>
      <w:r>
        <w:rPr>
          <w:rFonts w:ascii="Meiryo UI" w:hAnsi="Meiryo UI"/>
          <w:sz w:val="20"/>
        </w:rPr>
        <w:t>根拠: ジェネリック医薬品回復局面の適正PER = 18〜22倍</w:t>
      </w:r>
    </w:p>
    <w:p>
      <w:r>
        <w:rPr>
          <w:rFonts w:ascii="Meiryo UI" w:hAnsi="Meiryo UI"/>
          <w:sz w:val="20"/>
        </w:rPr>
        <w:t>（参考：栄研化学4549 PER 22倍、持田製薬4534 PER 19倍）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保守的</w:t>
            </w:r>
          </w:p>
        </w:tc>
        <w:tc>
          <w:tcPr>
            <w:tcW w:type="dxa" w:w="1881"/>
          </w:tcPr>
          <w:p>
            <w:r>
              <w:rPr>
                <w:rFonts w:ascii="Meiryo UI" w:hAnsi="Meiryo UI"/>
                <w:sz w:val="18"/>
              </w:rPr>
              <w:t>¥83.1</w:t>
            </w:r>
          </w:p>
        </w:tc>
        <w:tc>
          <w:tcPr>
            <w:tcW w:type="dxa" w:w="1881"/>
          </w:tcPr>
          <w:p>
            <w:r>
              <w:rPr>
                <w:rFonts w:ascii="Meiryo UI" w:hAnsi="Meiryo UI"/>
                <w:sz w:val="18"/>
              </w:rPr>
              <w:t>18倍</w:t>
            </w:r>
          </w:p>
        </w:tc>
        <w:tc>
          <w:tcPr>
            <w:tcW w:type="dxa" w:w="1881"/>
          </w:tcPr>
          <w:p>
            <w:r>
              <w:rPr>
                <w:rFonts w:ascii="Meiryo UI" w:hAnsi="Meiryo UI"/>
                <w:sz w:val="18"/>
              </w:rPr>
              <w:t>¥1,496</w:t>
            </w:r>
          </w:p>
        </w:tc>
        <w:tc>
          <w:tcPr>
            <w:tcW w:type="dxa" w:w="1881"/>
          </w:tcPr>
          <w:p>
            <w:r>
              <w:rPr>
                <w:rFonts w:ascii="Meiryo UI" w:hAnsi="Meiryo UI"/>
                <w:sz w:val="18"/>
              </w:rPr>
              <w:t>現状PER維持</w:t>
            </w:r>
          </w:p>
        </w:tc>
      </w:tr>
      <w:tr>
        <w:tc>
          <w:tcPr>
            <w:tcW w:type="dxa" w:w="1881"/>
            <w:shd w:val="clear" w:color="auto" w:fill="DDEBF7"/>
          </w:tcPr>
          <w:p>
            <w:r>
              <w:rPr>
                <w:rFonts w:ascii="Meiryo UI" w:hAnsi="Meiryo UI"/>
                <w:sz w:val="18"/>
              </w:rPr>
              <w:t>標準</w:t>
            </w:r>
          </w:p>
        </w:tc>
        <w:tc>
          <w:tcPr>
            <w:tcW w:type="dxa" w:w="1881"/>
            <w:shd w:val="clear" w:color="auto" w:fill="DDEBF7"/>
          </w:tcPr>
          <w:p>
            <w:r>
              <w:rPr>
                <w:rFonts w:ascii="Meiryo UI" w:hAnsi="Meiryo UI"/>
                <w:sz w:val="18"/>
              </w:rPr>
              <w:t>¥83.1</w:t>
            </w:r>
          </w:p>
        </w:tc>
        <w:tc>
          <w:tcPr>
            <w:tcW w:type="dxa" w:w="1881"/>
            <w:shd w:val="clear" w:color="auto" w:fill="DDEBF7"/>
          </w:tcPr>
          <w:p>
            <w:r>
              <w:rPr>
                <w:rFonts w:ascii="Meiryo UI" w:hAnsi="Meiryo UI"/>
                <w:sz w:val="18"/>
              </w:rPr>
              <w:t>20倍</w:t>
            </w:r>
          </w:p>
        </w:tc>
        <w:tc>
          <w:tcPr>
            <w:tcW w:type="dxa" w:w="1881"/>
            <w:shd w:val="clear" w:color="auto" w:fill="DDEBF7"/>
          </w:tcPr>
          <w:p>
            <w:r>
              <w:rPr>
                <w:rFonts w:ascii="Meiryo UI" w:hAnsi="Meiryo UI"/>
                <w:sz w:val="18"/>
              </w:rPr>
              <w:t>¥1,662</w:t>
            </w:r>
          </w:p>
        </w:tc>
        <w:tc>
          <w:tcPr>
            <w:tcW w:type="dxa" w:w="1881"/>
            <w:shd w:val="clear" w:color="auto" w:fill="DDEBF7"/>
          </w:tcPr>
          <w:p>
            <w:r>
              <w:rPr>
                <w:rFonts w:ascii="Meiryo UI" w:hAnsi="Meiryo UI"/>
                <w:sz w:val="18"/>
              </w:rPr>
              <w:t>ジェネリック回復中央値</w:t>
            </w:r>
          </w:p>
        </w:tc>
      </w:tr>
      <w:tr>
        <w:tc>
          <w:tcPr>
            <w:tcW w:type="dxa" w:w="1881"/>
          </w:tcPr>
          <w:p>
            <w:r>
              <w:rPr>
                <w:rFonts w:ascii="Meiryo UI" w:hAnsi="Meiryo UI"/>
                <w:sz w:val="18"/>
              </w:rPr>
              <w:t>強気</w:t>
            </w:r>
          </w:p>
        </w:tc>
        <w:tc>
          <w:tcPr>
            <w:tcW w:type="dxa" w:w="1881"/>
          </w:tcPr>
          <w:p>
            <w:r>
              <w:rPr>
                <w:rFonts w:ascii="Meiryo UI" w:hAnsi="Meiryo UI"/>
                <w:sz w:val="18"/>
              </w:rPr>
              <w:t>¥83.1</w:t>
            </w:r>
          </w:p>
        </w:tc>
        <w:tc>
          <w:tcPr>
            <w:tcW w:type="dxa" w:w="1881"/>
          </w:tcPr>
          <w:p>
            <w:r>
              <w:rPr>
                <w:rFonts w:ascii="Meiryo UI" w:hAnsi="Meiryo UI"/>
                <w:sz w:val="18"/>
              </w:rPr>
              <w:t>22倍</w:t>
            </w:r>
          </w:p>
        </w:tc>
        <w:tc>
          <w:tcPr>
            <w:tcW w:type="dxa" w:w="1881"/>
          </w:tcPr>
          <w:p>
            <w:r>
              <w:rPr>
                <w:rFonts w:ascii="Meiryo UI" w:hAnsi="Meiryo UI"/>
                <w:sz w:val="18"/>
              </w:rPr>
              <w:t>¥1,828</w:t>
            </w:r>
          </w:p>
        </w:tc>
        <w:tc>
          <w:tcPr>
            <w:tcW w:type="dxa" w:w="1881"/>
          </w:tcPr>
          <w:p>
            <w:r>
              <w:rPr>
                <w:rFonts w:ascii="Meiryo UI" w:hAnsi="Meiryo UI"/>
                <w:sz w:val="18"/>
              </w:rPr>
              <w:t>正常化プレミアム</w:t>
            </w:r>
          </w:p>
        </w:tc>
      </w:tr>
    </w:tbl>
    <w:p/>
    <w:p>
      <w:pPr>
        <w:pStyle w:val="Heading3"/>
      </w:pPr>
      <w:r>
        <w:rPr>
          <w:rFonts w:ascii="Meiryo UI" w:hAnsi="Meiryo UI"/>
          <w:color w:val="2E74B5"/>
        </w:rPr>
        <w:t>方法②: PBR回帰法</w:t>
      </w:r>
    </w:p>
    <w:p/>
    <w:p>
      <w:r>
        <w:rPr>
          <w:rFonts w:ascii="Meiryo UI" w:hAnsi="Meiryo UI"/>
          <w:sz w:val="20"/>
        </w:rPr>
        <w:t>根拠: 自己資本比率69.7%・配当継続・利益回復軌道でPBR 1.0倍回帰が合理的</w:t>
      </w:r>
    </w:p>
    <w:p>
      <w:pPr>
        <w:pStyle w:val="ListBullet"/>
      </w:pPr>
      <w:r>
        <w:rPr>
          <w:rFonts w:ascii="Meiryo UI" w:hAnsi="Meiryo UI"/>
          <w:sz w:val="20"/>
        </w:rPr>
        <w:t>BPS ¥1,782 × PBR 1.0倍 = FV ¥1,782</w:t>
      </w:r>
    </w:p>
    <w:p/>
    <w:p>
      <w:pPr>
        <w:pStyle w:val="Heading3"/>
      </w:pPr>
      <w:r>
        <w:rPr>
          <w:rFonts w:ascii="Meiryo UI" w:hAnsi="Meiryo UI"/>
          <w:color w:val="2E74B5"/>
        </w:rPr>
        <w:t>方法③: 正常化EPS法（FY2024/05水準回帰）</w:t>
      </w:r>
    </w:p>
    <w:p/>
    <w:p>
      <w:r>
        <w:rPr>
          <w:rFonts w:ascii="Meiryo UI" w:hAnsi="Meiryo UI"/>
          <w:sz w:val="20"/>
        </w:rPr>
        <w:t>根拠: FY2024/05は純利益¥32.95億（EPS¥109.5）。3Q OPM回復トレンドから2〜3年内に回帰可能と判断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正常化EPS</w:t>
            </w:r>
          </w:p>
        </w:tc>
        <w:tc>
          <w:tcPr>
            <w:tcW w:type="dxa" w:w="3135"/>
            <w:shd w:val="clear" w:color="auto" w:fill="2E74B5"/>
          </w:tcPr>
          <w:p>
            <w:r>
              <w:rPr>
                <w:rFonts w:ascii="Meiryo UI" w:hAnsi="Meiryo UI"/>
                <w:b/>
                <w:color w:val="FFFFFF"/>
                <w:sz w:val="18"/>
              </w:rPr>
              <w:t>PER</w:t>
            </w:r>
          </w:p>
        </w:tc>
        <w:tc>
          <w:tcPr>
            <w:tcW w:type="dxa" w:w="3135"/>
            <w:shd w:val="clear" w:color="auto" w:fill="2E74B5"/>
          </w:tcPr>
          <w:p>
            <w:r>
              <w:rPr>
                <w:rFonts w:ascii="Meiryo UI" w:hAnsi="Meiryo UI"/>
                <w:b/>
                <w:color w:val="FFFFFF"/>
                <w:sz w:val="18"/>
              </w:rPr>
              <w:t>FV</w:t>
            </w:r>
          </w:p>
        </w:tc>
      </w:tr>
      <w:tr>
        <w:tc>
          <w:tcPr>
            <w:tcW w:type="dxa" w:w="3135"/>
          </w:tcPr>
          <w:p>
            <w:r>
              <w:rPr>
                <w:rFonts w:ascii="Meiryo UI" w:hAnsi="Meiryo UI"/>
                <w:sz w:val="18"/>
              </w:rPr>
              <w:t>¥109.5</w:t>
            </w:r>
          </w:p>
        </w:tc>
        <w:tc>
          <w:tcPr>
            <w:tcW w:type="dxa" w:w="3135"/>
          </w:tcPr>
          <w:p>
            <w:r>
              <w:rPr>
                <w:rFonts w:ascii="Meiryo UI" w:hAnsi="Meiryo UI"/>
                <w:sz w:val="18"/>
              </w:rPr>
              <w:t>16倍</w:t>
            </w:r>
          </w:p>
        </w:tc>
        <w:tc>
          <w:tcPr>
            <w:tcW w:type="dxa" w:w="3135"/>
          </w:tcPr>
          <w:p>
            <w:r>
              <w:rPr>
                <w:rFonts w:ascii="Meiryo UI" w:hAnsi="Meiryo UI"/>
                <w:sz w:val="18"/>
              </w:rPr>
              <w:t>¥1,752</w:t>
            </w:r>
          </w:p>
        </w:tc>
      </w:tr>
      <w:tr>
        <w:tc>
          <w:tcPr>
            <w:tcW w:type="dxa" w:w="3135"/>
            <w:shd w:val="clear" w:color="auto" w:fill="DDEBF7"/>
          </w:tcPr>
          <w:p>
            <w:r>
              <w:rPr>
                <w:rFonts w:ascii="Meiryo UI" w:hAnsi="Meiryo UI"/>
                <w:sz w:val="18"/>
              </w:rPr>
              <w:t>¥109.5</w:t>
            </w:r>
          </w:p>
        </w:tc>
        <w:tc>
          <w:tcPr>
            <w:tcW w:type="dxa" w:w="3135"/>
            <w:shd w:val="clear" w:color="auto" w:fill="DDEBF7"/>
          </w:tcPr>
          <w:p>
            <w:r>
              <w:rPr>
                <w:rFonts w:ascii="Meiryo UI" w:hAnsi="Meiryo UI"/>
                <w:sz w:val="18"/>
              </w:rPr>
              <w:t>18倍</w:t>
            </w:r>
          </w:p>
        </w:tc>
        <w:tc>
          <w:tcPr>
            <w:tcW w:type="dxa" w:w="3135"/>
            <w:shd w:val="clear" w:color="auto" w:fill="DDEBF7"/>
          </w:tcPr>
          <w:p>
            <w:r>
              <w:rPr>
                <w:rFonts w:ascii="Meiryo UI" w:hAnsi="Meiryo UI"/>
                <w:sz w:val="18"/>
              </w:rPr>
              <w:t>¥1,971</w:t>
            </w:r>
          </w:p>
        </w:tc>
      </w:tr>
    </w:tbl>
    <w:p/>
    <w:p>
      <w:pPr>
        <w:pStyle w:val="Heading3"/>
      </w:pPr>
      <w:r>
        <w:rPr>
          <w:rFonts w:ascii="Meiryo UI" w:hAnsi="Meiryo UI"/>
          <w:color w:val="2E74B5"/>
        </w:rPr>
        <w:t>方法④: PEGレシオ</w:t>
      </w:r>
    </w:p>
    <w:p/>
    <w:p>
      <w:pPr>
        <w:pStyle w:val="ListBullet"/>
      </w:pPr>
      <w:r>
        <w:rPr>
          <w:rFonts w:ascii="Meiryo UI" w:hAnsi="Meiryo UI"/>
          <w:sz w:val="20"/>
        </w:rPr>
        <w:t>現在PER: 16.04倍</w:t>
      </w:r>
    </w:p>
    <w:p>
      <w:pPr>
        <w:pStyle w:val="ListBullet"/>
      </w:pPr>
      <w:r>
        <w:rPr>
          <w:rFonts w:ascii="Meiryo UI" w:hAnsi="Meiryo UI"/>
          <w:sz w:val="20"/>
        </w:rPr>
        <w:t>利益成長率（FY2026E純利益+31.0%）</w:t>
      </w:r>
    </w:p>
    <w:p>
      <w:pPr>
        <w:pStyle w:val="ListBullet"/>
      </w:pPr>
      <w:r>
        <w:rPr>
          <w:rFonts w:ascii="Meiryo UI" w:hAnsi="Meiryo UI"/>
          <w:sz w:val="20"/>
        </w:rPr>
        <w:t>PEG = 16.04 / 31.0 = 0.52（0.5未満でグロース割安、1.0超で割高）</w:t>
      </w:r>
    </w:p>
    <w:p>
      <w:pPr>
        <w:pStyle w:val="ListBullet"/>
      </w:pPr>
      <w:r>
        <w:rPr>
          <w:rFonts w:ascii="Meiryo UI" w:hAnsi="Meiryo UI"/>
          <w:sz w:val="20"/>
        </w:rPr>
        <w:t>適正PEG 1.0前提FV = 83.1円 × 31倍 = ¥2,576（上限値）</w:t>
      </w:r>
    </w:p>
    <w:p/>
    <w:p>
      <w:pPr>
        <w:pStyle w:val="Heading3"/>
      </w:pPr>
      <w:r>
        <w:rPr>
          <w:rFonts w:ascii="Meiryo UI" w:hAnsi="Meiryo UI"/>
          <w:color w:val="2E74B5"/>
        </w:rPr>
        <w:t>統合フェアバリュー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FV</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EPS × PER（標準）</w:t>
            </w:r>
          </w:p>
        </w:tc>
        <w:tc>
          <w:tcPr>
            <w:tcW w:type="dxa" w:w="3135"/>
          </w:tcPr>
          <w:p>
            <w:r>
              <w:rPr>
                <w:rFonts w:ascii="Meiryo UI" w:hAnsi="Meiryo UI"/>
                <w:sz w:val="18"/>
              </w:rPr>
              <w:t>¥1,662</w:t>
            </w:r>
          </w:p>
        </w:tc>
        <w:tc>
          <w:tcPr>
            <w:tcW w:type="dxa" w:w="3135"/>
          </w:tcPr>
          <w:p>
            <w:r>
              <w:rPr>
                <w:rFonts w:ascii="Meiryo UI" w:hAnsi="Meiryo UI"/>
                <w:sz w:val="18"/>
              </w:rPr>
              <w:t>30%</w:t>
            </w:r>
          </w:p>
        </w:tc>
      </w:tr>
      <w:tr>
        <w:tc>
          <w:tcPr>
            <w:tcW w:type="dxa" w:w="3135"/>
            <w:shd w:val="clear" w:color="auto" w:fill="DDEBF7"/>
          </w:tcPr>
          <w:p>
            <w:r>
              <w:rPr>
                <w:rFonts w:ascii="Meiryo UI" w:hAnsi="Meiryo UI"/>
                <w:sz w:val="18"/>
              </w:rPr>
              <w:t>PBR回帰</w:t>
            </w:r>
          </w:p>
        </w:tc>
        <w:tc>
          <w:tcPr>
            <w:tcW w:type="dxa" w:w="3135"/>
            <w:shd w:val="clear" w:color="auto" w:fill="DDEBF7"/>
          </w:tcPr>
          <w:p>
            <w:r>
              <w:rPr>
                <w:rFonts w:ascii="Meiryo UI" w:hAnsi="Meiryo UI"/>
                <w:sz w:val="18"/>
              </w:rPr>
              <w:t>¥1,782</w:t>
            </w:r>
          </w:p>
        </w:tc>
        <w:tc>
          <w:tcPr>
            <w:tcW w:type="dxa" w:w="3135"/>
            <w:shd w:val="clear" w:color="auto" w:fill="DDEBF7"/>
          </w:tcPr>
          <w:p>
            <w:r>
              <w:rPr>
                <w:rFonts w:ascii="Meiryo UI" w:hAnsi="Meiryo UI"/>
                <w:sz w:val="18"/>
              </w:rPr>
              <w:t>35%</w:t>
            </w:r>
          </w:p>
        </w:tc>
      </w:tr>
      <w:tr>
        <w:tc>
          <w:tcPr>
            <w:tcW w:type="dxa" w:w="3135"/>
          </w:tcPr>
          <w:p>
            <w:r>
              <w:rPr>
                <w:rFonts w:ascii="Meiryo UI" w:hAnsi="Meiryo UI"/>
                <w:sz w:val="18"/>
              </w:rPr>
              <w:t>正常化EPS</w:t>
            </w:r>
          </w:p>
        </w:tc>
        <w:tc>
          <w:tcPr>
            <w:tcW w:type="dxa" w:w="3135"/>
          </w:tcPr>
          <w:p>
            <w:r>
              <w:rPr>
                <w:rFonts w:ascii="Meiryo UI" w:hAnsi="Meiryo UI"/>
                <w:sz w:val="18"/>
              </w:rPr>
              <w:t>¥1,971</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PEG上限</w:t>
            </w:r>
          </w:p>
        </w:tc>
        <w:tc>
          <w:tcPr>
            <w:tcW w:type="dxa" w:w="3135"/>
            <w:shd w:val="clear" w:color="auto" w:fill="DDEBF7"/>
          </w:tcPr>
          <w:p>
            <w:r>
              <w:rPr>
                <w:rFonts w:ascii="Meiryo UI" w:hAnsi="Meiryo UI"/>
                <w:sz w:val="18"/>
              </w:rPr>
              <w:t>¥2,576</w:t>
            </w:r>
          </w:p>
        </w:tc>
        <w:tc>
          <w:tcPr>
            <w:tcW w:type="dxa" w:w="3135"/>
            <w:shd w:val="clear" w:color="auto" w:fill="DDEBF7"/>
          </w:tcPr>
          <w:p>
            <w:r>
              <w:rPr>
                <w:rFonts w:ascii="Meiryo UI" w:hAnsi="Meiryo UI"/>
                <w:sz w:val="18"/>
              </w:rPr>
              <w:t>10%</w:t>
            </w:r>
          </w:p>
        </w:tc>
      </w:tr>
      <w:tr>
        <w:tc>
          <w:tcPr>
            <w:tcW w:type="dxa" w:w="3135"/>
          </w:tcPr>
          <w:p>
            <w:r>
              <w:rPr>
                <w:rFonts w:ascii="Meiryo UI" w:hAnsi="Meiryo UI"/>
                <w:sz w:val="18"/>
              </w:rPr>
              <w:t>加重平均FV</w:t>
            </w:r>
          </w:p>
        </w:tc>
        <w:tc>
          <w:tcPr>
            <w:tcW w:type="dxa" w:w="3135"/>
          </w:tcPr>
          <w:p>
            <w:r>
              <w:rPr>
                <w:rFonts w:ascii="Meiryo UI" w:hAnsi="Meiryo UI"/>
                <w:sz w:val="18"/>
              </w:rPr>
              <w:t>¥1,800</w:t>
            </w:r>
          </w:p>
        </w:tc>
        <w:tc>
          <w:tcPr>
            <w:tcW w:type="dxa" w:w="3135"/>
          </w:tcPr>
          <w:p>
            <w:r>
              <w:rPr>
                <w:rFonts w:ascii="Meiryo UI" w:hAnsi="Meiryo UI"/>
                <w:sz w:val="18"/>
              </w:rPr>
              <w:t>100%</w:t>
            </w:r>
          </w:p>
        </w:tc>
      </w:tr>
    </w:tbl>
    <w:p/>
    <w:p>
      <w:r>
        <w:rPr>
          <w:rFonts w:ascii="Meiryo UI" w:hAnsi="Meiryo UI"/>
          <w:sz w:val="20"/>
        </w:rPr>
        <w:t>安全域: (¥1,800 - ¥1,354) / ¥1,354 = +33.0%</w:t>
      </w:r>
    </w:p>
    <w:p/>
    <w:p>
      <w:r>
        <w:t>──────────────────────────────────────────────────</w:t>
      </w:r>
    </w:p>
    <w:p/>
    <w:p>
      <w:pPr>
        <w:pStyle w:val="Heading2"/>
      </w:pPr>
      <w:r>
        <w:rPr>
          <w:rFonts w:ascii="Meiryo UI" w:hAnsi="Meiryo UI"/>
          <w:color w:val="2E74B5"/>
        </w:rPr>
        <w:t>5. Q-1定性変化（FY2026/05 2Q→3Q の変化）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2Q時点</w:t>
            </w:r>
          </w:p>
        </w:tc>
        <w:tc>
          <w:tcPr>
            <w:tcW w:type="dxa" w:w="2351"/>
            <w:shd w:val="clear" w:color="auto" w:fill="2E74B5"/>
          </w:tcPr>
          <w:p>
            <w:r>
              <w:rPr>
                <w:rFonts w:ascii="Meiryo UI" w:hAnsi="Meiryo UI"/>
                <w:b/>
                <w:color w:val="FFFFFF"/>
                <w:sz w:val="18"/>
              </w:rPr>
              <w:t>3Q時点</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OPM水準</w:t>
            </w:r>
          </w:p>
        </w:tc>
        <w:tc>
          <w:tcPr>
            <w:tcW w:type="dxa" w:w="2351"/>
          </w:tcPr>
          <w:p>
            <w:r>
              <w:rPr>
                <w:rFonts w:ascii="Meiryo UI" w:hAnsi="Meiryo UI"/>
                <w:sz w:val="18"/>
              </w:rPr>
              <w:t>5〜6%台（2Q累計ベース）</w:t>
            </w:r>
          </w:p>
        </w:tc>
        <w:tc>
          <w:tcPr>
            <w:tcW w:type="dxa" w:w="2351"/>
          </w:tcPr>
          <w:p>
            <w:r>
              <w:rPr>
                <w:rFonts w:ascii="Meiryo UI" w:hAnsi="Meiryo UI"/>
                <w:sz w:val="18"/>
              </w:rPr>
              <w:t>3Q単体9.7%</w:t>
            </w:r>
          </w:p>
        </w:tc>
        <w:tc>
          <w:tcPr>
            <w:tcW w:type="dxa" w:w="2351"/>
          </w:tcPr>
          <w:p>
            <w:r>
              <w:rPr>
                <w:rFonts w:ascii="Meiryo UI" w:hAnsi="Meiryo UI"/>
                <w:sz w:val="18"/>
              </w:rPr>
              <w:t>◎急改善</w:t>
            </w:r>
          </w:p>
        </w:tc>
      </w:tr>
      <w:tr>
        <w:tc>
          <w:tcPr>
            <w:tcW w:type="dxa" w:w="2351"/>
            <w:shd w:val="clear" w:color="auto" w:fill="DDEBF7"/>
          </w:tcPr>
          <w:p>
            <w:r>
              <w:rPr>
                <w:rFonts w:ascii="Meiryo UI" w:hAnsi="Meiryo UI"/>
                <w:sz w:val="18"/>
              </w:rPr>
              <w:t>利益進捗ペース</w:t>
            </w:r>
          </w:p>
        </w:tc>
        <w:tc>
          <w:tcPr>
            <w:tcW w:type="dxa" w:w="2351"/>
            <w:shd w:val="clear" w:color="auto" w:fill="DDEBF7"/>
          </w:tcPr>
          <w:p>
            <w:r>
              <w:rPr>
                <w:rFonts w:ascii="Meiryo UI" w:hAnsi="Meiryo UI"/>
                <w:sz w:val="18"/>
              </w:rPr>
              <w:t>前年比+20%台</w:t>
            </w:r>
          </w:p>
        </w:tc>
        <w:tc>
          <w:tcPr>
            <w:tcW w:type="dxa" w:w="2351"/>
            <w:shd w:val="clear" w:color="auto" w:fill="DDEBF7"/>
          </w:tcPr>
          <w:p>
            <w:r>
              <w:rPr>
                <w:rFonts w:ascii="Meiryo UI" w:hAnsi="Meiryo UI"/>
                <w:sz w:val="18"/>
              </w:rPr>
              <w:t>3Q累計+46.3%</w:t>
            </w:r>
          </w:p>
        </w:tc>
        <w:tc>
          <w:tcPr>
            <w:tcW w:type="dxa" w:w="2351"/>
            <w:shd w:val="clear" w:color="auto" w:fill="DDEBF7"/>
          </w:tcPr>
          <w:p>
            <w:r>
              <w:rPr>
                <w:rFonts w:ascii="Meiryo UI" w:hAnsi="Meiryo UI"/>
                <w:sz w:val="18"/>
              </w:rPr>
              <w:t>◎加速</w:t>
            </w:r>
          </w:p>
        </w:tc>
      </w:tr>
      <w:tr>
        <w:tc>
          <w:tcPr>
            <w:tcW w:type="dxa" w:w="2351"/>
          </w:tcPr>
          <w:p>
            <w:r>
              <w:rPr>
                <w:rFonts w:ascii="Meiryo UI" w:hAnsi="Meiryo UI"/>
                <w:sz w:val="18"/>
              </w:rPr>
              <w:t>上方修正</w:t>
            </w:r>
          </w:p>
        </w:tc>
        <w:tc>
          <w:tcPr>
            <w:tcW w:type="dxa" w:w="2351"/>
          </w:tcPr>
          <w:p>
            <w:r>
              <w:rPr>
                <w:rFonts w:ascii="Meiryo UI" w:hAnsi="Meiryo UI"/>
                <w:sz w:val="18"/>
              </w:rPr>
              <w:t>未実施</w:t>
            </w:r>
          </w:p>
        </w:tc>
        <w:tc>
          <w:tcPr>
            <w:tcW w:type="dxa" w:w="2351"/>
          </w:tcPr>
          <w:p>
            <w:r>
              <w:rPr>
                <w:rFonts w:ascii="Meiryo UI" w:hAnsi="Meiryo UI"/>
                <w:sz w:val="18"/>
              </w:rPr>
              <w:t>4/10発表（経常+16.7%）</w:t>
            </w:r>
          </w:p>
        </w:tc>
        <w:tc>
          <w:tcPr>
            <w:tcW w:type="dxa" w:w="2351"/>
          </w:tcPr>
          <w:p>
            <w:r>
              <w:rPr>
                <w:rFonts w:ascii="Meiryo UI" w:hAnsi="Meiryo UI"/>
                <w:sz w:val="18"/>
              </w:rPr>
              <w:t>◎ポジティブ</w:t>
            </w:r>
          </w:p>
        </w:tc>
      </w:tr>
      <w:tr>
        <w:tc>
          <w:tcPr>
            <w:tcW w:type="dxa" w:w="2351"/>
            <w:shd w:val="clear" w:color="auto" w:fill="DDEBF7"/>
          </w:tcPr>
          <w:p>
            <w:r>
              <w:rPr>
                <w:rFonts w:ascii="Meiryo UI" w:hAnsi="Meiryo UI"/>
                <w:sz w:val="18"/>
              </w:rPr>
              <w:t>株価反応</w:t>
            </w:r>
          </w:p>
        </w:tc>
        <w:tc>
          <w:tcPr>
            <w:tcW w:type="dxa" w:w="2351"/>
            <w:shd w:val="clear" w:color="auto" w:fill="DDEBF7"/>
          </w:tcPr>
          <w:p>
            <w:r>
              <w:rPr>
                <w:rFonts w:ascii="Meiryo UI" w:hAnsi="Meiryo UI"/>
                <w:sz w:val="18"/>
              </w:rPr>
              <w:t>1,300〜1,400円圏内</w:t>
            </w:r>
          </w:p>
        </w:tc>
        <w:tc>
          <w:tcPr>
            <w:tcW w:type="dxa" w:w="2351"/>
            <w:shd w:val="clear" w:color="auto" w:fill="DDEBF7"/>
          </w:tcPr>
          <w:p>
            <w:r>
              <w:rPr>
                <w:rFonts w:ascii="Meiryo UI" w:hAnsi="Meiryo UI"/>
                <w:sz w:val="18"/>
              </w:rPr>
              <w:t>1,354円（上方修正後も横ばい）</w:t>
            </w:r>
          </w:p>
        </w:tc>
        <w:tc>
          <w:tcPr>
            <w:tcW w:type="dxa" w:w="2351"/>
            <w:shd w:val="clear" w:color="auto" w:fill="DDEBF7"/>
          </w:tcPr>
          <w:p>
            <w:r>
              <w:rPr>
                <w:rFonts w:ascii="Meiryo UI" w:hAnsi="Meiryo UI"/>
                <w:sz w:val="18"/>
              </w:rPr>
              <w:t>⚡ 歪み確認</w:t>
            </w:r>
          </w:p>
        </w:tc>
      </w:tr>
    </w:tbl>
    <w:p/>
    <w:p>
      <w:r>
        <w:rPr>
          <w:rFonts w:ascii="Meiryo UI" w:hAnsi="Meiryo UI"/>
          <w:sz w:val="20"/>
        </w:rPr>
        <w:t>3Qに入ってから明らかに利益創出力が上がっている。上方修正後も株価が動かないのは市場の情報処理ラグ</w:t>
      </w:r>
    </w:p>
    <w:p/>
    <w:p>
      <w:r>
        <w:t>──────────────────────────────────────────────────</w:t>
      </w:r>
    </w:p>
    <w:p/>
    <w:p>
      <w:pPr>
        <w:pStyle w:val="Heading2"/>
      </w:pPr>
      <w:r>
        <w:rPr>
          <w:rFonts w:ascii="Meiryo UI" w:hAnsi="Meiryo UI"/>
          <w:color w:val="2E74B5"/>
        </w:rPr>
        <w:t>6. ガイダンス考察（上方修正後の信頼性評価）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旧予想</w:t>
            </w:r>
          </w:p>
        </w:tc>
        <w:tc>
          <w:tcPr>
            <w:tcW w:type="dxa" w:w="1881"/>
            <w:shd w:val="clear" w:color="auto" w:fill="2E74B5"/>
          </w:tcPr>
          <w:p>
            <w:r>
              <w:rPr>
                <w:rFonts w:ascii="Meiryo UI" w:hAnsi="Meiryo UI"/>
                <w:b/>
                <w:color w:val="FFFFFF"/>
                <w:sz w:val="18"/>
              </w:rPr>
              <w:t>新予想（4/10）</w:t>
            </w:r>
          </w:p>
        </w:tc>
        <w:tc>
          <w:tcPr>
            <w:tcW w:type="dxa" w:w="1881"/>
            <w:shd w:val="clear" w:color="auto" w:fill="2E74B5"/>
          </w:tcPr>
          <w:p>
            <w:r>
              <w:rPr>
                <w:rFonts w:ascii="Meiryo UI" w:hAnsi="Meiryo UI"/>
                <w:b/>
                <w:color w:val="FFFFFF"/>
                <w:sz w:val="18"/>
              </w:rPr>
              <w:t>変化幅</w:t>
            </w:r>
          </w:p>
        </w:tc>
        <w:tc>
          <w:tcPr>
            <w:tcW w:type="dxa" w:w="1881"/>
            <w:shd w:val="clear" w:color="auto" w:fill="2E74B5"/>
          </w:tcPr>
          <w:p>
            <w:r>
              <w:rPr>
                <w:rFonts w:ascii="Meiryo UI" w:hAnsi="Meiryo UI"/>
                <w:b/>
                <w:color w:val="FFFFFF"/>
                <w:sz w:val="18"/>
              </w:rPr>
              <w:t>信頼度評価</w:t>
            </w:r>
          </w:p>
        </w:tc>
      </w:tr>
      <w:tr>
        <w:tc>
          <w:tcPr>
            <w:tcW w:type="dxa" w:w="1881"/>
          </w:tcPr>
          <w:p>
            <w:r>
              <w:rPr>
                <w:rFonts w:ascii="Meiryo UI" w:hAnsi="Meiryo UI"/>
                <w:sz w:val="18"/>
              </w:rPr>
              <w:t>売上高</w:t>
            </w:r>
          </w:p>
        </w:tc>
        <w:tc>
          <w:tcPr>
            <w:tcW w:type="dxa" w:w="1881"/>
          </w:tcPr>
          <w:p>
            <w:r>
              <w:rPr>
                <w:rFonts w:ascii="Meiryo UI" w:hAnsi="Meiryo UI"/>
                <w:sz w:val="18"/>
              </w:rPr>
              <w:t>¥52,500百万</w:t>
            </w:r>
          </w:p>
        </w:tc>
        <w:tc>
          <w:tcPr>
            <w:tcW w:type="dxa" w:w="1881"/>
          </w:tcPr>
          <w:p>
            <w:r>
              <w:rPr>
                <w:rFonts w:ascii="Meiryo UI" w:hAnsi="Meiryo UI"/>
                <w:sz w:val="18"/>
              </w:rPr>
              <w:t>¥51,000百万</w:t>
            </w:r>
          </w:p>
        </w:tc>
        <w:tc>
          <w:tcPr>
            <w:tcW w:type="dxa" w:w="1881"/>
          </w:tcPr>
          <w:p>
            <w:r>
              <w:rPr>
                <w:rFonts w:ascii="Meiryo UI" w:hAnsi="Meiryo UI"/>
                <w:sz w:val="18"/>
              </w:rPr>
              <w:t>▲2.9%</w:t>
            </w:r>
          </w:p>
        </w:tc>
        <w:tc>
          <w:tcPr>
            <w:tcW w:type="dxa" w:w="1881"/>
          </w:tcPr>
          <w:p>
            <w:r>
              <w:rPr>
                <w:rFonts w:ascii="Meiryo UI" w:hAnsi="Meiryo UI"/>
                <w:sz w:val="18"/>
              </w:rPr>
              <w:t>薬価改定影響を保守的に織り込み</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¥3,000百万</w:t>
            </w:r>
          </w:p>
        </w:tc>
        <w:tc>
          <w:tcPr>
            <w:tcW w:type="dxa" w:w="1881"/>
            <w:shd w:val="clear" w:color="auto" w:fill="DDEBF7"/>
          </w:tcPr>
          <w:p>
            <w:r>
              <w:rPr>
                <w:rFonts w:ascii="Meiryo UI" w:hAnsi="Meiryo UI"/>
                <w:sz w:val="18"/>
              </w:rPr>
              <w:t>¥3,300百万</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3Q実績2,751百万で既に進捗84%</w:t>
            </w:r>
          </w:p>
        </w:tc>
      </w:tr>
      <w:tr>
        <w:tc>
          <w:tcPr>
            <w:tcW w:type="dxa" w:w="1881"/>
          </w:tcPr>
          <w:p>
            <w:r>
              <w:rPr>
                <w:rFonts w:ascii="Meiryo UI" w:hAnsi="Meiryo UI"/>
                <w:sz w:val="18"/>
              </w:rPr>
              <w:t>経常利益</w:t>
            </w:r>
          </w:p>
        </w:tc>
        <w:tc>
          <w:tcPr>
            <w:tcW w:type="dxa" w:w="1881"/>
          </w:tcPr>
          <w:p>
            <w:r>
              <w:rPr>
                <w:rFonts w:ascii="Meiryo UI" w:hAnsi="Meiryo UI"/>
                <w:sz w:val="18"/>
              </w:rPr>
              <w:t>¥3,000百万</w:t>
            </w:r>
          </w:p>
        </w:tc>
        <w:tc>
          <w:tcPr>
            <w:tcW w:type="dxa" w:w="1881"/>
          </w:tcPr>
          <w:p>
            <w:r>
              <w:rPr>
                <w:rFonts w:ascii="Meiryo UI" w:hAnsi="Meiryo UI"/>
                <w:sz w:val="18"/>
              </w:rPr>
              <w:t>¥3,500百万</w:t>
            </w:r>
          </w:p>
        </w:tc>
        <w:tc>
          <w:tcPr>
            <w:tcW w:type="dxa" w:w="1881"/>
          </w:tcPr>
          <w:p>
            <w:r>
              <w:rPr>
                <w:rFonts w:ascii="Meiryo UI" w:hAnsi="Meiryo UI"/>
                <w:sz w:val="18"/>
              </w:rPr>
              <w:t>+16.7%</w:t>
            </w:r>
          </w:p>
        </w:tc>
        <w:tc>
          <w:tcPr>
            <w:tcW w:type="dxa" w:w="1881"/>
          </w:tcPr>
          <w:p>
            <w:r>
              <w:rPr>
                <w:rFonts w:ascii="Meiryo UI" w:hAnsi="Meiryo UI"/>
                <w:sz w:val="18"/>
              </w:rPr>
              <w:t>3Q実績2,974百万で既に進捗85%</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¥2,300百万</w:t>
            </w:r>
          </w:p>
        </w:tc>
        <w:tc>
          <w:tcPr>
            <w:tcW w:type="dxa" w:w="1881"/>
            <w:shd w:val="clear" w:color="auto" w:fill="DDEBF7"/>
          </w:tcPr>
          <w:p>
            <w:r>
              <w:rPr>
                <w:rFonts w:ascii="Meiryo UI" w:hAnsi="Meiryo UI"/>
                <w:sz w:val="18"/>
              </w:rPr>
              <w:t>¥2,500百万</w:t>
            </w:r>
          </w:p>
        </w:tc>
        <w:tc>
          <w:tcPr>
            <w:tcW w:type="dxa" w:w="1881"/>
            <w:shd w:val="clear" w:color="auto" w:fill="DDEBF7"/>
          </w:tcPr>
          <w:p>
            <w:r>
              <w:rPr>
                <w:rFonts w:ascii="Meiryo UI" w:hAnsi="Meiryo UI"/>
                <w:sz w:val="18"/>
              </w:rPr>
              <w:t>+8.7%</w:t>
            </w:r>
          </w:p>
        </w:tc>
        <w:tc>
          <w:tcPr>
            <w:tcW w:type="dxa" w:w="1881"/>
            <w:shd w:val="clear" w:color="auto" w:fill="DDEBF7"/>
          </w:tcPr>
          <w:p>
            <w:r>
              <w:rPr>
                <w:rFonts w:ascii="Meiryo UI" w:hAnsi="Meiryo UI"/>
                <w:sz w:val="18"/>
              </w:rPr>
              <w:t>保守的（税率変化を考慮した余地）</w:t>
            </w:r>
          </w:p>
        </w:tc>
      </w:tr>
    </w:tbl>
    <w:p/>
    <w:p>
      <w:r>
        <w:rPr>
          <w:rFonts w:ascii="Meiryo UI" w:hAnsi="Meiryo UI"/>
          <w:sz w:val="20"/>
        </w:rPr>
        <w:t>判定: ガイダンスは保守的。売上を下方修正しながらも利益を上方修正した＝「利益率改善が本物」というシグナル。4Q着地で経常4,000百万円（さらに+14%）の可能性あり</w:t>
      </w:r>
    </w:p>
    <w:p/>
    <w:p>
      <w:r>
        <w:t>──────────────────────────────────────────────────</w:t>
      </w:r>
    </w:p>
    <w:p/>
    <w:p>
      <w:pPr>
        <w:pStyle w:val="Heading2"/>
      </w:pPr>
      <w:r>
        <w:rPr>
          <w:rFonts w:ascii="Meiryo UI" w:hAnsi="Meiryo UI"/>
          <w:color w:val="2E74B5"/>
        </w:rPr>
        <w:t>7. リスクシナリオ定量分析</w:t>
      </w:r>
    </w:p>
    <w:p/>
    <w:p>
      <w:pPr>
        <w:pStyle w:val="Heading3"/>
      </w:pPr>
      <w:r>
        <w:rPr>
          <w:rFonts w:ascii="Meiryo UI" w:hAnsi="Meiryo UI"/>
          <w:color w:val="2E74B5"/>
        </w:rPr>
        <w:t>リスク① 薬価改定（2026年4月適用）の4Q打撃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影響</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FV影響</w:t>
            </w:r>
          </w:p>
        </w:tc>
      </w:tr>
      <w:tr>
        <w:tc>
          <w:tcPr>
            <w:tcW w:type="dxa" w:w="2351"/>
          </w:tcPr>
          <w:p>
            <w:r>
              <w:rPr>
                <w:rFonts w:ascii="Meiryo UI" w:hAnsi="Meiryo UI"/>
                <w:sz w:val="18"/>
              </w:rPr>
              <w:t>軽微（▲1%薬価）</w:t>
            </w:r>
          </w:p>
        </w:tc>
        <w:tc>
          <w:tcPr>
            <w:tcW w:type="dxa" w:w="2351"/>
          </w:tcPr>
          <w:p>
            <w:r>
              <w:rPr>
                <w:rFonts w:ascii="Meiryo UI" w:hAnsi="Meiryo UI"/>
                <w:sz w:val="18"/>
              </w:rPr>
              <w:t>▲50百万円 OP</w:t>
            </w:r>
          </w:p>
        </w:tc>
        <w:tc>
          <w:tcPr>
            <w:tcW w:type="dxa" w:w="2351"/>
          </w:tcPr>
          <w:p>
            <w:r>
              <w:rPr>
                <w:rFonts w:ascii="Meiryo UI" w:hAnsi="Meiryo UI"/>
                <w:sz w:val="18"/>
              </w:rPr>
              <w:t>60%</w:t>
            </w:r>
          </w:p>
        </w:tc>
        <w:tc>
          <w:tcPr>
            <w:tcW w:type="dxa" w:w="2351"/>
          </w:tcPr>
          <w:p>
            <w:r>
              <w:rPr>
                <w:rFonts w:ascii="Meiryo UI" w:hAnsi="Meiryo UI"/>
                <w:sz w:val="18"/>
              </w:rPr>
              <w:t>FV影響なし</w:t>
            </w:r>
          </w:p>
        </w:tc>
      </w:tr>
      <w:tr>
        <w:tc>
          <w:tcPr>
            <w:tcW w:type="dxa" w:w="2351"/>
            <w:shd w:val="clear" w:color="auto" w:fill="DDEBF7"/>
          </w:tcPr>
          <w:p>
            <w:r>
              <w:rPr>
                <w:rFonts w:ascii="Meiryo UI" w:hAnsi="Meiryo UI"/>
                <w:sz w:val="18"/>
              </w:rPr>
              <w:t>中程度（▲2%薬価）</w:t>
            </w:r>
          </w:p>
        </w:tc>
        <w:tc>
          <w:tcPr>
            <w:tcW w:type="dxa" w:w="2351"/>
            <w:shd w:val="clear" w:color="auto" w:fill="DDEBF7"/>
          </w:tcPr>
          <w:p>
            <w:r>
              <w:rPr>
                <w:rFonts w:ascii="Meiryo UI" w:hAnsi="Meiryo UI"/>
                <w:sz w:val="18"/>
              </w:rPr>
              <w:t>▲100百万円 OP</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FV ¥1,800→¥1,680</w:t>
            </w:r>
          </w:p>
        </w:tc>
      </w:tr>
      <w:tr>
        <w:tc>
          <w:tcPr>
            <w:tcW w:type="dxa" w:w="2351"/>
          </w:tcPr>
          <w:p>
            <w:r>
              <w:rPr>
                <w:rFonts w:ascii="Meiryo UI" w:hAnsi="Meiryo UI"/>
                <w:sz w:val="18"/>
              </w:rPr>
              <w:t>重大（薬価+コスト増W打撃）</w:t>
            </w:r>
          </w:p>
        </w:tc>
        <w:tc>
          <w:tcPr>
            <w:tcW w:type="dxa" w:w="2351"/>
          </w:tcPr>
          <w:p>
            <w:r>
              <w:rPr>
                <w:rFonts w:ascii="Meiryo UI" w:hAnsi="Meiryo UI"/>
                <w:sz w:val="18"/>
              </w:rPr>
              <w:t>▲200百万円 OP</w:t>
            </w:r>
          </w:p>
        </w:tc>
        <w:tc>
          <w:tcPr>
            <w:tcW w:type="dxa" w:w="2351"/>
          </w:tcPr>
          <w:p>
            <w:r>
              <w:rPr>
                <w:rFonts w:ascii="Meiryo UI" w:hAnsi="Meiryo UI"/>
                <w:sz w:val="18"/>
              </w:rPr>
              <w:t>10%</w:t>
            </w:r>
          </w:p>
        </w:tc>
        <w:tc>
          <w:tcPr>
            <w:tcW w:type="dxa" w:w="2351"/>
          </w:tcPr>
          <w:p>
            <w:r>
              <w:rPr>
                <w:rFonts w:ascii="Meiryo UI" w:hAnsi="Meiryo UI"/>
                <w:sz w:val="18"/>
              </w:rPr>
              <w:t>FV ¥1,800→¥1,500</w:t>
            </w:r>
          </w:p>
        </w:tc>
      </w:tr>
    </w:tbl>
    <w:p/>
    <w:p>
      <w:r>
        <w:rPr>
          <w:rFonts w:ascii="Meiryo UI" w:hAnsi="Meiryo UI"/>
          <w:sz w:val="20"/>
        </w:rPr>
        <w:t>Rationale: ダイトの原薬自製体制はコスト吸収力が高く、純粋な薬価改定影響はジェネリック外部調達企業より小さい。また2026/4月薬価改定の幅は概ね事前に開示済みで、会社ガイダンスに一定程度織り込み済みと判断</w:t>
      </w:r>
    </w:p>
    <w:p/>
    <w:p>
      <w:pPr>
        <w:pStyle w:val="Heading3"/>
      </w:pPr>
      <w:r>
        <w:rPr>
          <w:rFonts w:ascii="Meiryo UI" w:hAnsi="Meiryo UI"/>
          <w:color w:val="2E74B5"/>
        </w:rPr>
        <w:t>リスク② ホルムズ封鎖×原薬原料コスト上昇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原料カテゴリー</w:t>
            </w:r>
          </w:p>
        </w:tc>
        <w:tc>
          <w:tcPr>
            <w:tcW w:type="dxa" w:w="3135"/>
            <w:shd w:val="clear" w:color="auto" w:fill="2E74B5"/>
          </w:tcPr>
          <w:p>
            <w:r>
              <w:rPr>
                <w:rFonts w:ascii="Meiryo UI" w:hAnsi="Meiryo UI"/>
                <w:b/>
                <w:color w:val="FFFFFF"/>
                <w:sz w:val="18"/>
              </w:rPr>
              <w:t>ホルムズ依存度</w:t>
            </w:r>
          </w:p>
        </w:tc>
        <w:tc>
          <w:tcPr>
            <w:tcW w:type="dxa" w:w="3135"/>
            <w:shd w:val="clear" w:color="auto" w:fill="2E74B5"/>
          </w:tcPr>
          <w:p>
            <w:r>
              <w:rPr>
                <w:rFonts w:ascii="Meiryo UI" w:hAnsi="Meiryo UI"/>
                <w:b/>
                <w:color w:val="FFFFFF"/>
                <w:sz w:val="18"/>
              </w:rPr>
              <w:t>FY2027への影響</w:t>
            </w:r>
          </w:p>
        </w:tc>
      </w:tr>
      <w:tr>
        <w:tc>
          <w:tcPr>
            <w:tcW w:type="dxa" w:w="3135"/>
          </w:tcPr>
          <w:p>
            <w:r>
              <w:rPr>
                <w:rFonts w:ascii="Meiryo UI" w:hAnsi="Meiryo UI"/>
                <w:sz w:val="18"/>
              </w:rPr>
              <w:t>ナフサ系誘導体</w:t>
            </w:r>
          </w:p>
        </w:tc>
        <w:tc>
          <w:tcPr>
            <w:tcW w:type="dxa" w:w="3135"/>
          </w:tcPr>
          <w:p>
            <w:r>
              <w:rPr>
                <w:rFonts w:ascii="Meiryo UI" w:hAnsi="Meiryo UI"/>
                <w:sz w:val="18"/>
              </w:rPr>
              <w:t>中（インド・中国調達）</w:t>
            </w:r>
          </w:p>
        </w:tc>
        <w:tc>
          <w:tcPr>
            <w:tcW w:type="dxa" w:w="3135"/>
          </w:tcPr>
          <w:p>
            <w:r>
              <w:rPr>
                <w:rFonts w:ascii="Meiryo UI" w:hAnsi="Meiryo UI"/>
                <w:sz w:val="18"/>
              </w:rPr>
              <w:t>輸送コスト+10〜15%</w:t>
            </w:r>
          </w:p>
        </w:tc>
      </w:tr>
      <w:tr>
        <w:tc>
          <w:tcPr>
            <w:tcW w:type="dxa" w:w="3135"/>
            <w:shd w:val="clear" w:color="auto" w:fill="DDEBF7"/>
          </w:tcPr>
          <w:p>
            <w:r>
              <w:rPr>
                <w:rFonts w:ascii="Meiryo UI" w:hAnsi="Meiryo UI"/>
                <w:sz w:val="18"/>
              </w:rPr>
              <w:t>中国産化学原料</w:t>
            </w:r>
          </w:p>
        </w:tc>
        <w:tc>
          <w:tcPr>
            <w:tcW w:type="dxa" w:w="3135"/>
            <w:shd w:val="clear" w:color="auto" w:fill="DDEBF7"/>
          </w:tcPr>
          <w:p>
            <w:r>
              <w:rPr>
                <w:rFonts w:ascii="Meiryo UI" w:hAnsi="Meiryo UI"/>
                <w:sz w:val="18"/>
              </w:rPr>
              <w:t>高（一部原薬原料）</w:t>
            </w:r>
          </w:p>
        </w:tc>
        <w:tc>
          <w:tcPr>
            <w:tcW w:type="dxa" w:w="3135"/>
            <w:shd w:val="clear" w:color="auto" w:fill="DDEBF7"/>
          </w:tcPr>
          <w:p>
            <w:r>
              <w:rPr>
                <w:rFonts w:ascii="Meiryo UI" w:hAnsi="Meiryo UI"/>
                <w:sz w:val="18"/>
              </w:rPr>
              <w:t>調達コスト+5〜10%</w:t>
            </w:r>
          </w:p>
        </w:tc>
      </w:tr>
      <w:tr>
        <w:tc>
          <w:tcPr>
            <w:tcW w:type="dxa" w:w="3135"/>
          </w:tcPr>
          <w:p>
            <w:r>
              <w:rPr>
                <w:rFonts w:ascii="Meiryo UI" w:hAnsi="Meiryo UI"/>
                <w:sz w:val="18"/>
              </w:rPr>
              <w:t>国内調達原料</w:t>
            </w:r>
          </w:p>
        </w:tc>
        <w:tc>
          <w:tcPr>
            <w:tcW w:type="dxa" w:w="3135"/>
          </w:tcPr>
          <w:p>
            <w:r>
              <w:rPr>
                <w:rFonts w:ascii="Meiryo UI" w:hAnsi="Meiryo UI"/>
                <w:sz w:val="18"/>
              </w:rPr>
              <w:t>低</w:t>
            </w:r>
          </w:p>
        </w:tc>
        <w:tc>
          <w:tcPr>
            <w:tcW w:type="dxa" w:w="3135"/>
          </w:tcPr>
          <w:p>
            <w:r>
              <w:rPr>
                <w:rFonts w:ascii="Meiryo UI" w:hAnsi="Meiryo UI"/>
                <w:sz w:val="18"/>
              </w:rPr>
              <w:t>影響なし</w:t>
            </w:r>
          </w:p>
        </w:tc>
      </w:tr>
    </w:tbl>
    <w:p/>
    <w:p>
      <w:r>
        <w:rPr>
          <w:rFonts w:ascii="Meiryo UI" w:hAnsi="Meiryo UI"/>
          <w:sz w:val="20"/>
        </w:rPr>
        <w:t>Rationale: ホルムズ再封鎖（4/18確認）はFY2027以降のコスト圧力として留意。ただし3Q OPM 9.7%はホルムズ封鎖環境下でも達成しており、耐性は確認済み</w:t>
      </w:r>
    </w:p>
    <w:p/>
    <w:p>
      <w:pPr>
        <w:pStyle w:val="Heading3"/>
      </w:pPr>
      <w:r>
        <w:rPr>
          <w:rFonts w:ascii="Meiryo UI" w:hAnsi="Meiryo UI"/>
          <w:color w:val="2E74B5"/>
        </w:rPr>
        <w:t>リスク③ ジェネリック品質問題（業界風評リスク）</w:t>
      </w:r>
    </w:p>
    <w:p/>
    <w:p>
      <w:pPr>
        <w:pStyle w:val="ListBullet"/>
      </w:pPr>
      <w:r>
        <w:rPr>
          <w:rFonts w:ascii="Meiryo UI" w:hAnsi="Meiryo UI"/>
          <w:sz w:val="20"/>
        </w:rPr>
        <w:t>近年、複数のジェネリックメーカーが製造不正問題で業務停止を受けた</w:t>
      </w:r>
    </w:p>
    <w:p>
      <w:pPr>
        <w:pStyle w:val="ListBullet"/>
      </w:pPr>
      <w:r>
        <w:rPr>
          <w:rFonts w:ascii="Meiryo UI" w:hAnsi="Meiryo UI"/>
          <w:sz w:val="20"/>
        </w:rPr>
        <w:t>ダイトへの直接影響ゼロだが、セクター全体への機関投資家の忌避感が継続</w:t>
      </w:r>
    </w:p>
    <w:p>
      <w:pPr>
        <w:pStyle w:val="ListBullet"/>
      </w:pPr>
      <w:r>
        <w:rPr>
          <w:rFonts w:ascii="Meiryo UI" w:hAnsi="Meiryo UI"/>
          <w:sz w:val="20"/>
        </w:rPr>
        <w:t>対策: 日本GMP/米cGMP/EU-GMPの三重取得が差別化根拠</w:t>
      </w:r>
    </w:p>
    <w:p/>
    <w:p>
      <w:pPr>
        <w:pStyle w:val="Heading3"/>
      </w:pPr>
      <w:r>
        <w:rPr>
          <w:rFonts w:ascii="Meiryo UI" w:hAnsi="Meiryo UI"/>
          <w:color w:val="2E74B5"/>
        </w:rPr>
        <w:t>ダウンサイドシナリオFV</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想定</w:t>
            </w:r>
          </w:p>
        </w:tc>
        <w:tc>
          <w:tcPr>
            <w:tcW w:type="dxa" w:w="3135"/>
            <w:shd w:val="clear" w:color="auto" w:fill="2E74B5"/>
          </w:tcPr>
          <w:p>
            <w:r>
              <w:rPr>
                <w:rFonts w:ascii="Meiryo UI" w:hAnsi="Meiryo UI"/>
                <w:b/>
                <w:color w:val="FFFFFF"/>
                <w:sz w:val="18"/>
              </w:rPr>
              <w:t>FV</w:t>
            </w:r>
          </w:p>
        </w:tc>
      </w:tr>
      <w:tr>
        <w:tc>
          <w:tcPr>
            <w:tcW w:type="dxa" w:w="3135"/>
          </w:tcPr>
          <w:p>
            <w:r>
              <w:rPr>
                <w:rFonts w:ascii="Meiryo UI" w:hAnsi="Meiryo UI"/>
                <w:sz w:val="18"/>
              </w:rPr>
              <w:t>ベア（薬価+ホルムズW打撃）</w:t>
            </w:r>
          </w:p>
        </w:tc>
        <w:tc>
          <w:tcPr>
            <w:tcW w:type="dxa" w:w="3135"/>
          </w:tcPr>
          <w:p>
            <w:r>
              <w:rPr>
                <w:rFonts w:ascii="Meiryo UI" w:hAnsi="Meiryo UI"/>
                <w:sz w:val="18"/>
              </w:rPr>
              <w:t>経常利益FY2027E 2,500百万円</w:t>
            </w:r>
          </w:p>
        </w:tc>
        <w:tc>
          <w:tcPr>
            <w:tcW w:type="dxa" w:w="3135"/>
          </w:tcPr>
          <w:p>
            <w:r>
              <w:rPr>
                <w:rFonts w:ascii="Meiryo UI" w:hAnsi="Meiryo UI"/>
                <w:sz w:val="18"/>
              </w:rPr>
              <w:t>¥1,200</w:t>
            </w:r>
          </w:p>
        </w:tc>
      </w:tr>
      <w:tr>
        <w:tc>
          <w:tcPr>
            <w:tcW w:type="dxa" w:w="3135"/>
            <w:shd w:val="clear" w:color="auto" w:fill="DDEBF7"/>
          </w:tcPr>
          <w:p>
            <w:r>
              <w:rPr>
                <w:rFonts w:ascii="Meiryo UI" w:hAnsi="Meiryo UI"/>
                <w:sz w:val="18"/>
              </w:rPr>
              <w:t>中立</w:t>
            </w:r>
          </w:p>
        </w:tc>
        <w:tc>
          <w:tcPr>
            <w:tcW w:type="dxa" w:w="3135"/>
            <w:shd w:val="clear" w:color="auto" w:fill="DDEBF7"/>
          </w:tcPr>
          <w:p>
            <w:r>
              <w:rPr>
                <w:rFonts w:ascii="Meiryo UI" w:hAnsi="Meiryo UI"/>
                <w:sz w:val="18"/>
              </w:rPr>
              <w:t>経常3,500〜4,000百万円</w:t>
            </w:r>
          </w:p>
        </w:tc>
        <w:tc>
          <w:tcPr>
            <w:tcW w:type="dxa" w:w="3135"/>
            <w:shd w:val="clear" w:color="auto" w:fill="DDEBF7"/>
          </w:tcPr>
          <w:p>
            <w:r>
              <w:rPr>
                <w:rFonts w:ascii="Meiryo UI" w:hAnsi="Meiryo UI"/>
                <w:sz w:val="18"/>
              </w:rPr>
              <w:t>¥1,650〜1,800</w:t>
            </w:r>
          </w:p>
        </w:tc>
      </w:tr>
      <w:tr>
        <w:tc>
          <w:tcPr>
            <w:tcW w:type="dxa" w:w="3135"/>
          </w:tcPr>
          <w:p>
            <w:r>
              <w:rPr>
                <w:rFonts w:ascii="Meiryo UI" w:hAnsi="Meiryo UI"/>
                <w:sz w:val="18"/>
              </w:rPr>
              <w:t>ブル（正常化回帰）</w:t>
            </w:r>
          </w:p>
        </w:tc>
        <w:tc>
          <w:tcPr>
            <w:tcW w:type="dxa" w:w="3135"/>
          </w:tcPr>
          <w:p>
            <w:r>
              <w:rPr>
                <w:rFonts w:ascii="Meiryo UI" w:hAnsi="Meiryo UI"/>
                <w:sz w:val="18"/>
              </w:rPr>
              <w:t>経常4,500百万円（FY2024水準超）</w:t>
            </w:r>
          </w:p>
        </w:tc>
        <w:tc>
          <w:tcPr>
            <w:tcW w:type="dxa" w:w="3135"/>
          </w:tcPr>
          <w:p>
            <w:r>
              <w:rPr>
                <w:rFonts w:ascii="Meiryo UI" w:hAnsi="Meiryo UI"/>
                <w:sz w:val="18"/>
              </w:rPr>
              <w:t>¥2,100</w:t>
            </w:r>
          </w:p>
        </w:tc>
      </w:tr>
    </w:tbl>
    <w:p/>
    <w:p>
      <w:r>
        <w:t>──────────────────────────────────────────────────</w:t>
      </w:r>
    </w:p>
    <w:p/>
    <w:p>
      <w:pPr>
        <w:pStyle w:val="Heading2"/>
      </w:pPr>
      <w:r>
        <w:rPr>
          <w:rFonts w:ascii="Meiryo UI" w:hAnsi="Meiryo UI"/>
          <w:color w:val="2E74B5"/>
        </w:rPr>
        <w:t>8. 不動産含み益考察（必須プロトコル）</w:t>
      </w:r>
    </w:p>
    <w:p/>
    <w:p>
      <w:r>
        <w:rPr>
          <w:rFonts w:ascii="Meiryo UI" w:hAnsi="Meiryo UI"/>
          <w:sz w:val="20"/>
        </w:rPr>
        <w:t>調査結果: ダイトは富山市八日町326番地に本社工場を集積。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資産カテゴリー</w:t>
            </w:r>
          </w:p>
        </w:tc>
        <w:tc>
          <w:tcPr>
            <w:tcW w:type="dxa" w:w="3135"/>
            <w:shd w:val="clear" w:color="auto" w:fill="2E74B5"/>
          </w:tcPr>
          <w:p>
            <w:r>
              <w:rPr>
                <w:rFonts w:ascii="Meiryo UI" w:hAnsi="Meiryo UI"/>
                <w:b/>
                <w:color w:val="FFFFFF"/>
                <w:sz w:val="18"/>
              </w:rPr>
              <w:t>推計状況</w:t>
            </w:r>
          </w:p>
        </w:tc>
        <w:tc>
          <w:tcPr>
            <w:tcW w:type="dxa" w:w="3135"/>
            <w:shd w:val="clear" w:color="auto" w:fill="2E74B5"/>
          </w:tcPr>
          <w:p>
            <w:r>
              <w:rPr>
                <w:rFonts w:ascii="Meiryo UI" w:hAnsi="Meiryo UI"/>
                <w:b/>
                <w:color w:val="FFFFFF"/>
                <w:sz w:val="18"/>
              </w:rPr>
              <w:t>NAV考察</w:t>
            </w:r>
          </w:p>
        </w:tc>
      </w:tr>
      <w:tr>
        <w:tc>
          <w:tcPr>
            <w:tcW w:type="dxa" w:w="3135"/>
          </w:tcPr>
          <w:p>
            <w:r>
              <w:rPr>
                <w:rFonts w:ascii="Meiryo UI" w:hAnsi="Meiryo UI"/>
                <w:sz w:val="18"/>
              </w:rPr>
              <w:t>富山市内工場・研究所</w:t>
            </w:r>
          </w:p>
        </w:tc>
        <w:tc>
          <w:tcPr>
            <w:tcW w:type="dxa" w:w="3135"/>
          </w:tcPr>
          <w:p>
            <w:r>
              <w:rPr>
                <w:rFonts w:ascii="Meiryo UI" w:hAnsi="Meiryo UI"/>
                <w:sz w:val="18"/>
              </w:rPr>
              <w:t>公示地価: 富山市中心部¥50,000〜¥80,000/㎡</w:t>
            </w:r>
          </w:p>
        </w:tc>
        <w:tc>
          <w:tcPr>
            <w:tcW w:type="dxa" w:w="3135"/>
          </w:tcPr>
          <w:p>
            <w:r>
              <w:rPr>
                <w:rFonts w:ascii="Meiryo UI" w:hAnsi="Meiryo UI"/>
                <w:sz w:val="18"/>
              </w:rPr>
              <w:t>土地面積不明のため概算困難</w:t>
            </w:r>
          </w:p>
        </w:tc>
      </w:tr>
      <w:tr>
        <w:tc>
          <w:tcPr>
            <w:tcW w:type="dxa" w:w="3135"/>
            <w:shd w:val="clear" w:color="auto" w:fill="DDEBF7"/>
          </w:tcPr>
          <w:p>
            <w:r>
              <w:rPr>
                <w:rFonts w:ascii="Meiryo UI" w:hAnsi="Meiryo UI"/>
                <w:sz w:val="18"/>
              </w:rPr>
              <w:t>自己資本（BPS）</w:t>
            </w:r>
          </w:p>
        </w:tc>
        <w:tc>
          <w:tcPr>
            <w:tcW w:type="dxa" w:w="3135"/>
            <w:shd w:val="clear" w:color="auto" w:fill="DDEBF7"/>
          </w:tcPr>
          <w:p>
            <w:r>
              <w:rPr>
                <w:rFonts w:ascii="Meiryo UI" w:hAnsi="Meiryo UI"/>
                <w:sz w:val="18"/>
              </w:rPr>
              <w:t>¥53,620百万円（時価総額の1.32倍）</w:t>
            </w:r>
          </w:p>
        </w:tc>
        <w:tc>
          <w:tcPr>
            <w:tcW w:type="dxa" w:w="3135"/>
            <w:shd w:val="clear" w:color="auto" w:fill="DDEBF7"/>
          </w:tcPr>
          <w:p>
            <w:r>
              <w:rPr>
                <w:rFonts w:ascii="Meiryo UI" w:hAnsi="Meiryo UI"/>
                <w:sz w:val="18"/>
              </w:rPr>
              <w:t>→ PBR 0.76倍の安全マージン</w:t>
            </w:r>
          </w:p>
        </w:tc>
      </w:tr>
      <w:tr>
        <w:tc>
          <w:tcPr>
            <w:tcW w:type="dxa" w:w="3135"/>
          </w:tcPr>
          <w:p>
            <w:r>
              <w:rPr>
                <w:rFonts w:ascii="Meiryo UI" w:hAnsi="Meiryo UI"/>
                <w:sz w:val="18"/>
              </w:rPr>
              <w:t>投資有価証券</w:t>
            </w:r>
          </w:p>
        </w:tc>
        <w:tc>
          <w:tcPr>
            <w:tcW w:type="dxa" w:w="3135"/>
          </w:tcPr>
          <w:p>
            <w:r>
              <w:rPr>
                <w:rFonts w:ascii="Meiryo UI" w:hAnsi="Meiryo UI"/>
                <w:sz w:val="18"/>
              </w:rPr>
              <w:t>BS詳細未取得</w:t>
            </w:r>
          </w:p>
        </w:tc>
        <w:tc>
          <w:tcPr>
            <w:tcW w:type="dxa" w:w="3135"/>
          </w:tcPr>
          <w:p>
            <w:r>
              <w:rPr>
                <w:rFonts w:ascii="Meiryo UI" w:hAnsi="Meiryo UI"/>
                <w:sz w:val="18"/>
              </w:rPr>
              <w:t>IR確認案件（質問状に組込み）</w:t>
            </w:r>
          </w:p>
        </w:tc>
      </w:tr>
    </w:tbl>
    <w:p/>
    <w:p>
      <w:r>
        <w:rPr>
          <w:rFonts w:ascii="Meiryo UI" w:hAnsi="Meiryo UI"/>
          <w:sz w:val="20"/>
        </w:rPr>
        <w:t>結論: 個別の含み益データは決算短信の「固定資産明細」での確認が必要。ただしBPS¥1,782に対して株価¥1,354は「土地・設備の帳簿価値を前提としても▲24%割安」であり、不動産含み益はサプライズポテンシャルとして残る。</w:t>
      </w:r>
    </w:p>
    <w:p/>
    <w:p>
      <w:r>
        <w:t>──────────────────────────────────────────────────</w:t>
      </w:r>
    </w:p>
    <w:p/>
    <w:p>
      <w:pPr>
        <w:pStyle w:val="Heading2"/>
      </w:pPr>
      <w:r>
        <w:rPr>
          <w:rFonts w:ascii="Meiryo UI" w:hAnsi="Meiryo UI"/>
          <w:color w:val="2E74B5"/>
        </w:rPr>
        <w:t>9. 浅井スコア詳細（+88）</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スコア寄与</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+30</w:t>
            </w:r>
          </w:p>
        </w:tc>
        <w:tc>
          <w:tcPr>
            <w:tcW w:type="dxa" w:w="3135"/>
          </w:tcPr>
          <w:p>
            <w:r>
              <w:rPr>
                <w:rFonts w:ascii="Meiryo UI" w:hAnsi="Meiryo UI"/>
                <w:sz w:val="18"/>
              </w:rPr>
              <w:t>3Q累計経常+46.3%・進捗85%・上方修正実績</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PBR 0.76倍・PEG 0.52・安全域+33%</w:t>
            </w:r>
          </w:p>
        </w:tc>
      </w:tr>
      <w:tr>
        <w:tc>
          <w:tcPr>
            <w:tcW w:type="dxa" w:w="3135"/>
          </w:tcPr>
          <w:p>
            <w:r>
              <w:rPr>
                <w:rFonts w:ascii="Meiryo UI" w:hAnsi="Meiryo UI"/>
                <w:sz w:val="18"/>
              </w:rPr>
              <w:t>財務健全性</w:t>
            </w:r>
          </w:p>
        </w:tc>
        <w:tc>
          <w:tcPr>
            <w:tcW w:type="dxa" w:w="3135"/>
          </w:tcPr>
          <w:p>
            <w:r>
              <w:rPr>
                <w:rFonts w:ascii="Meiryo UI" w:hAnsi="Meiryo UI"/>
                <w:sz w:val="18"/>
              </w:rPr>
              <w:t>+20</w:t>
            </w:r>
          </w:p>
        </w:tc>
        <w:tc>
          <w:tcPr>
            <w:tcW w:type="dxa" w:w="3135"/>
          </w:tcPr>
          <w:p>
            <w:r>
              <w:rPr>
                <w:rFonts w:ascii="Meiryo UI" w:hAnsi="Meiryo UI"/>
                <w:sz w:val="18"/>
              </w:rPr>
              <w:t>自己資本比率69.7%・有利子負債実質ゼロ水準・連続増配維持</w:t>
            </w:r>
          </w:p>
        </w:tc>
      </w:tr>
      <w:tr>
        <w:tc>
          <w:tcPr>
            <w:tcW w:type="dxa" w:w="3135"/>
            <w:shd w:val="clear" w:color="auto" w:fill="DDEBF7"/>
          </w:tcPr>
          <w:p>
            <w:r>
              <w:rPr>
                <w:rFonts w:ascii="Meiryo UI" w:hAnsi="Meiryo UI"/>
                <w:sz w:val="18"/>
              </w:rPr>
              <w:t>歪み（ミスプライシング）</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上方修正9日後で株価不動＝認知ラグが最大の歪み</w:t>
            </w:r>
          </w:p>
        </w:tc>
      </w:tr>
      <w:tr>
        <w:tc>
          <w:tcPr>
            <w:tcW w:type="dxa" w:w="3135"/>
          </w:tcPr>
          <w:p>
            <w:r>
              <w:rPr>
                <w:rFonts w:ascii="Meiryo UI" w:hAnsi="Meiryo UI"/>
                <w:sz w:val="18"/>
              </w:rPr>
              <w:t>リスク控除</w:t>
            </w:r>
          </w:p>
        </w:tc>
        <w:tc>
          <w:tcPr>
            <w:tcW w:type="dxa" w:w="3135"/>
          </w:tcPr>
          <w:p>
            <w:r>
              <w:rPr>
                <w:rFonts w:ascii="Meiryo UI" w:hAnsi="Meiryo UI"/>
                <w:sz w:val="18"/>
              </w:rPr>
              <w:t>▲2</w:t>
            </w:r>
          </w:p>
        </w:tc>
        <w:tc>
          <w:tcPr>
            <w:tcW w:type="dxa" w:w="3135"/>
          </w:tcPr>
          <w:p>
            <w:r>
              <w:rPr>
                <w:rFonts w:ascii="Meiryo UI" w:hAnsi="Meiryo UI"/>
                <w:sz w:val="18"/>
              </w:rPr>
              <w:t>薬価改定・ROE低位・カバレッジ薄</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+88</w:t>
            </w:r>
          </w:p>
        </w:tc>
        <w:tc>
          <w:tcPr>
            <w:tcW w:type="dxa" w:w="3135"/>
            <w:shd w:val="clear" w:color="auto" w:fill="DDEBF7"/>
          </w:tcPr>
          <w:p>
            <w:r>
              <w:rPr>
                <w:rFonts w:ascii="Meiryo UI" w:hAnsi="Meiryo UI"/>
                <w:sz w:val="18"/>
              </w:rPr>
              <w:t>BUY</w:t>
            </w:r>
          </w:p>
        </w:tc>
      </w:tr>
    </w:tbl>
    <w:p/>
    <w:p>
      <w:r>
        <w:t>──────────────────────────────────────────────────</w:t>
      </w:r>
    </w:p>
    <w:p/>
    <w:p>
      <w:pPr>
        <w:pStyle w:val="Heading2"/>
      </w:pPr>
      <w:r>
        <w:rPr>
          <w:rFonts w:ascii="Meiryo UI" w:hAnsi="Meiryo UI"/>
          <w:color w:val="2E74B5"/>
        </w:rPr>
        <w:t>10. アナリスト目標株価・コンセンサス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ソース</w:t>
            </w:r>
          </w:p>
        </w:tc>
        <w:tc>
          <w:tcPr>
            <w:tcW w:type="dxa" w:w="2351"/>
            <w:shd w:val="clear" w:color="auto" w:fill="2E74B5"/>
          </w:tcPr>
          <w:p>
            <w:r>
              <w:rPr>
                <w:rFonts w:ascii="Meiryo UI" w:hAnsi="Meiryo UI"/>
                <w:b/>
                <w:color w:val="FFFFFF"/>
                <w:sz w:val="18"/>
              </w:rPr>
              <w:t>レーティング</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乖離（vs現値¥1,354）</w:t>
            </w:r>
          </w:p>
        </w:tc>
      </w:tr>
      <w:tr>
        <w:tc>
          <w:tcPr>
            <w:tcW w:type="dxa" w:w="2351"/>
          </w:tcPr>
          <w:p>
            <w:r>
              <w:rPr>
                <w:rFonts w:ascii="Meiryo UI" w:hAnsi="Meiryo UI"/>
                <w:sz w:val="18"/>
              </w:rPr>
              <w:t>日系中堅証券（2026/04/13）</w:t>
            </w:r>
          </w:p>
        </w:tc>
        <w:tc>
          <w:tcPr>
            <w:tcW w:type="dxa" w:w="2351"/>
          </w:tcPr>
          <w:p>
            <w:r>
              <w:rPr>
                <w:rFonts w:ascii="Meiryo UI" w:hAnsi="Meiryo UI"/>
                <w:sz w:val="18"/>
              </w:rPr>
              <w:t>中立</w:t>
            </w:r>
          </w:p>
        </w:tc>
        <w:tc>
          <w:tcPr>
            <w:tcW w:type="dxa" w:w="2351"/>
          </w:tcPr>
          <w:p>
            <w:r>
              <w:rPr>
                <w:rFonts w:ascii="Meiryo UI" w:hAnsi="Meiryo UI"/>
                <w:sz w:val="18"/>
              </w:rPr>
              <w:t>¥1,500</w:t>
            </w:r>
          </w:p>
        </w:tc>
        <w:tc>
          <w:tcPr>
            <w:tcW w:type="dxa" w:w="2351"/>
          </w:tcPr>
          <w:p>
            <w:r>
              <w:rPr>
                <w:rFonts w:ascii="Meiryo UI" w:hAnsi="Meiryo UI"/>
                <w:sz w:val="18"/>
              </w:rPr>
              <w:t>+10.8%</w:t>
            </w:r>
          </w:p>
        </w:tc>
      </w:tr>
      <w:tr>
        <w:tc>
          <w:tcPr>
            <w:tcW w:type="dxa" w:w="2351"/>
            <w:shd w:val="clear" w:color="auto" w:fill="DDEBF7"/>
          </w:tcPr>
          <w:p>
            <w:r>
              <w:rPr>
                <w:rFonts w:ascii="Meiryo UI" w:hAnsi="Meiryo UI"/>
                <w:sz w:val="18"/>
              </w:rPr>
              <w:t>深井FV（本レポート）</w:t>
            </w:r>
          </w:p>
        </w:tc>
        <w:tc>
          <w:tcPr>
            <w:tcW w:type="dxa" w:w="2351"/>
            <w:shd w:val="clear" w:color="auto" w:fill="DDEBF7"/>
          </w:tcPr>
          <w:p>
            <w:r>
              <w:rPr>
                <w:rFonts w:ascii="Meiryo UI" w:hAnsi="Meiryo UI"/>
                <w:sz w:val="18"/>
              </w:rPr>
              <w:t>BUY</w:t>
            </w:r>
          </w:p>
        </w:tc>
        <w:tc>
          <w:tcPr>
            <w:tcW w:type="dxa" w:w="2351"/>
            <w:shd w:val="clear" w:color="auto" w:fill="DDEBF7"/>
          </w:tcPr>
          <w:p>
            <w:r>
              <w:rPr>
                <w:rFonts w:ascii="Meiryo UI" w:hAnsi="Meiryo UI"/>
                <w:sz w:val="18"/>
              </w:rPr>
              <w:t>¥1,800</w:t>
            </w:r>
          </w:p>
        </w:tc>
        <w:tc>
          <w:tcPr>
            <w:tcW w:type="dxa" w:w="2351"/>
            <w:shd w:val="clear" w:color="auto" w:fill="DDEBF7"/>
          </w:tcPr>
          <w:p>
            <w:r>
              <w:rPr>
                <w:rFonts w:ascii="Meiryo UI" w:hAnsi="Meiryo UI"/>
                <w:sz w:val="18"/>
              </w:rPr>
              <w:t>+33.0%</w:t>
            </w:r>
          </w:p>
        </w:tc>
      </w:tr>
      <w:tr>
        <w:tc>
          <w:tcPr>
            <w:tcW w:type="dxa" w:w="2351"/>
          </w:tcPr>
          <w:p>
            <w:r>
              <w:rPr>
                <w:rFonts w:ascii="Meiryo UI" w:hAnsi="Meiryo UI"/>
                <w:sz w:val="18"/>
              </w:rPr>
              <w:t>理論株価（業績適正）</w:t>
            </w:r>
          </w:p>
        </w:tc>
        <w:tc>
          <w:tcPr>
            <w:tcW w:type="dxa" w:w="2351"/>
          </w:tcPr>
          <w:p>
            <w:r>
              <w:rPr>
                <w:rFonts w:ascii="Meiryo UI" w:hAnsi="Meiryo UI"/>
                <w:sz w:val="18"/>
              </w:rPr>
              <w:t>-</w:t>
            </w:r>
          </w:p>
        </w:tc>
        <w:tc>
          <w:tcPr>
            <w:tcW w:type="dxa" w:w="2351"/>
          </w:tcPr>
          <w:p>
            <w:r>
              <w:rPr>
                <w:rFonts w:ascii="Meiryo UI" w:hAnsi="Meiryo UI"/>
                <w:sz w:val="18"/>
              </w:rPr>
              <w:t>¥1,651</w:t>
            </w:r>
          </w:p>
        </w:tc>
        <w:tc>
          <w:tcPr>
            <w:tcW w:type="dxa" w:w="2351"/>
          </w:tcPr>
          <w:p>
            <w:r>
              <w:rPr>
                <w:rFonts w:ascii="Meiryo UI" w:hAnsi="Meiryo UI"/>
                <w:sz w:val="18"/>
              </w:rPr>
              <w:t>+22.0%</w:t>
            </w:r>
          </w:p>
        </w:tc>
      </w:tr>
    </w:tbl>
    <w:p/>
    <w:p>
      <w:r>
        <w:rPr>
          <w:rFonts w:ascii="Meiryo UI" w:hAnsi="Meiryo UI"/>
          <w:sz w:val="20"/>
        </w:rPr>
        <w:t>コンセンサスとの差異Rationale: 日系中堅証券は3Q単体OPM改善を「季節要因」として保守的に評価。当レポートは原薬自製体制のレバレッジ効果を構造的改善と位置づけ、より高いFVを算出</w:t>
      </w:r>
    </w:p>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株式会社竹村トレードカンパニー</w:t>
        <w:br/>
        <w:t>担当：竹村</w:t>
        <w:br/>
        <w:br/>
        <w:t>ダイト株式会社</w:t>
        <w:br/>
        <w:t>IR担当 御中</w:t>
        <w:br/>
        <w:br/>
        <w:t>拝啓、貴社のご発展をお祈り申し上げます。</w:t>
        <w:br/>
        <w:t>竹村トレードカンパニーの竹村と申します。</w:t>
        <w:br/>
        <w:t>貴社株式への長期投資を検討する機関投資家として、</w:t>
        <w:br/>
        <w:t>以下5点についてご教示いただけますと幸いです。</w:t>
        <w:br/>
        <w:br/>
        <w:t>【Q1】</w:t>
        <w:br/>
        <w:t>2025年12月〜2026年2月（FY2026/05 3Q単体）の売上営業利益率が</w:t>
        <w:br/>
        <w:t>前年同期の3.3%から9.7%へ急改善した主要因をご説明ください。</w:t>
        <w:br/>
        <w:t>原薬内製比率の変化・固定費回収の進捗・製品ミックス変化のうち、</w:t>
        <w:br/>
        <w:t>どの要素が最も寄与しているのでしょうか。また、4Q以降も同水準の</w:t>
        <w:br/>
        <w:t>利益率が持続可能かどうか、経営層のご見解をお聞かせください。</w:t>
        <w:br/>
        <w:br/>
        <w:t>【Q2】</w:t>
        <w:br/>
        <w:t>2026年4月薬価改定が4Q（2026年3〜5月）の売上・営業利益に与える</w:t>
        <w:br/>
        <w:t>実額影響（百万円ベース）をご教示ください。4/10に上方修正を発表</w:t>
        <w:br/>
        <w:t>されましたが、この薬価改定影響は通期予想に反映済みでしょうか。</w:t>
        <w:br/>
        <w:br/>
        <w:t>【Q3】</w:t>
        <w:br/>
        <w:t>3Q累計で経常利益進捗率が85.0%（¥2,974百万円）に達しており、</w:t>
        <w:br/>
        <w:t>残4Q必要額はわずか¥526百万円です。追加的な通期業績上方修正の</w:t>
        <w:br/>
        <w:t>可能性について、現時点のご見解をお聞かせください。</w:t>
        <w:br/>
        <w:br/>
        <w:t>【Q4】</w:t>
        <w:br/>
        <w:t>中期的な資本収益性改善について伺います。現在のROE 4.33%は</w:t>
        <w:br/>
        <w:t>機関投資家の一般的な基準（8%以上）を下回っています。</w:t>
        <w:br/>
        <w:t>自社株買い・増配・資産効率化等の施策についてお考えがあれば</w:t>
        <w:br/>
        <w:t>ご教示いただけますでしょうか。</w:t>
        <w:br/>
        <w:br/>
        <w:t>【Q5】</w:t>
        <w:br/>
        <w:t>富山市内に保有する工場・土地資産の直近簿価（土地のみ）と、</w:t>
        <w:br/>
        <w:t>近傍公示地価との比較から生じる含み益（または含み損）の</w:t>
        <w:br/>
        <w:t>概算規模をご教示いただけますでしょうか。</w:t>
        <w:br/>
        <w:t>また今後の不動産資産の活用方針（売却・賃貸・担保活用等）が</w:t>
        <w:br/>
        <w:t>あればお聞かせください。</w:t>
        <w:br/>
        <w:br/>
        <w:t>ご多忙のところ恐縮ですが、ご回答いただけますと幸いです。</w:t>
        <w:br/>
        <w:br/>
        <w:t>株式会社竹村トレードカンパニー</w:t>
        <w:br/>
        <w:t>TEL: 076-421-5665（貴社IR番号経由でご折り返しをお願いする場合）</w:t>
      </w:r>
    </w:p>
    <w:p/>
    <w:p>
      <w:r>
        <w:t>──────────────────────────────────────────────────</w:t>
      </w:r>
    </w:p>
    <w:p/>
    <w:p>
      <w:pPr>
        <w:pStyle w:val="Heading2"/>
      </w:pPr>
      <w:r>
        <w:rPr>
          <w:rFonts w:ascii="Meiryo UI" w:hAnsi="Meiryo UI"/>
          <w:color w:val="2E74B5"/>
        </w:rPr>
        <w:t>11. 総括アクションプラン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即日（4/19）</w:t>
            </w:r>
          </w:p>
        </w:tc>
        <w:tc>
          <w:tcPr>
            <w:tcW w:type="dxa" w:w="3135"/>
          </w:tcPr>
          <w:p>
            <w:r>
              <w:rPr>
                <w:rFonts w:ascii="Meiryo UI" w:hAnsi="Meiryo UI"/>
                <w:sz w:val="18"/>
              </w:rPr>
              <w:t>打診買い ¥1,354</w:t>
            </w:r>
          </w:p>
        </w:tc>
        <w:tc>
          <w:tcPr>
            <w:tcW w:type="dxa" w:w="3135"/>
          </w:tcPr>
          <w:p>
            <w:r>
              <w:rPr>
                <w:rFonts w:ascii="Meiryo UI" w:hAnsi="Meiryo UI"/>
                <w:sz w:val="18"/>
              </w:rPr>
              <w:t>エントリー確認</w:t>
            </w:r>
          </w:p>
        </w:tc>
      </w:tr>
      <w:tr>
        <w:tc>
          <w:tcPr>
            <w:tcW w:type="dxa" w:w="3135"/>
            <w:shd w:val="clear" w:color="auto" w:fill="DDEBF7"/>
          </w:tcPr>
          <w:p>
            <w:r>
              <w:rPr>
                <w:rFonts w:ascii="Meiryo UI" w:hAnsi="Meiryo UI"/>
                <w:sz w:val="18"/>
              </w:rPr>
              <w:t>4月下旬〜5月</w:t>
            </w:r>
          </w:p>
        </w:tc>
        <w:tc>
          <w:tcPr>
            <w:tcW w:type="dxa" w:w="3135"/>
            <w:shd w:val="clear" w:color="auto" w:fill="DDEBF7"/>
          </w:tcPr>
          <w:p>
            <w:r>
              <w:rPr>
                <w:rFonts w:ascii="Meiryo UI" w:hAnsi="Meiryo UI"/>
                <w:sz w:val="18"/>
              </w:rPr>
              <w:t>IR質問状送付・回答待ち</w:t>
            </w:r>
          </w:p>
        </w:tc>
        <w:tc>
          <w:tcPr>
            <w:tcW w:type="dxa" w:w="3135"/>
            <w:shd w:val="clear" w:color="auto" w:fill="DDEBF7"/>
          </w:tcPr>
          <w:p>
            <w:r>
              <w:rPr>
                <w:rFonts w:ascii="Meiryo UI" w:hAnsi="Meiryo UI"/>
                <w:sz w:val="18"/>
              </w:rPr>
              <w:t>Q1〜Q5の回答内容</w:t>
            </w:r>
          </w:p>
        </w:tc>
      </w:tr>
      <w:tr>
        <w:tc>
          <w:tcPr>
            <w:tcW w:type="dxa" w:w="3135"/>
          </w:tcPr>
          <w:p>
            <w:r>
              <w:rPr>
                <w:rFonts w:ascii="Meiryo UI" w:hAnsi="Meiryo UI"/>
                <w:sz w:val="18"/>
              </w:rPr>
              <w:t>6月末〜7月初</w:t>
            </w:r>
          </w:p>
        </w:tc>
        <w:tc>
          <w:tcPr>
            <w:tcW w:type="dxa" w:w="3135"/>
          </w:tcPr>
          <w:p>
            <w:r>
              <w:rPr>
                <w:rFonts w:ascii="Meiryo UI" w:hAnsi="Meiryo UI"/>
                <w:sz w:val="18"/>
              </w:rPr>
              <w:t>FY2026/05通期決算発表前後</w:t>
            </w:r>
          </w:p>
        </w:tc>
        <w:tc>
          <w:tcPr>
            <w:tcW w:type="dxa" w:w="3135"/>
          </w:tcPr>
          <w:p>
            <w:r>
              <w:rPr>
                <w:rFonts w:ascii="Meiryo UI" w:hAnsi="Meiryo UI"/>
                <w:sz w:val="18"/>
              </w:rPr>
              <w:t>3Q OPM水準が通期で維持されているか確認</w:t>
            </w:r>
          </w:p>
        </w:tc>
      </w:tr>
      <w:tr>
        <w:tc>
          <w:tcPr>
            <w:tcW w:type="dxa" w:w="3135"/>
            <w:shd w:val="clear" w:color="auto" w:fill="DDEBF7"/>
          </w:tcPr>
          <w:p>
            <w:r>
              <w:rPr>
                <w:rFonts w:ascii="Meiryo UI" w:hAnsi="Meiryo UI"/>
                <w:sz w:val="18"/>
              </w:rPr>
              <w:t>決算確認後</w:t>
            </w:r>
          </w:p>
        </w:tc>
        <w:tc>
          <w:tcPr>
            <w:tcW w:type="dxa" w:w="3135"/>
            <w:shd w:val="clear" w:color="auto" w:fill="DDEBF7"/>
          </w:tcPr>
          <w:p>
            <w:r>
              <w:rPr>
                <w:rFonts w:ascii="Meiryo UI" w:hAnsi="Meiryo UI"/>
                <w:sz w:val="18"/>
              </w:rPr>
              <w:t>本玉増し or 利確判断</w:t>
            </w:r>
          </w:p>
        </w:tc>
        <w:tc>
          <w:tcPr>
            <w:tcW w:type="dxa" w:w="3135"/>
            <w:shd w:val="clear" w:color="auto" w:fill="DDEBF7"/>
          </w:tcPr>
          <w:p>
            <w:r>
              <w:rPr>
                <w:rFonts w:ascii="Meiryo UI" w:hAnsi="Meiryo UI"/>
                <w:sz w:val="18"/>
              </w:rPr>
              <w:t>通期経常¥4,000百万超でスコア+95へ上方修正</w:t>
            </w:r>
          </w:p>
        </w:tc>
      </w:tr>
      <w:tr>
        <w:tc>
          <w:tcPr>
            <w:tcW w:type="dxa" w:w="3135"/>
          </w:tcPr>
          <w:p>
            <w:r>
              <w:rPr>
                <w:rFonts w:ascii="Meiryo UI" w:hAnsi="Meiryo UI"/>
                <w:sz w:val="18"/>
              </w:rPr>
              <w:t>SL設定</w:t>
            </w:r>
          </w:p>
        </w:tc>
        <w:tc>
          <w:tcPr>
            <w:tcW w:type="dxa" w:w="3135"/>
          </w:tcPr>
          <w:p>
            <w:r>
              <w:rPr>
                <w:rFonts w:ascii="Meiryo UI" w:hAnsi="Meiryo UI"/>
                <w:sz w:val="18"/>
              </w:rPr>
              <w:t>¥1,200（▲11.4%）</w:t>
            </w:r>
          </w:p>
        </w:tc>
        <w:tc>
          <w:tcPr>
            <w:tcW w:type="dxa" w:w="3135"/>
          </w:tcPr>
          <w:p>
            <w:r>
              <w:rPr>
                <w:rFonts w:ascii="Meiryo UI" w:hAnsi="Meiryo UI"/>
                <w:sz w:val="18"/>
              </w:rPr>
              <w:t>52週安値近傍</w:t>
            </w:r>
          </w:p>
        </w:tc>
      </w:tr>
    </w:tbl>
    <w:p/>
    <w:p>
      <w:r>
        <w:t>──────────────────────────────────────────────────</w:t>
      </w:r>
    </w:p>
    <w:p/>
    <w:p>
      <w:r>
        <w:rPr>
          <w:rFonts w:ascii="Meiryo UI" w:hAnsi="Meiryo UI"/>
          <w:sz w:val="20"/>
        </w:rPr>
        <w:t>Sources:</w:t>
      </w:r>
    </w:p>
    <w:p>
      <w:pPr>
        <w:pStyle w:val="ListBullet"/>
      </w:pPr>
      <w:r>
        <w:rPr>
          <w:rFonts w:ascii="Meiryo UI" w:hAnsi="Meiryo UI"/>
          <w:sz w:val="20"/>
        </w:rPr>
        <w:t>[ダイト今期経常を17%上方修正 – 株探](https://s.kabutan.jp/news/k202604100038/)</w:t>
      </w:r>
    </w:p>
    <w:p>
      <w:pPr>
        <w:pStyle w:val="ListBullet"/>
      </w:pPr>
      <w:r>
        <w:rPr>
          <w:rFonts w:ascii="Meiryo UI" w:hAnsi="Meiryo UI"/>
          <w:sz w:val="20"/>
        </w:rPr>
        <w:t>[4577 ダイト – IFIS株予報](https://kabuyoho.ifis.co.jp/index.php?action=tp1&amp;sa=report&amp;bcode=4577)</w:t>
      </w:r>
    </w:p>
    <w:p>
      <w:pPr>
        <w:pStyle w:val="ListBullet"/>
      </w:pPr>
      <w:r>
        <w:rPr>
          <w:rFonts w:ascii="Meiryo UI" w:hAnsi="Meiryo UI"/>
          <w:sz w:val="20"/>
        </w:rPr>
        <w:t>[ダイト IRサイト](https://www.daitonet.co.jp/ir/)</w:t>
      </w:r>
    </w:p>
    <w:p>
      <w:pPr>
        <w:pStyle w:val="ListBullet"/>
      </w:pPr>
      <w:r>
        <w:rPr>
          <w:rFonts w:ascii="Meiryo UI" w:hAnsi="Meiryo UI"/>
          <w:sz w:val="20"/>
        </w:rPr>
        <w:t>[ダイト 業績適正株価¥1,651 – 日経株価予測](https://nikkeiyosoku.com/stock/4577/)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