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[4577] ダイト株式会社</w:t>
      </w:r>
    </w:p>
    <w:p/>
    <w:p/>
    <w:p>
      <w:pPr>
        <w:jc w:val="center"/>
      </w:pPr>
      <w:r>
        <w:rPr>
          <w:rFonts w:ascii="Meiryo UI" w:hAnsi="Meiryo UI"/>
          <w:sz w:val="24"/>
        </w:rPr>
        <w:t>アナリスト：深井</w:t>
      </w:r>
    </w:p>
    <w:p>
      <w:pPr>
        <w:jc w:val="center"/>
      </w:pPr>
      <w:r>
        <w:rPr>
          <w:rFonts w:ascii="Meiryo UI" w:hAnsi="Meiryo UI"/>
          <w:sz w:val="24"/>
        </w:rPr>
        <w:t>分析日：2026-04-21</w:t>
      </w:r>
    </w:p>
    <w:p>
      <w:r>
        <w:br w:type="page"/>
      </w:r>
    </w:p>
    <w:p>
      <w:pPr>
        <w:pStyle w:val="Heading1"/>
      </w:pPr>
      <w:r>
        <w:rPr>
          <w:rFonts w:ascii="Meiryo UI" w:hAnsi="Meiryo UI"/>
          <w:color w:val="1F3864"/>
        </w:rPr>
        <w:t>深井 DeepResearchレポート — [4577] ダイト株式会社</w:t>
      </w:r>
    </w:p>
    <w:p>
      <w:r>
        <w:rPr>
          <w:rFonts w:ascii="Meiryo UI" w:hAnsi="Meiryo UI"/>
          <w:sz w:val="20"/>
        </w:rPr>
        <w:t>作成日: 2026-04-21 | アナリスト: 深井 | 分類: BUY（Rev.2 IR回答反映）</w:t>
      </w:r>
    </w:p>
    <w:p>
      <w:r>
        <w:rPr>
          <w:rFonts w:ascii="Meiryo UI" w:hAnsi="Meiryo UI"/>
          <w:sz w:val="20"/>
        </w:rPr>
        <w:t>浅井スコア: +91（+3pt更新） | Rf: 2.380% | r: 6.0%（管理CAPM確認値）</w:t>
      </w:r>
    </w:p>
    <w:p/>
    <w:p>
      <w:r>
        <w:t>──────────────────────────────────────────────────</w:t>
      </w:r>
    </w:p>
    <w:p/>
    <w:p>
      <w:pPr>
        <w:pStyle w:val="Heading2"/>
      </w:pPr>
      <w:r>
        <w:rPr>
          <w:rFonts w:ascii="Meiryo UI" w:hAnsi="Meiryo UI"/>
          <w:color w:val="2E74B5"/>
        </w:rPr>
        <w:t>IRページ・コンタクト</w:t>
      </w:r>
    </w:p>
    <w:p/>
    <w:p>
      <w:pPr>
        <w:pStyle w:val="ListBullet"/>
      </w:pPr>
      <w:r>
        <w:rPr>
          <w:rFonts w:ascii="Meiryo UI" w:hAnsi="Meiryo UI"/>
          <w:sz w:val="20"/>
        </w:rPr>
        <w:t>IRサイト: https://www.daitonet.co.jp/ir/</w:t>
      </w:r>
    </w:p>
    <w:p>
      <w:pPr>
        <w:pStyle w:val="ListBullet"/>
      </w:pPr>
      <w:r>
        <w:rPr>
          <w:rFonts w:ascii="Meiryo UI" w:hAnsi="Meiryo UI"/>
          <w:sz w:val="20"/>
        </w:rPr>
        <w:t>IR担当: 経営企画部 笠嶋俊秋氏（TEL: 076-421-8755 / kasashima@daitonet.co.jp）</w:t>
      </w:r>
    </w:p>
    <w:p>
      <w:pPr>
        <w:pStyle w:val="ListBullet"/>
      </w:pPr>
      <w:r>
        <w:rPr>
          <w:rFonts w:ascii="Meiryo UI" w:hAnsi="Meiryo UI"/>
          <w:sz w:val="20"/>
        </w:rPr>
        <w:t>決算発表予定: FY2026/05 通期 2026年7月上旬予定</w:t>
      </w:r>
    </w:p>
    <w:p/>
    <w:p>
      <w:r>
        <w:t>──────────────────────────────────────────────────</w:t>
      </w:r>
    </w:p>
    <w:p/>
    <w:p>
      <w:pPr>
        <w:pStyle w:val="Heading2"/>
      </w:pPr>
      <w:r>
        <w:rPr>
          <w:rFonts w:ascii="Meiryo UI" w:hAnsi="Meiryo UI"/>
          <w:color w:val="2E74B5"/>
        </w:rPr>
        <w:t>⚡ 10秒サマリー（Rev.2）</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w:t>
            </w:r>
          </w:p>
        </w:tc>
        <w:tc>
          <w:tcPr>
            <w:tcW w:type="dxa" w:w="4703"/>
          </w:tcPr>
          <w:p>
            <w:r>
              <w:rPr>
                <w:rFonts w:ascii="Meiryo UI" w:hAnsi="Meiryo UI"/>
                <w:sz w:val="18"/>
              </w:rPr>
              <w:t>BUY（強気）</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¥1,315（2026-04-21、RSI=21 極度過売り圏）</w:t>
            </w:r>
          </w:p>
        </w:tc>
      </w:tr>
      <w:tr>
        <w:tc>
          <w:tcPr>
            <w:tcW w:type="dxa" w:w="4703"/>
          </w:tcPr>
          <w:p>
            <w:r>
              <w:rPr>
                <w:rFonts w:ascii="Meiryo UI" w:hAnsi="Meiryo UI"/>
                <w:sz w:val="18"/>
              </w:rPr>
              <w:t>フェアバリュー</w:t>
            </w:r>
          </w:p>
        </w:tc>
        <w:tc>
          <w:tcPr>
            <w:tcW w:type="dxa" w:w="4703"/>
          </w:tcPr>
          <w:p>
            <w:r>
              <w:rPr>
                <w:rFonts w:ascii="Meiryo UI" w:hAnsi="Meiryo UI"/>
                <w:sz w:val="18"/>
              </w:rPr>
              <w:t>¥1,900（+44.5%、Rev.1 ¥1,800から上方修正）</w:t>
            </w:r>
          </w:p>
        </w:tc>
      </w:tr>
      <w:tr>
        <w:tc>
          <w:tcPr>
            <w:tcW w:type="dxa" w:w="4703"/>
            <w:shd w:val="clear" w:color="auto" w:fill="DDEBF7"/>
          </w:tcPr>
          <w:p>
            <w:r>
              <w:rPr>
                <w:rFonts w:ascii="Meiryo UI" w:hAnsi="Meiryo UI"/>
                <w:sz w:val="18"/>
              </w:rPr>
              <w:t>安全域</w:t>
            </w:r>
          </w:p>
        </w:tc>
        <w:tc>
          <w:tcPr>
            <w:tcW w:type="dxa" w:w="4703"/>
            <w:shd w:val="clear" w:color="auto" w:fill="DDEBF7"/>
          </w:tcPr>
          <w:p>
            <w:r>
              <w:rPr>
                <w:rFonts w:ascii="Meiryo UI" w:hAnsi="Meiryo UI"/>
                <w:sz w:val="18"/>
              </w:rPr>
              <w:t>+44.5%（BPS¥1,792×Justified PBR 1.286xとの乖離）</w:t>
            </w:r>
          </w:p>
        </w:tc>
      </w:tr>
      <w:tr>
        <w:tc>
          <w:tcPr>
            <w:tcW w:type="dxa" w:w="4703"/>
          </w:tcPr>
          <w:p>
            <w:r>
              <w:rPr>
                <w:rFonts w:ascii="Meiryo UI" w:hAnsi="Meiryo UI"/>
                <w:sz w:val="18"/>
              </w:rPr>
              <w:t>3弾丸</w:t>
            </w:r>
          </w:p>
        </w:tc>
        <w:tc>
          <w:tcPr>
            <w:tcW w:type="dxa" w:w="4703"/>
          </w:tcPr>
          <w:p>
            <w:r>
              <w:rPr>
                <w:rFonts w:ascii="Meiryo UI" w:hAnsi="Meiryo UI"/>
                <w:sz w:val="18"/>
              </w:rPr>
              <w:t>①管理CAPM=6.0%確認＋ROE目標7-8%確認 → Justified PBR 1.286〜1.571x vs 現在0.734x（最大+114%）② 4Q業績はIR確認で「保守的設定」確定 → 前年4Q並み達成で通期経常¥36.5億（ガイダンス¥35.0億超）③薬価改定4Q影響「軽微」とIR明言 → Rev.1リスク②消滅</w:t>
            </w:r>
          </w:p>
        </w:tc>
      </w:tr>
      <w:tr>
        <w:tc>
          <w:tcPr>
            <w:tcW w:type="dxa" w:w="4703"/>
            <w:shd w:val="clear" w:color="auto" w:fill="DDEBF7"/>
          </w:tcPr>
          <w:p>
            <w:r>
              <w:rPr>
                <w:rFonts w:ascii="Meiryo UI" w:hAnsi="Meiryo UI"/>
                <w:sz w:val="18"/>
              </w:rPr>
              <w:t>最大リスク</w:t>
            </w:r>
          </w:p>
        </w:tc>
        <w:tc>
          <w:tcPr>
            <w:tcW w:type="dxa" w:w="4703"/>
            <w:shd w:val="clear" w:color="auto" w:fill="DDEBF7"/>
          </w:tcPr>
          <w:p>
            <w:r>
              <w:rPr>
                <w:rFonts w:ascii="Meiryo UI" w:hAnsi="Meiryo UI"/>
                <w:sz w:val="18"/>
              </w:rPr>
              <w:t>ROE 4.33%→7-8%の実現可能性。現ROE4.33% &lt; CAPM6.0% = 現時点では価値破壊中。OPM 6-7%水準でROE目標達成には増配・自己資本圧縮等の資本政策が必要</w:t>
            </w:r>
          </w:p>
        </w:tc>
      </w:tr>
      <w:tr>
        <w:tc>
          <w:tcPr>
            <w:tcW w:type="dxa" w:w="4703"/>
          </w:tcPr>
          <w:p>
            <w:r>
              <w:rPr>
                <w:rFonts w:ascii="Meiryo UI" w:hAnsi="Meiryo UI"/>
                <w:sz w:val="18"/>
              </w:rPr>
              <w:t>推奨アクション</w:t>
            </w:r>
          </w:p>
        </w:tc>
        <w:tc>
          <w:tcPr>
            <w:tcW w:type="dxa" w:w="4703"/>
          </w:tcPr>
          <w:p>
            <w:r>
              <w:rPr>
                <w:rFonts w:ascii="Meiryo UI" w:hAnsi="Meiryo UI"/>
                <w:sz w:val="18"/>
              </w:rPr>
              <w:t>RSI=21 極度過売り。現値¥1,315で買い増し。4Q決算（7月上旬）でROE改善確認後に本玉。SL¥1,100（BPS比▲39%）</w:t>
            </w:r>
          </w:p>
        </w:tc>
      </w:tr>
    </w:tbl>
    <w:p/>
    <w:p>
      <w:r>
        <w:t>──────────────────────────────────────────────────</w:t>
      </w:r>
    </w:p>
    <w:p/>
    <w:p>
      <w:pPr>
        <w:pStyle w:val="Heading2"/>
      </w:pPr>
      <w:r>
        <w:rPr>
          <w:rFonts w:ascii="Meiryo UI" w:hAnsi="Meiryo UI"/>
          <w:color w:val="2E74B5"/>
        </w:rPr>
        <w:t>▼ IR回答分析（Q1〜Q5、2026-04-21受領）</w:t>
      </w:r>
    </w:p>
    <w:p/>
    <w:p>
      <w:pPr>
        <w:pStyle w:val="Heading3"/>
      </w:pPr>
      <w:r>
        <w:rPr>
          <w:rFonts w:ascii="Meiryo UI" w:hAnsi="Meiryo UI"/>
          <w:color w:val="2E74B5"/>
        </w:rPr>
        <w:t>Q1「3Q OPM 9.7%の要因と持続性」→ 一部ネガティブ修正（OPM予想引下げ）</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金額（粗利+3.5億）</w:t>
            </w:r>
          </w:p>
        </w:tc>
        <w:tc>
          <w:tcPr>
            <w:tcW w:type="dxa" w:w="3135"/>
            <w:shd w:val="clear" w:color="auto" w:fill="2E74B5"/>
          </w:tcPr>
          <w:p>
            <w:r>
              <w:rPr>
                <w:rFonts w:ascii="Meiryo UI" w:hAnsi="Meiryo UI"/>
                <w:b/>
                <w:color w:val="FFFFFF"/>
                <w:sz w:val="18"/>
              </w:rPr>
              <w:t>性質</w:t>
            </w:r>
          </w:p>
        </w:tc>
      </w:tr>
      <w:tr>
        <w:tc>
          <w:tcPr>
            <w:tcW w:type="dxa" w:w="3135"/>
          </w:tcPr>
          <w:p>
            <w:r>
              <w:rPr>
                <w:rFonts w:ascii="Meiryo UI" w:hAnsi="Meiryo UI"/>
                <w:sz w:val="18"/>
              </w:rPr>
              <w:t>在庫評価減の戻入</w:t>
            </w:r>
          </w:p>
        </w:tc>
        <w:tc>
          <w:tcPr>
            <w:tcW w:type="dxa" w:w="3135"/>
          </w:tcPr>
          <w:p>
            <w:r>
              <w:rPr>
                <w:rFonts w:ascii="Meiryo UI" w:hAnsi="Meiryo UI"/>
                <w:sz w:val="18"/>
              </w:rPr>
              <w:t>+¥3.6億（3Q改善分）</w:t>
            </w:r>
          </w:p>
        </w:tc>
        <w:tc>
          <w:tcPr>
            <w:tcW w:type="dxa" w:w="3135"/>
          </w:tcPr>
          <w:p>
            <w:r>
              <w:rPr>
                <w:rFonts w:ascii="Meiryo UI" w:hAnsi="Meiryo UI"/>
                <w:sz w:val="18"/>
              </w:rPr>
              <w:t>一時的（前3Qの悪化の反動）</w:t>
            </w:r>
          </w:p>
        </w:tc>
      </w:tr>
      <w:tr>
        <w:tc>
          <w:tcPr>
            <w:tcW w:type="dxa" w:w="3135"/>
            <w:shd w:val="clear" w:color="auto" w:fill="DDEBF7"/>
          </w:tcPr>
          <w:p>
            <w:r>
              <w:rPr>
                <w:rFonts w:ascii="Meiryo UI" w:hAnsi="Meiryo UI"/>
                <w:sz w:val="18"/>
              </w:rPr>
              <w:t>製造原価低減（スマートスペンディング）＋ジェネリック増加</w:t>
            </w:r>
          </w:p>
        </w:tc>
        <w:tc>
          <w:tcPr>
            <w:tcW w:type="dxa" w:w="3135"/>
            <w:shd w:val="clear" w:color="auto" w:fill="DDEBF7"/>
          </w:tcPr>
          <w:p>
            <w:r>
              <w:rPr>
                <w:rFonts w:ascii="Meiryo UI" w:hAnsi="Meiryo UI"/>
                <w:sz w:val="18"/>
              </w:rPr>
              <w:t>プラス寄与</w:t>
            </w:r>
          </w:p>
        </w:tc>
        <w:tc>
          <w:tcPr>
            <w:tcW w:type="dxa" w:w="3135"/>
            <w:shd w:val="clear" w:color="auto" w:fill="DDEBF7"/>
          </w:tcPr>
          <w:p>
            <w:r>
              <w:rPr>
                <w:rFonts w:ascii="Meiryo UI" w:hAnsi="Meiryo UI"/>
                <w:sz w:val="18"/>
              </w:rPr>
              <w:t>半構造的</w:t>
            </w:r>
          </w:p>
        </w:tc>
      </w:tr>
      <w:tr>
        <w:tc>
          <w:tcPr>
            <w:tcW w:type="dxa" w:w="3135"/>
          </w:tcPr>
          <w:p>
            <w:r>
              <w:rPr>
                <w:rFonts w:ascii="Meiryo UI" w:hAnsi="Meiryo UI"/>
                <w:sz w:val="18"/>
              </w:rPr>
              <w:t>下奥井工場一時稼働停止</w:t>
            </w:r>
          </w:p>
        </w:tc>
        <w:tc>
          <w:tcPr>
            <w:tcW w:type="dxa" w:w="3135"/>
          </w:tcPr>
          <w:p>
            <w:r>
              <w:rPr>
                <w:rFonts w:ascii="Meiryo UI" w:hAnsi="Meiryo UI"/>
                <w:sz w:val="18"/>
              </w:rPr>
              <w:t>マイナス寄与</w:t>
            </w:r>
          </w:p>
        </w:tc>
        <w:tc>
          <w:tcPr>
            <w:tcW w:type="dxa" w:w="3135"/>
          </w:tcPr>
          <w:p>
            <w:r>
              <w:rPr>
                <w:rFonts w:ascii="Meiryo UI" w:hAnsi="Meiryo UI"/>
                <w:sz w:val="18"/>
              </w:rPr>
              <w:t>一時的</w:t>
            </w:r>
          </w:p>
        </w:tc>
      </w:tr>
      <w:tr>
        <w:tc>
          <w:tcPr>
            <w:tcW w:type="dxa" w:w="3135"/>
            <w:shd w:val="clear" w:color="auto" w:fill="DDEBF7"/>
          </w:tcPr>
          <w:p>
            <w:r>
              <w:rPr>
                <w:rFonts w:ascii="Meiryo UI" w:hAnsi="Meiryo UI"/>
                <w:sz w:val="18"/>
              </w:rPr>
              <w:t>R&amp;D費減少（BE試験・共同開発費減）</w:t>
            </w:r>
          </w:p>
        </w:tc>
        <w:tc>
          <w:tcPr>
            <w:tcW w:type="dxa" w:w="3135"/>
            <w:shd w:val="clear" w:color="auto" w:fill="DDEBF7"/>
          </w:tcPr>
          <w:p>
            <w:r>
              <w:rPr>
                <w:rFonts w:ascii="Meiryo UI" w:hAnsi="Meiryo UI"/>
                <w:sz w:val="18"/>
              </w:rPr>
              <w:t>▲3.7億（販管費）</w:t>
            </w:r>
          </w:p>
        </w:tc>
        <w:tc>
          <w:tcPr>
            <w:tcW w:type="dxa" w:w="3135"/>
            <w:shd w:val="clear" w:color="auto" w:fill="DDEBF7"/>
          </w:tcPr>
          <w:p>
            <w:r>
              <w:rPr>
                <w:rFonts w:ascii="Meiryo UI" w:hAnsi="Meiryo UI"/>
                <w:sz w:val="18"/>
              </w:rPr>
              <w:t>一時的（四半期平均¥6億が水準）</w:t>
            </w:r>
          </w:p>
        </w:tc>
      </w:tr>
    </w:tbl>
    <w:p/>
    <w:p>
      <w:r>
        <w:rPr>
          <w:rFonts w:ascii="Meiryo UI" w:hAnsi="Meiryo UI"/>
          <w:sz w:val="20"/>
        </w:rPr>
        <w:t>管理会社コメント：「売上高営業利益率は6〜7%程度の目線。今後さらなる上昇を目指す」</w:t>
      </w:r>
    </w:p>
    <w:p/>
    <w:p>
      <w:r>
        <w:rPr>
          <w:rFonts w:ascii="Meiryo UI" w:hAnsi="Meiryo UI"/>
          <w:sz w:val="20"/>
        </w:rPr>
        <w:t>&gt; ⚠️ Rev.1修正：3Q単体OPM 9.7%を「構造的改善サイン」と評価していたが、在庫戻入（¥3.6億）＋R&amp;D費タイミング（▲¥3.7億）で合計¥7.3億の一時的押し上げが含まれていた。正常化OPM = 6-7%（ガイダンス改訂後6.4%と整合）。</w:t>
      </w:r>
    </w:p>
    <w:p>
      <w:r>
        <w:rPr>
          <w:rFonts w:ascii="Meiryo UI" w:hAnsi="Meiryo UI"/>
          <w:sz w:val="20"/>
        </w:rPr>
        <w:t>&gt;</w:t>
      </w:r>
    </w:p>
    <w:p>
      <w:r>
        <w:rPr>
          <w:rFonts w:ascii="Meiryo UI" w:hAnsi="Meiryo UI"/>
          <w:sz w:val="20"/>
        </w:rPr>
        <w:t>&gt; 但し6-7%は FY2025 5.2% を超えており、トレンドとして利益率改善は本物。水準が下方修正されただけで方向性は正しい。</w:t>
      </w:r>
    </w:p>
    <w:p/>
    <w:p>
      <w:r>
        <w:t>──────────────────────────────────────────────────</w:t>
      </w:r>
    </w:p>
    <w:p/>
    <w:p>
      <w:pPr>
        <w:pStyle w:val="Heading3"/>
      </w:pPr>
      <w:r>
        <w:rPr>
          <w:rFonts w:ascii="Meiryo UI" w:hAnsi="Meiryo UI"/>
          <w:color w:val="2E74B5"/>
        </w:rPr>
        <w:t>Q2「4月薬価改定の4Q影響」→ ポジティブ（リスク消滅）</w:t>
      </w:r>
    </w:p>
    <w:p/>
    <w:p>
      <w:r>
        <w:rPr>
          <w:rFonts w:ascii="Meiryo UI" w:hAnsi="Meiryo UI"/>
          <w:sz w:val="20"/>
        </w:rPr>
        <w:t>IR回答：「価格改定は織り込んでおりますが、4Qへの影響は軽微と認識しております」</w:t>
      </w:r>
    </w:p>
    <w:p/>
    <w:p>
      <w:r>
        <w:rPr>
          <w:rFonts w:ascii="Meiryo UI" w:hAnsi="Meiryo UI"/>
          <w:sz w:val="20"/>
        </w:rPr>
        <w:t>&gt; ✅ Rev.1リスク①「薬価改定で▲¥50〜100百万円のOP影響」を30%確率でリスク設定していたが、IRが「軽微」と明言したため当リスクを消滅とみなす。ガイダンスに既に反映済み確認。</w:t>
      </w:r>
    </w:p>
    <w:p/>
    <w:p>
      <w:r>
        <w:t>──────────────────────────────────────────────────</w:t>
      </w:r>
    </w:p>
    <w:p/>
    <w:p>
      <w:pPr>
        <w:pStyle w:val="Heading3"/>
      </w:pPr>
      <w:r>
        <w:rPr>
          <w:rFonts w:ascii="Meiryo UI" w:hAnsi="Meiryo UI"/>
          <w:color w:val="2E74B5"/>
        </w:rPr>
        <w:t>Q3「4Q業績見通しの保守性」→ ポジティブ（アップサイド確定的）</w:t>
      </w:r>
    </w:p>
    <w:p/>
    <w:p>
      <w:r>
        <w:rPr>
          <w:rFonts w:ascii="Meiryo UI" w:hAnsi="Meiryo UI"/>
          <w:sz w:val="20"/>
        </w:rPr>
        <w:t>IR回答：「仰せのとおり、保守的な設定とさせていただいております」</w:t>
      </w:r>
    </w:p>
    <w:p/>
    <w:p>
      <w:pPr>
        <w:pStyle w:val="ListBullet"/>
      </w:pPr>
      <w:r>
        <w:rPr>
          <w:rFonts w:ascii="Meiryo UI" w:hAnsi="Meiryo UI"/>
          <w:sz w:val="20"/>
        </w:rPr>
        <w:t>保守的に見込んでいる追加費用：在庫評価減、下奥井工場停止影響</w:t>
      </w:r>
    </w:p>
    <w:p>
      <w:pPr>
        <w:pStyle w:val="ListBullet"/>
      </w:pPr>
      <w:r>
        <w:rPr>
          <w:rFonts w:ascii="Meiryo UI" w:hAnsi="Meiryo UI"/>
          <w:sz w:val="20"/>
        </w:rPr>
        <w:t>新情報：「中東情勢を踏まえ、来期費用の一部前倒しを織り込み」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意味</w:t>
            </w:r>
          </w:p>
        </w:tc>
      </w:tr>
      <w:tr>
        <w:tc>
          <w:tcPr>
            <w:tcW w:type="dxa" w:w="3135"/>
          </w:tcPr>
          <w:p>
            <w:r>
              <w:rPr>
                <w:rFonts w:ascii="Meiryo UI" w:hAnsi="Meiryo UI"/>
                <w:sz w:val="18"/>
              </w:rPr>
              <w:t>通期経常ガイダンス</w:t>
            </w:r>
          </w:p>
        </w:tc>
        <w:tc>
          <w:tcPr>
            <w:tcW w:type="dxa" w:w="3135"/>
          </w:tcPr>
          <w:p>
            <w:r>
              <w:rPr>
                <w:rFonts w:ascii="Meiryo UI" w:hAnsi="Meiryo UI"/>
                <w:sz w:val="18"/>
              </w:rPr>
              <w:t>¥3,500百万</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3Q累計実績</w:t>
            </w:r>
          </w:p>
        </w:tc>
        <w:tc>
          <w:tcPr>
            <w:tcW w:type="dxa" w:w="3135"/>
            <w:shd w:val="clear" w:color="auto" w:fill="DDEBF7"/>
          </w:tcPr>
          <w:p>
            <w:r>
              <w:rPr>
                <w:rFonts w:ascii="Meiryo UI" w:hAnsi="Meiryo UI"/>
                <w:sz w:val="18"/>
              </w:rPr>
              <w:t>¥2,974百万（進捗85%）</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4Q必要額</w:t>
            </w:r>
          </w:p>
        </w:tc>
        <w:tc>
          <w:tcPr>
            <w:tcW w:type="dxa" w:w="3135"/>
          </w:tcPr>
          <w:p>
            <w:r>
              <w:rPr>
                <w:rFonts w:ascii="Meiryo UI" w:hAnsi="Meiryo UI"/>
                <w:sz w:val="18"/>
              </w:rPr>
              <w:t>¥526百万</w:t>
            </w:r>
          </w:p>
        </w:tc>
        <w:tc>
          <w:tcPr>
            <w:tcW w:type="dxa" w:w="3135"/>
          </w:tcPr>
          <w:p>
            <w:r>
              <w:rPr>
                <w:rFonts w:ascii="Meiryo UI" w:hAnsi="Meiryo UI"/>
                <w:sz w:val="18"/>
              </w:rPr>
              <w:t>前年4Q実績¥674百万の78%水準</w:t>
            </w:r>
          </w:p>
        </w:tc>
      </w:tr>
      <w:tr>
        <w:tc>
          <w:tcPr>
            <w:tcW w:type="dxa" w:w="3135"/>
            <w:shd w:val="clear" w:color="auto" w:fill="DDEBF7"/>
          </w:tcPr>
          <w:p>
            <w:r>
              <w:rPr>
                <w:rFonts w:ascii="Meiryo UI" w:hAnsi="Meiryo UI"/>
                <w:sz w:val="18"/>
              </w:rPr>
              <w:t>前年4Q並み達成時</w:t>
            </w:r>
          </w:p>
        </w:tc>
        <w:tc>
          <w:tcPr>
            <w:tcW w:type="dxa" w:w="3135"/>
            <w:shd w:val="clear" w:color="auto" w:fill="DDEBF7"/>
          </w:tcPr>
          <w:p>
            <w:r>
              <w:rPr>
                <w:rFonts w:ascii="Meiryo UI" w:hAnsi="Meiryo UI"/>
                <w:sz w:val="18"/>
              </w:rPr>
              <w:t>¥3,648百万</w:t>
            </w:r>
          </w:p>
        </w:tc>
        <w:tc>
          <w:tcPr>
            <w:tcW w:type="dxa" w:w="3135"/>
            <w:shd w:val="clear" w:color="auto" w:fill="DDEBF7"/>
          </w:tcPr>
          <w:p>
            <w:r>
              <w:rPr>
                <w:rFonts w:ascii="Meiryo UI" w:hAnsi="Meiryo UI"/>
                <w:sz w:val="18"/>
              </w:rPr>
              <w:t>ガイダンス比 +¥148百万（+4.2%）</w:t>
            </w:r>
          </w:p>
        </w:tc>
      </w:tr>
    </w:tbl>
    <w:p/>
    <w:p>
      <w:r>
        <w:rPr>
          <w:rFonts w:ascii="Meiryo UI" w:hAnsi="Meiryo UI"/>
          <w:sz w:val="20"/>
        </w:rPr>
        <w:t>&gt; ✅ 管理会社が「保守的設定」を明確認定。前年比78%の4Q利益で達成できるため、通期上振れはほぼ確定的。但し中東コスト前倒し（ホルムズ関連）がFY27に後戻りする可能性あり → FY27初期の費用インパクト注意。</w:t>
      </w:r>
    </w:p>
    <w:p/>
    <w:p>
      <w:r>
        <w:t>──────────────────────────────────────────────────</w:t>
      </w:r>
    </w:p>
    <w:p/>
    <w:p>
      <w:pPr>
        <w:pStyle w:val="Heading3"/>
      </w:pPr>
      <w:r>
        <w:rPr>
          <w:rFonts w:ascii="Meiryo UI" w:hAnsi="Meiryo UI"/>
          <w:color w:val="2E74B5"/>
        </w:rPr>
        <w:t>Q4「ROEと資本コスト」→ 最重要・戦略的ポジティブ（FV大幅上方修正の根拠）</w:t>
      </w:r>
    </w:p>
    <w:p/>
    <w:p>
      <w:r>
        <w:rPr>
          <w:rFonts w:ascii="Meiryo UI" w:hAnsi="Meiryo UI"/>
          <w:sz w:val="20"/>
        </w:rPr>
        <w:t>IR回答（原文）：</w:t>
      </w:r>
    </w:p>
    <w:p>
      <w:r>
        <w:rPr>
          <w:rFonts w:ascii="Meiryo UI" w:hAnsi="Meiryo UI"/>
          <w:sz w:val="20"/>
        </w:rPr>
        <w:t>&gt; 「当社の資本コストは約6.0%（CAPMベース）ですが、中計では7.0〜8.0%を目標としております。また中計では資本配分方針として株主還元：50億円以上（概ね達成）、累進配当を掲げております」</w:t>
      </w:r>
    </w:p>
    <w:p/>
    <w:p>
      <w:r>
        <w:rPr>
          <w:rFonts w:ascii="Meiryo UI" w:hAnsi="Meiryo UI"/>
          <w:sz w:val="20"/>
        </w:rPr>
        <w:t>これが本DR改訂の最大アップデート。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Rev.1（推計）</w:t>
            </w:r>
          </w:p>
        </w:tc>
        <w:tc>
          <w:tcPr>
            <w:tcW w:type="dxa" w:w="3135"/>
            <w:shd w:val="clear" w:color="auto" w:fill="2E74B5"/>
          </w:tcPr>
          <w:p>
            <w:r>
              <w:rPr>
                <w:rFonts w:ascii="Meiryo UI" w:hAnsi="Meiryo UI"/>
                <w:b/>
                <w:color w:val="FFFFFF"/>
                <w:sz w:val="18"/>
              </w:rPr>
              <w:t>Rev.2（IR確認）</w:t>
            </w:r>
          </w:p>
        </w:tc>
      </w:tr>
      <w:tr>
        <w:tc>
          <w:tcPr>
            <w:tcW w:type="dxa" w:w="3135"/>
          </w:tcPr>
          <w:p>
            <w:r>
              <w:rPr>
                <w:rFonts w:ascii="Meiryo UI" w:hAnsi="Meiryo UI"/>
                <w:sz w:val="18"/>
              </w:rPr>
              <w:t>r（CAPM）</w:t>
            </w:r>
          </w:p>
        </w:tc>
        <w:tc>
          <w:tcPr>
            <w:tcW w:type="dxa" w:w="3135"/>
          </w:tcPr>
          <w:p>
            <w:r>
              <w:rPr>
                <w:rFonts w:ascii="Meiryo UI" w:hAnsi="Meiryo UI"/>
                <w:sz w:val="18"/>
              </w:rPr>
              <w:t>推計中（未確認）</w:t>
            </w:r>
          </w:p>
        </w:tc>
        <w:tc>
          <w:tcPr>
            <w:tcW w:type="dxa" w:w="3135"/>
          </w:tcPr>
          <w:p>
            <w:r>
              <w:rPr>
                <w:rFonts w:ascii="Meiryo UI" w:hAnsi="Meiryo UI"/>
                <w:sz w:val="18"/>
              </w:rPr>
              <w:t>6.0%（管理会社明示）</w:t>
            </w:r>
          </w:p>
        </w:tc>
      </w:tr>
      <w:tr>
        <w:tc>
          <w:tcPr>
            <w:tcW w:type="dxa" w:w="3135"/>
            <w:shd w:val="clear" w:color="auto" w:fill="DDEBF7"/>
          </w:tcPr>
          <w:p>
            <w:r>
              <w:rPr>
                <w:rFonts w:ascii="Meiryo UI" w:hAnsi="Meiryo UI"/>
                <w:sz w:val="18"/>
              </w:rPr>
              <w:t>ROE目標</w:t>
            </w:r>
          </w:p>
        </w:tc>
        <w:tc>
          <w:tcPr>
            <w:tcW w:type="dxa" w:w="3135"/>
            <w:shd w:val="clear" w:color="auto" w:fill="DDEBF7"/>
          </w:tcPr>
          <w:p>
            <w:r>
              <w:rPr>
                <w:rFonts w:ascii="Meiryo UI" w:hAnsi="Meiryo UI"/>
                <w:sz w:val="18"/>
              </w:rPr>
              <w:t>未開示</w:t>
            </w:r>
          </w:p>
        </w:tc>
        <w:tc>
          <w:tcPr>
            <w:tcW w:type="dxa" w:w="3135"/>
            <w:shd w:val="clear" w:color="auto" w:fill="DDEBF7"/>
          </w:tcPr>
          <w:p>
            <w:r>
              <w:rPr>
                <w:rFonts w:ascii="Meiryo UI" w:hAnsi="Meiryo UI"/>
                <w:sz w:val="18"/>
              </w:rPr>
              <w:t>7.0〜8.0%（中計明示）</w:t>
            </w:r>
          </w:p>
        </w:tc>
      </w:tr>
      <w:tr>
        <w:tc>
          <w:tcPr>
            <w:tcW w:type="dxa" w:w="3135"/>
          </w:tcPr>
          <w:p>
            <w:r>
              <w:rPr>
                <w:rFonts w:ascii="Meiryo UI" w:hAnsi="Meiryo UI"/>
                <w:sz w:val="18"/>
              </w:rPr>
              <w:t>累進配当</w:t>
            </w:r>
          </w:p>
        </w:tc>
        <w:tc>
          <w:tcPr>
            <w:tcW w:type="dxa" w:w="3135"/>
          </w:tcPr>
          <w:p>
            <w:r>
              <w:rPr>
                <w:rFonts w:ascii="Meiryo UI" w:hAnsi="Meiryo UI"/>
                <w:sz w:val="18"/>
              </w:rPr>
              <w:t>不明</w:t>
            </w:r>
          </w:p>
        </w:tc>
        <w:tc>
          <w:tcPr>
            <w:tcW w:type="dxa" w:w="3135"/>
          </w:tcPr>
          <w:p>
            <w:r>
              <w:rPr>
                <w:rFonts w:ascii="Meiryo UI" w:hAnsi="Meiryo UI"/>
                <w:sz w:val="18"/>
              </w:rPr>
              <w:t>確認済み（中計コミット）</w:t>
            </w:r>
          </w:p>
        </w:tc>
      </w:tr>
    </w:tbl>
    <w:p/>
    <w:p>
      <w:r>
        <w:rPr>
          <w:rFonts w:ascii="Meiryo UI" w:hAnsi="Meiryo UI"/>
          <w:sz w:val="20"/>
        </w:rPr>
        <w:t>Justified PBR = (ROE目標 − g) / (r − g)の計算：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ROEシナリオ</w:t>
            </w:r>
          </w:p>
        </w:tc>
        <w:tc>
          <w:tcPr>
            <w:tcW w:type="dxa" w:w="1881"/>
            <w:shd w:val="clear" w:color="auto" w:fill="2E74B5"/>
          </w:tcPr>
          <w:p>
            <w:r>
              <w:rPr>
                <w:rFonts w:ascii="Meiryo UI" w:hAnsi="Meiryo UI"/>
                <w:b/>
                <w:color w:val="FFFFFF"/>
                <w:sz w:val="18"/>
              </w:rPr>
              <w:t>計算式</w:t>
            </w:r>
          </w:p>
        </w:tc>
        <w:tc>
          <w:tcPr>
            <w:tcW w:type="dxa" w:w="1881"/>
            <w:shd w:val="clear" w:color="auto" w:fill="2E74B5"/>
          </w:tcPr>
          <w:p>
            <w:r>
              <w:rPr>
                <w:rFonts w:ascii="Meiryo UI" w:hAnsi="Meiryo UI"/>
                <w:b/>
                <w:color w:val="FFFFFF"/>
                <w:sz w:val="18"/>
              </w:rPr>
              <w:t>Justified PBR</w:t>
            </w:r>
          </w:p>
        </w:tc>
        <w:tc>
          <w:tcPr>
            <w:tcW w:type="dxa" w:w="1881"/>
            <w:shd w:val="clear" w:color="auto" w:fill="2E74B5"/>
          </w:tcPr>
          <w:p>
            <w:r>
              <w:rPr>
                <w:rFonts w:ascii="Meiryo UI" w:hAnsi="Meiryo UI"/>
                <w:b/>
                <w:color w:val="FFFFFF"/>
                <w:sz w:val="18"/>
              </w:rPr>
              <w:t>FV（BPS¥1,792）</w:t>
            </w:r>
          </w:p>
        </w:tc>
        <w:tc>
          <w:tcPr>
            <w:tcW w:type="dxa" w:w="1881"/>
            <w:shd w:val="clear" w:color="auto" w:fill="2E74B5"/>
          </w:tcPr>
          <w:p>
            <w:r>
              <w:rPr>
                <w:rFonts w:ascii="Meiryo UI" w:hAnsi="Meiryo UI"/>
                <w:b/>
                <w:color w:val="FFFFFF"/>
                <w:sz w:val="18"/>
              </w:rPr>
              <w:t>vs現値</w:t>
            </w:r>
          </w:p>
        </w:tc>
      </w:tr>
      <w:tr>
        <w:tc>
          <w:tcPr>
            <w:tcW w:type="dxa" w:w="1881"/>
          </w:tcPr>
          <w:p>
            <w:r>
              <w:rPr>
                <w:rFonts w:ascii="Meiryo UI" w:hAnsi="Meiryo UI"/>
                <w:sz w:val="18"/>
              </w:rPr>
              <w:t>現在 4.33%</w:t>
            </w:r>
          </w:p>
        </w:tc>
        <w:tc>
          <w:tcPr>
            <w:tcW w:type="dxa" w:w="1881"/>
          </w:tcPr>
          <w:p>
            <w:r>
              <w:rPr>
                <w:rFonts w:ascii="Meiryo UI" w:hAnsi="Meiryo UI"/>
                <w:sz w:val="18"/>
              </w:rPr>
              <w:t>(4.33-2.5)/(6.0-2.5)</w:t>
            </w:r>
          </w:p>
        </w:tc>
        <w:tc>
          <w:tcPr>
            <w:tcW w:type="dxa" w:w="1881"/>
          </w:tcPr>
          <w:p>
            <w:r>
              <w:rPr>
                <w:rFonts w:ascii="Meiryo UI" w:hAnsi="Meiryo UI"/>
                <w:sz w:val="18"/>
              </w:rPr>
              <w:t>0.523x</w:t>
            </w:r>
          </w:p>
        </w:tc>
        <w:tc>
          <w:tcPr>
            <w:tcW w:type="dxa" w:w="1881"/>
          </w:tcPr>
          <w:p>
            <w:r>
              <w:rPr>
                <w:rFonts w:ascii="Meiryo UI" w:hAnsi="Meiryo UI"/>
                <w:sz w:val="18"/>
              </w:rPr>
              <w:t>¥937</w:t>
            </w:r>
          </w:p>
        </w:tc>
        <w:tc>
          <w:tcPr>
            <w:tcW w:type="dxa" w:w="1881"/>
          </w:tcPr>
          <w:p>
            <w:r>
              <w:rPr>
                <w:rFonts w:ascii="Meiryo UI" w:hAnsi="Meiryo UI"/>
                <w:sz w:val="18"/>
              </w:rPr>
              <w:t>▲28.7%</w:t>
            </w:r>
          </w:p>
        </w:tc>
      </w:tr>
      <w:tr>
        <w:tc>
          <w:tcPr>
            <w:tcW w:type="dxa" w:w="1881"/>
            <w:shd w:val="clear" w:color="auto" w:fill="DDEBF7"/>
          </w:tcPr>
          <w:p>
            <w:r>
              <w:rPr>
                <w:rFonts w:ascii="Meiryo UI" w:hAnsi="Meiryo UI"/>
                <w:sz w:val="18"/>
              </w:rPr>
              <w:t>目標下限 7.0%</w:t>
            </w:r>
          </w:p>
        </w:tc>
        <w:tc>
          <w:tcPr>
            <w:tcW w:type="dxa" w:w="1881"/>
            <w:shd w:val="clear" w:color="auto" w:fill="DDEBF7"/>
          </w:tcPr>
          <w:p>
            <w:r>
              <w:rPr>
                <w:rFonts w:ascii="Meiryo UI" w:hAnsi="Meiryo UI"/>
                <w:sz w:val="18"/>
              </w:rPr>
              <w:t>(7.0-2.5)/(6.0-2.5)</w:t>
            </w:r>
          </w:p>
        </w:tc>
        <w:tc>
          <w:tcPr>
            <w:tcW w:type="dxa" w:w="1881"/>
            <w:shd w:val="clear" w:color="auto" w:fill="DDEBF7"/>
          </w:tcPr>
          <w:p>
            <w:r>
              <w:rPr>
                <w:rFonts w:ascii="Meiryo UI" w:hAnsi="Meiryo UI"/>
                <w:sz w:val="18"/>
              </w:rPr>
              <w:t>1.286x</w:t>
            </w:r>
          </w:p>
        </w:tc>
        <w:tc>
          <w:tcPr>
            <w:tcW w:type="dxa" w:w="1881"/>
            <w:shd w:val="clear" w:color="auto" w:fill="DDEBF7"/>
          </w:tcPr>
          <w:p>
            <w:r>
              <w:rPr>
                <w:rFonts w:ascii="Meiryo UI" w:hAnsi="Meiryo UI"/>
                <w:sz w:val="18"/>
              </w:rPr>
              <w:t>¥2,304</w:t>
            </w:r>
          </w:p>
        </w:tc>
        <w:tc>
          <w:tcPr>
            <w:tcW w:type="dxa" w:w="1881"/>
            <w:shd w:val="clear" w:color="auto" w:fill="DDEBF7"/>
          </w:tcPr>
          <w:p>
            <w:r>
              <w:rPr>
                <w:rFonts w:ascii="Meiryo UI" w:hAnsi="Meiryo UI"/>
                <w:sz w:val="18"/>
              </w:rPr>
              <w:t>+75.2%</w:t>
            </w:r>
          </w:p>
        </w:tc>
      </w:tr>
      <w:tr>
        <w:tc>
          <w:tcPr>
            <w:tcW w:type="dxa" w:w="1881"/>
          </w:tcPr>
          <w:p>
            <w:r>
              <w:rPr>
                <w:rFonts w:ascii="Meiryo UI" w:hAnsi="Meiryo UI"/>
                <w:sz w:val="18"/>
              </w:rPr>
              <w:t>目標中間 7.5%</w:t>
            </w:r>
          </w:p>
        </w:tc>
        <w:tc>
          <w:tcPr>
            <w:tcW w:type="dxa" w:w="1881"/>
          </w:tcPr>
          <w:p>
            <w:r>
              <w:rPr>
                <w:rFonts w:ascii="Meiryo UI" w:hAnsi="Meiryo UI"/>
                <w:sz w:val="18"/>
              </w:rPr>
              <w:t>(7.5-2.5)/(6.0-2.5)</w:t>
            </w:r>
          </w:p>
        </w:tc>
        <w:tc>
          <w:tcPr>
            <w:tcW w:type="dxa" w:w="1881"/>
          </w:tcPr>
          <w:p>
            <w:r>
              <w:rPr>
                <w:rFonts w:ascii="Meiryo UI" w:hAnsi="Meiryo UI"/>
                <w:sz w:val="18"/>
              </w:rPr>
              <w:t>1.429x</w:t>
            </w:r>
          </w:p>
        </w:tc>
        <w:tc>
          <w:tcPr>
            <w:tcW w:type="dxa" w:w="1881"/>
          </w:tcPr>
          <w:p>
            <w:r>
              <w:rPr>
                <w:rFonts w:ascii="Meiryo UI" w:hAnsi="Meiryo UI"/>
                <w:sz w:val="18"/>
              </w:rPr>
              <w:t>¥2,560</w:t>
            </w:r>
          </w:p>
        </w:tc>
        <w:tc>
          <w:tcPr>
            <w:tcW w:type="dxa" w:w="1881"/>
          </w:tcPr>
          <w:p>
            <w:r>
              <w:rPr>
                <w:rFonts w:ascii="Meiryo UI" w:hAnsi="Meiryo UI"/>
                <w:sz w:val="18"/>
              </w:rPr>
              <w:t>+94.7%</w:t>
            </w:r>
          </w:p>
        </w:tc>
      </w:tr>
      <w:tr>
        <w:tc>
          <w:tcPr>
            <w:tcW w:type="dxa" w:w="1881"/>
            <w:shd w:val="clear" w:color="auto" w:fill="DDEBF7"/>
          </w:tcPr>
          <w:p>
            <w:r>
              <w:rPr>
                <w:rFonts w:ascii="Meiryo UI" w:hAnsi="Meiryo UI"/>
                <w:sz w:val="18"/>
              </w:rPr>
              <w:t>目標上限 8.0%</w:t>
            </w:r>
          </w:p>
        </w:tc>
        <w:tc>
          <w:tcPr>
            <w:tcW w:type="dxa" w:w="1881"/>
            <w:shd w:val="clear" w:color="auto" w:fill="DDEBF7"/>
          </w:tcPr>
          <w:p>
            <w:r>
              <w:rPr>
                <w:rFonts w:ascii="Meiryo UI" w:hAnsi="Meiryo UI"/>
                <w:sz w:val="18"/>
              </w:rPr>
              <w:t>(8.0-2.5)/(6.0-2.5)</w:t>
            </w:r>
          </w:p>
        </w:tc>
        <w:tc>
          <w:tcPr>
            <w:tcW w:type="dxa" w:w="1881"/>
            <w:shd w:val="clear" w:color="auto" w:fill="DDEBF7"/>
          </w:tcPr>
          <w:p>
            <w:r>
              <w:rPr>
                <w:rFonts w:ascii="Meiryo UI" w:hAnsi="Meiryo UI"/>
                <w:sz w:val="18"/>
              </w:rPr>
              <w:t>1.571x</w:t>
            </w:r>
          </w:p>
        </w:tc>
        <w:tc>
          <w:tcPr>
            <w:tcW w:type="dxa" w:w="1881"/>
            <w:shd w:val="clear" w:color="auto" w:fill="DDEBF7"/>
          </w:tcPr>
          <w:p>
            <w:r>
              <w:rPr>
                <w:rFonts w:ascii="Meiryo UI" w:hAnsi="Meiryo UI"/>
                <w:sz w:val="18"/>
              </w:rPr>
              <w:t>¥2,816</w:t>
            </w:r>
          </w:p>
        </w:tc>
        <w:tc>
          <w:tcPr>
            <w:tcW w:type="dxa" w:w="1881"/>
            <w:shd w:val="clear" w:color="auto" w:fill="DDEBF7"/>
          </w:tcPr>
          <w:p>
            <w:r>
              <w:rPr>
                <w:rFonts w:ascii="Meiryo UI" w:hAnsi="Meiryo UI"/>
                <w:sz w:val="18"/>
              </w:rPr>
              <w:t>+114.1%</w:t>
            </w:r>
          </w:p>
        </w:tc>
      </w:tr>
    </w:tbl>
    <w:p/>
    <w:p>
      <w:r>
        <w:rPr>
          <w:rFonts w:ascii="Meiryo UI" w:hAnsi="Meiryo UI"/>
          <w:sz w:val="20"/>
        </w:rPr>
        <w:t>&gt; ⚠️ 投資判断の核心：現在のROE 4.33%はCAPM 6.0%を下回っており、理論上は価値破壊中。PBR 0.73xはこの状態を反映している。株価が上がるためには必ずROEがrを超える必要がある。管理会社がこの認識を持ち、かつ中計で7-8%目標を公表したことは、ROE改善へのコミットメントの証左。</w:t>
      </w:r>
    </w:p>
    <w:p/>
    <w:p>
      <w:r>
        <w:t>──────────────────────────────────────────────────</w:t>
      </w:r>
    </w:p>
    <w:p/>
    <w:p>
      <w:pPr>
        <w:pStyle w:val="Heading3"/>
      </w:pPr>
      <w:r>
        <w:rPr>
          <w:rFonts w:ascii="Meiryo UI" w:hAnsi="Meiryo UI"/>
          <w:color w:val="2E74B5"/>
        </w:rPr>
        <w:t>Q5「不動産含み益」→ ネガティブ（期待カタリスト消滅）</w:t>
      </w:r>
    </w:p>
    <w:p/>
    <w:p>
      <w:r>
        <w:rPr>
          <w:rFonts w:ascii="Meiryo UI" w:hAnsi="Meiryo UI"/>
          <w:sz w:val="20"/>
        </w:rPr>
        <w:t>IR回答：「含み損益については殆どございません。一部遊休不動産については売却・賃貸等を検討しておりますが総資産に与える影響は軽微」</w:t>
      </w:r>
    </w:p>
    <w:p/>
    <w:p>
      <w:r>
        <w:rPr>
          <w:rFonts w:ascii="Meiryo UI" w:hAnsi="Meiryo UI"/>
          <w:sz w:val="20"/>
        </w:rPr>
        <w:t>&gt; ❌ Rev.1で「不動産含み益サプライズポテンシャルあり」と記載していたが、IR明言により当カタリストは消滅。ただし「一部遊休不動産の売却検討」による小規模の特別利益計上は残る可能性。</w:t>
      </w:r>
    </w:p>
    <w:p/>
    <w:p>
      <w:r>
        <w:t>──────────────────────────────────────────────────</w:t>
      </w:r>
    </w:p>
    <w:p/>
    <w:p>
      <w:pPr>
        <w:pStyle w:val="Heading2"/>
      </w:pPr>
      <w:r>
        <w:rPr>
          <w:rFonts w:ascii="Meiryo UI" w:hAnsi="Meiryo UI"/>
          <w:color w:val="2E74B5"/>
        </w:rPr>
        <w:t>フェアバリュー算出（Rev.2、4手法ブレンド）</w:t>
      </w:r>
    </w:p>
    <w:p/>
    <w:p>
      <w:pPr>
        <w:pStyle w:val="Heading3"/>
      </w:pPr>
      <w:r>
        <w:rPr>
          <w:rFonts w:ascii="Meiryo UI" w:hAnsi="Meiryo UI"/>
          <w:color w:val="2E74B5"/>
        </w:rPr>
        <w:t>CAPM前提（管理会社確認値）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採用値</w:t>
            </w:r>
          </w:p>
        </w:tc>
        <w:tc>
          <w:tcPr>
            <w:tcW w:type="dxa" w:w="3135"/>
            <w:shd w:val="clear" w:color="auto" w:fill="2E74B5"/>
          </w:tcPr>
          <w:p>
            <w:r>
              <w:rPr>
                <w:rFonts w:ascii="Meiryo UI" w:hAnsi="Meiryo UI"/>
                <w:b/>
                <w:color w:val="FFFFFF"/>
                <w:sz w:val="18"/>
              </w:rPr>
              <w:t>出典</w:t>
            </w:r>
          </w:p>
        </w:tc>
      </w:tr>
      <w:tr>
        <w:tc>
          <w:tcPr>
            <w:tcW w:type="dxa" w:w="3135"/>
          </w:tcPr>
          <w:p>
            <w:r>
              <w:rPr>
                <w:rFonts w:ascii="Meiryo UI" w:hAnsi="Meiryo UI"/>
                <w:sz w:val="18"/>
              </w:rPr>
              <w:t>Rf</w:t>
            </w:r>
          </w:p>
        </w:tc>
        <w:tc>
          <w:tcPr>
            <w:tcW w:type="dxa" w:w="3135"/>
          </w:tcPr>
          <w:p>
            <w:r>
              <w:rPr>
                <w:rFonts w:ascii="Meiryo UI" w:hAnsi="Meiryo UI"/>
                <w:sz w:val="18"/>
              </w:rPr>
              <w:t>2.380%</w:t>
            </w:r>
          </w:p>
        </w:tc>
        <w:tc>
          <w:tcPr>
            <w:tcW w:type="dxa" w:w="3135"/>
          </w:tcPr>
          <w:p>
            <w:r>
              <w:rPr>
                <w:rFonts w:ascii="Meiryo UI" w:hAnsi="Meiryo UI"/>
                <w:sz w:val="18"/>
              </w:rPr>
              <w:t>竹村TC固定値</w:t>
            </w:r>
          </w:p>
        </w:tc>
      </w:tr>
      <w:tr>
        <w:tc>
          <w:tcPr>
            <w:tcW w:type="dxa" w:w="3135"/>
            <w:shd w:val="clear" w:color="auto" w:fill="DDEBF7"/>
          </w:tcPr>
          <w:p>
            <w:r>
              <w:rPr>
                <w:rFonts w:ascii="Meiryo UI" w:hAnsi="Meiryo UI"/>
                <w:sz w:val="18"/>
              </w:rPr>
              <w:t>r（CAPM）</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管理会社 Q4回答で直接確認</w:t>
            </w:r>
          </w:p>
        </w:tc>
      </w:tr>
      <w:tr>
        <w:tc>
          <w:tcPr>
            <w:tcW w:type="dxa" w:w="3135"/>
          </w:tcPr>
          <w:p>
            <w:r>
              <w:rPr>
                <w:rFonts w:ascii="Meiryo UI" w:hAnsi="Meiryo UI"/>
                <w:sz w:val="18"/>
              </w:rPr>
              <w:t>terminal g</w:t>
            </w:r>
          </w:p>
        </w:tc>
        <w:tc>
          <w:tcPr>
            <w:tcW w:type="dxa" w:w="3135"/>
          </w:tcPr>
          <w:p>
            <w:r>
              <w:rPr>
                <w:rFonts w:ascii="Meiryo UI" w:hAnsi="Meiryo UI"/>
                <w:sz w:val="18"/>
              </w:rPr>
              <w:t>2.5%</w:t>
            </w:r>
          </w:p>
        </w:tc>
        <w:tc>
          <w:tcPr>
            <w:tcW w:type="dxa" w:w="3135"/>
          </w:tcPr>
          <w:p>
            <w:r>
              <w:rPr>
                <w:rFonts w:ascii="Meiryo UI" w:hAnsi="Meiryo UI"/>
                <w:sz w:val="18"/>
              </w:rPr>
              <w:t>長期名目成長率</w:t>
            </w:r>
          </w:p>
        </w:tc>
      </w:tr>
    </w:tbl>
    <w:p/>
    <w:p>
      <w:r>
        <w:t>──────────────────────────────────────────────────</w:t>
      </w:r>
    </w:p>
    <w:p/>
    <w:p>
      <w:pPr>
        <w:pStyle w:val="Heading3"/>
      </w:pPr>
      <w:r>
        <w:rPr>
          <w:rFonts w:ascii="Meiryo UI" w:hAnsi="Meiryo UI"/>
          <w:color w:val="2E74B5"/>
        </w:rPr>
        <w:t>手法①：Forward P/E法（25%）</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EPS</w:t>
            </w:r>
          </w:p>
        </w:tc>
        <w:tc>
          <w:tcPr>
            <w:tcW w:type="dxa" w:w="1881"/>
            <w:shd w:val="clear" w:color="auto" w:fill="2E74B5"/>
          </w:tcPr>
          <w:p>
            <w:r>
              <w:rPr>
                <w:rFonts w:ascii="Meiryo UI" w:hAnsi="Meiryo UI"/>
                <w:b/>
                <w:color w:val="FFFFFF"/>
                <w:sz w:val="18"/>
              </w:rPr>
              <w:t>P/E</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根拠</w:t>
            </w:r>
          </w:p>
        </w:tc>
      </w:tr>
      <w:tr>
        <w:tc>
          <w:tcPr>
            <w:tcW w:type="dxa" w:w="1881"/>
          </w:tcPr>
          <w:p>
            <w:r>
              <w:rPr>
                <w:rFonts w:ascii="Meiryo UI" w:hAnsi="Meiryo UI"/>
                <w:sz w:val="18"/>
              </w:rPr>
              <w:t>FY2026E保守</w:t>
            </w:r>
          </w:p>
        </w:tc>
        <w:tc>
          <w:tcPr>
            <w:tcW w:type="dxa" w:w="1881"/>
          </w:tcPr>
          <w:p>
            <w:r>
              <w:rPr>
                <w:rFonts w:ascii="Meiryo UI" w:hAnsi="Meiryo UI"/>
                <w:sz w:val="18"/>
              </w:rPr>
              <w:t>¥83.1</w:t>
            </w:r>
          </w:p>
        </w:tc>
        <w:tc>
          <w:tcPr>
            <w:tcW w:type="dxa" w:w="1881"/>
          </w:tcPr>
          <w:p>
            <w:r>
              <w:rPr>
                <w:rFonts w:ascii="Meiryo UI" w:hAnsi="Meiryo UI"/>
                <w:sz w:val="18"/>
              </w:rPr>
              <w:t>18x</w:t>
            </w:r>
          </w:p>
        </w:tc>
        <w:tc>
          <w:tcPr>
            <w:tcW w:type="dxa" w:w="1881"/>
          </w:tcPr>
          <w:p>
            <w:r>
              <w:rPr>
                <w:rFonts w:ascii="Meiryo UI" w:hAnsi="Meiryo UI"/>
                <w:sz w:val="18"/>
              </w:rPr>
              <w:t>¥1,496</w:t>
            </w:r>
          </w:p>
        </w:tc>
        <w:tc>
          <w:tcPr>
            <w:tcW w:type="dxa" w:w="1881"/>
          </w:tcPr>
          <w:p>
            <w:r>
              <w:rPr>
                <w:rFonts w:ascii="Meiryo UI" w:hAnsi="Meiryo UI"/>
                <w:sz w:val="18"/>
              </w:rPr>
              <w:t>一時的OPM補正後の適正PER</w:t>
            </w:r>
          </w:p>
        </w:tc>
      </w:tr>
      <w:tr>
        <w:tc>
          <w:tcPr>
            <w:tcW w:type="dxa" w:w="1881"/>
            <w:shd w:val="clear" w:color="auto" w:fill="DDEBF7"/>
          </w:tcPr>
          <w:p>
            <w:r>
              <w:rPr>
                <w:rFonts w:ascii="Meiryo UI" w:hAnsi="Meiryo UI"/>
                <w:sz w:val="18"/>
              </w:rPr>
              <w:t>FY2027E正常化</w:t>
            </w:r>
          </w:p>
        </w:tc>
        <w:tc>
          <w:tcPr>
            <w:tcW w:type="dxa" w:w="1881"/>
            <w:shd w:val="clear" w:color="auto" w:fill="DDEBF7"/>
          </w:tcPr>
          <w:p>
            <w:r>
              <w:rPr>
                <w:rFonts w:ascii="Meiryo UI" w:hAnsi="Meiryo UI"/>
                <w:sz w:val="18"/>
              </w:rPr>
              <w:t>¥100E</w:t>
            </w:r>
          </w:p>
        </w:tc>
        <w:tc>
          <w:tcPr>
            <w:tcW w:type="dxa" w:w="1881"/>
            <w:shd w:val="clear" w:color="auto" w:fill="DDEBF7"/>
          </w:tcPr>
          <w:p>
            <w:r>
              <w:rPr>
                <w:rFonts w:ascii="Meiryo UI" w:hAnsi="Meiryo UI"/>
                <w:sz w:val="18"/>
              </w:rPr>
              <w:t>20x</w:t>
            </w:r>
          </w:p>
        </w:tc>
        <w:tc>
          <w:tcPr>
            <w:tcW w:type="dxa" w:w="1881"/>
            <w:shd w:val="clear" w:color="auto" w:fill="DDEBF7"/>
          </w:tcPr>
          <w:p>
            <w:r>
              <w:rPr>
                <w:rFonts w:ascii="Meiryo UI" w:hAnsi="Meiryo UI"/>
                <w:sz w:val="18"/>
              </w:rPr>
              <w:t>¥2,000</w:t>
            </w:r>
          </w:p>
        </w:tc>
        <w:tc>
          <w:tcPr>
            <w:tcW w:type="dxa" w:w="1881"/>
            <w:shd w:val="clear" w:color="auto" w:fill="DDEBF7"/>
          </w:tcPr>
          <w:p>
            <w:r>
              <w:rPr>
                <w:rFonts w:ascii="Meiryo UI" w:hAnsi="Meiryo UI"/>
                <w:sz w:val="18"/>
              </w:rPr>
              <w:t>OPM 6-7%定着＋ROE改善で正常化</w:t>
            </w:r>
          </w:p>
        </w:tc>
      </w:tr>
      <w:tr>
        <w:tc>
          <w:tcPr>
            <w:tcW w:type="dxa" w:w="1881"/>
          </w:tcPr>
          <w:p>
            <w:r>
              <w:rPr>
                <w:rFonts w:ascii="Meiryo UI" w:hAnsi="Meiryo UI"/>
                <w:sz w:val="18"/>
              </w:rPr>
              <w:t>ブレンド（6:4）</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¥1,698</w:t>
            </w:r>
          </w:p>
        </w:tc>
        <w:tc>
          <w:tcPr>
            <w:tcW w:type="dxa" w:w="1881"/>
          </w:tcPr>
          <w:p>
            <w:r>
              <w:rPr>
                <w:rFonts w:ascii="Meiryo UI" w:hAnsi="Meiryo UI"/>
                <w:sz w:val="18"/>
              </w:rPr>
              <w:t>FY2026 60% + FY2027 40%</w:t>
            </w:r>
          </w:p>
        </w:tc>
      </w:tr>
    </w:tbl>
    <w:p/>
    <w:p>
      <w:r>
        <w:t>──────────────────────────────────────────────────</w:t>
      </w:r>
    </w:p>
    <w:p/>
    <w:p>
      <w:pPr>
        <w:pStyle w:val="Heading3"/>
      </w:pPr>
      <w:r>
        <w:rPr>
          <w:rFonts w:ascii="Meiryo UI" w:hAnsi="Meiryo UI"/>
          <w:color w:val="2E74B5"/>
        </w:rPr>
        <w:t>手法②：PBR/ROE Justified Model（40%）— 本DR主軸</w:t>
      </w:r>
    </w:p>
    <w:p/>
    <w:p>
      <w:pPr>
        <w:pStyle w:val="ListBullet"/>
      </w:pPr>
      <w:r>
        <w:rPr>
          <w:rFonts w:ascii="Meiryo UI" w:hAnsi="Meiryo UI"/>
          <w:sz w:val="20"/>
        </w:rPr>
        <w:t>r = 6.0%（管理会社確認）、ROE目標 = 7.0%（中計下限、保守的採用）</w:t>
      </w:r>
    </w:p>
    <w:p>
      <w:pPr>
        <w:pStyle w:val="ListBullet"/>
      </w:pPr>
      <w:r>
        <w:rPr>
          <w:rFonts w:ascii="Meiryo UI" w:hAnsi="Meiryo UI"/>
          <w:sz w:val="20"/>
        </w:rPr>
        <w:t>Justified PBR = (7.0% − 2.5%) / (6.0% − 2.5%) = 1.286x</w:t>
      </w:r>
    </w:p>
    <w:p>
      <w:pPr>
        <w:pStyle w:val="ListBullet"/>
      </w:pPr>
      <w:r>
        <w:rPr>
          <w:rFonts w:ascii="Meiryo UI" w:hAnsi="Meiryo UI"/>
          <w:sz w:val="20"/>
        </w:rPr>
        <w:t>BPS FY27E推計：¥1,792 × (1 + 4.33% × 60%) = ¥1,838</w:t>
      </w:r>
    </w:p>
    <w:p>
      <w:pPr>
        <w:pStyle w:val="ListBullet"/>
      </w:pPr>
      <w:r>
        <w:rPr>
          <w:rFonts w:ascii="Meiryo UI" w:hAnsi="Meiryo UI"/>
          <w:sz w:val="20"/>
        </w:rPr>
        <w:t>FV = ¥1,838 × 1.286x = ¥2,364</w:t>
      </w:r>
    </w:p>
    <w:p>
      <w:pPr>
        <w:pStyle w:val="ListBullet"/>
      </w:pPr>
      <w:r>
        <w:rPr>
          <w:rFonts w:ascii="Meiryo UI" w:hAnsi="Meiryo UI"/>
          <w:sz w:val="20"/>
        </w:rPr>
        <w:t>目標下限（7%）を採用し、上限（8%）を感応度として保持</w:t>
      </w:r>
    </w:p>
    <w:p/>
    <w:p>
      <w:r>
        <w:t>──────────────────────────────────────────────────</w:t>
      </w:r>
    </w:p>
    <w:p/>
    <w:p>
      <w:pPr>
        <w:pStyle w:val="Heading3"/>
      </w:pPr>
      <w:r>
        <w:rPr>
          <w:rFonts w:ascii="Meiryo UI" w:hAnsi="Meiryo UI"/>
          <w:color w:val="2E74B5"/>
        </w:rPr>
        <w:t>手法③：PBR 1.0x回帰法（20%）</w:t>
      </w:r>
    </w:p>
    <w:p/>
    <w:p>
      <w:pPr>
        <w:pStyle w:val="ListBullet"/>
      </w:pPr>
      <w:r>
        <w:rPr>
          <w:rFonts w:ascii="Meiryo UI" w:hAnsi="Meiryo UI"/>
          <w:sz w:val="20"/>
        </w:rPr>
        <w:t>不動産含み益なし確認のため、保守的に純資産回帰を基準値として使用</w:t>
      </w:r>
    </w:p>
    <w:p>
      <w:pPr>
        <w:pStyle w:val="ListBullet"/>
      </w:pPr>
      <w:r>
        <w:rPr>
          <w:rFonts w:ascii="Meiryo UI" w:hAnsi="Meiryo UI"/>
          <w:sz w:val="20"/>
        </w:rPr>
        <w:t>BPS ¥1,792 × 1.0x = ¥1,792</w:t>
      </w:r>
    </w:p>
    <w:p/>
    <w:p>
      <w:r>
        <w:t>──────────────────────────────────────────────────</w:t>
      </w:r>
    </w:p>
    <w:p/>
    <w:p>
      <w:pPr>
        <w:pStyle w:val="Heading3"/>
      </w:pPr>
      <w:r>
        <w:rPr>
          <w:rFonts w:ascii="Meiryo UI" w:hAnsi="Meiryo UI"/>
          <w:color w:val="2E74B5"/>
        </w:rPr>
        <w:t>手法④：Two-Stage DDM（15%）</w:t>
      </w:r>
    </w:p>
    <w:p/>
    <w:p>
      <w:pPr>
        <w:pStyle w:val="ListBullet"/>
      </w:pPr>
      <w:r>
        <w:rPr>
          <w:rFonts w:ascii="Meiryo UI" w:hAnsi="Meiryo UI"/>
          <w:sz w:val="20"/>
        </w:rPr>
        <w:t>DPS ¥40（FY2026E）、Phase 1（3年）g=4%（累進配当コミット）、terminal g=2%</w:t>
      </w:r>
    </w:p>
    <w:p>
      <w:pPr>
        <w:pStyle w:val="ListBullet"/>
      </w:pPr>
      <w:r>
        <w:rPr>
          <w:rFonts w:ascii="Meiryo UI" w:hAnsi="Meiryo UI"/>
          <w:sz w:val="20"/>
        </w:rPr>
        <w:t>r = 6.0%</w:t>
      </w:r>
    </w:p>
    <w:p>
      <w:pPr>
        <w:pStyle w:val="ListBullet"/>
      </w:pPr>
      <w:r>
        <w:rPr>
          <w:rFonts w:ascii="Meiryo UI" w:hAnsi="Meiryo UI"/>
          <w:sz w:val="20"/>
        </w:rPr>
        <w:t>Phase 1 PV: ¥41.6/1.06 + ¥43.3/1.06² + ¥45.0/1.06³ = ¥39.2 + ¥38.5 + ¥37.8 = ¥115.5</w:t>
      </w:r>
    </w:p>
    <w:p>
      <w:pPr>
        <w:pStyle w:val="ListBullet"/>
      </w:pPr>
      <w:r>
        <w:rPr>
          <w:rFonts w:ascii="Meiryo UI" w:hAnsi="Meiryo UI"/>
          <w:sz w:val="20"/>
        </w:rPr>
        <w:t>Terminal: DPS Y4 = ¥45.9、TV = ¥45.9/(6%-2%) = ¥1,147.5、PV = ¥1,147.5/1.06³ = ¥963.0</w:t>
      </w:r>
    </w:p>
    <w:p>
      <w:pPr>
        <w:pStyle w:val="ListBullet"/>
      </w:pPr>
      <w:r>
        <w:rPr>
          <w:rFonts w:ascii="Meiryo UI" w:hAnsi="Meiryo UI"/>
          <w:sz w:val="20"/>
        </w:rPr>
        <w:t>FV（DDM）= ¥1,079</w:t>
      </w:r>
    </w:p>
    <w:p/>
    <w:p>
      <w:r>
        <w:t>──────────────────────────────────────────────────</w:t>
      </w:r>
    </w:p>
    <w:p/>
    <w:p>
      <w:pPr>
        <w:pStyle w:val="Heading3"/>
      </w:pPr>
      <w:r>
        <w:rPr>
          <w:rFonts w:ascii="Meiryo UI" w:hAnsi="Meiryo UI"/>
          <w:color w:val="2E74B5"/>
        </w:rPr>
        <w:t>FVブレンド</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手法</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ウェイト</w:t>
            </w:r>
          </w:p>
        </w:tc>
        <w:tc>
          <w:tcPr>
            <w:tcW w:type="dxa" w:w="1881"/>
            <w:shd w:val="clear" w:color="auto" w:fill="2E74B5"/>
          </w:tcPr>
          <w:p>
            <w:r>
              <w:rPr>
                <w:rFonts w:ascii="Meiryo UI" w:hAnsi="Meiryo UI"/>
                <w:b/>
                <w:color w:val="FFFFFF"/>
                <w:sz w:val="18"/>
              </w:rPr>
              <w:t>寄与</w:t>
            </w:r>
          </w:p>
        </w:tc>
        <w:tc>
          <w:tcPr>
            <w:tcW w:type="dxa" w:w="1881"/>
            <w:shd w:val="clear" w:color="auto" w:fill="2E74B5"/>
          </w:tcPr>
          <w:p>
            <w:r>
              <w:rPr>
                <w:rFonts w:ascii="Meiryo UI" w:hAnsi="Meiryo UI"/>
                <w:b/>
                <w:color w:val="FFFFFF"/>
                <w:sz w:val="18"/>
              </w:rPr>
              <w:t>Rev.1からの変化</w:t>
            </w:r>
          </w:p>
        </w:tc>
      </w:tr>
      <w:tr>
        <w:tc>
          <w:tcPr>
            <w:tcW w:type="dxa" w:w="1881"/>
          </w:tcPr>
          <w:p>
            <w:r>
              <w:rPr>
                <w:rFonts w:ascii="Meiryo UI" w:hAnsi="Meiryo UI"/>
                <w:sz w:val="18"/>
              </w:rPr>
              <w:t>①Forward P/E</w:t>
            </w:r>
          </w:p>
        </w:tc>
        <w:tc>
          <w:tcPr>
            <w:tcW w:type="dxa" w:w="1881"/>
          </w:tcPr>
          <w:p>
            <w:r>
              <w:rPr>
                <w:rFonts w:ascii="Meiryo UI" w:hAnsi="Meiryo UI"/>
                <w:sz w:val="18"/>
              </w:rPr>
              <w:t>¥1,698</w:t>
            </w:r>
          </w:p>
        </w:tc>
        <w:tc>
          <w:tcPr>
            <w:tcW w:type="dxa" w:w="1881"/>
          </w:tcPr>
          <w:p>
            <w:r>
              <w:rPr>
                <w:rFonts w:ascii="Meiryo UI" w:hAnsi="Meiryo UI"/>
                <w:sz w:val="18"/>
              </w:rPr>
              <w:t>25%</w:t>
            </w:r>
          </w:p>
        </w:tc>
        <w:tc>
          <w:tcPr>
            <w:tcW w:type="dxa" w:w="1881"/>
          </w:tcPr>
          <w:p>
            <w:r>
              <w:rPr>
                <w:rFonts w:ascii="Meiryo UI" w:hAnsi="Meiryo UI"/>
                <w:sz w:val="18"/>
              </w:rPr>
              <w:t>¥425</w:t>
            </w:r>
          </w:p>
        </w:tc>
        <w:tc>
          <w:tcPr>
            <w:tcW w:type="dxa" w:w="1881"/>
          </w:tcPr>
          <w:p>
            <w:r>
              <w:rPr>
                <w:rFonts w:ascii="Meiryo UI" w:hAnsi="Meiryo UI"/>
                <w:sz w:val="18"/>
              </w:rPr>
              <w:t>¥1,662→¥1,698（小幅調整）</w:t>
            </w:r>
          </w:p>
        </w:tc>
      </w:tr>
      <w:tr>
        <w:tc>
          <w:tcPr>
            <w:tcW w:type="dxa" w:w="1881"/>
            <w:shd w:val="clear" w:color="auto" w:fill="DDEBF7"/>
          </w:tcPr>
          <w:p>
            <w:r>
              <w:rPr>
                <w:rFonts w:ascii="Meiryo UI" w:hAnsi="Meiryo UI"/>
                <w:sz w:val="18"/>
              </w:rPr>
              <w:t>②PBR/ROE（r=6%確認）</w:t>
            </w:r>
          </w:p>
        </w:tc>
        <w:tc>
          <w:tcPr>
            <w:tcW w:type="dxa" w:w="1881"/>
            <w:shd w:val="clear" w:color="auto" w:fill="DDEBF7"/>
          </w:tcPr>
          <w:p>
            <w:r>
              <w:rPr>
                <w:rFonts w:ascii="Meiryo UI" w:hAnsi="Meiryo UI"/>
                <w:sz w:val="18"/>
              </w:rPr>
              <w:t>¥2,364</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¥946</w:t>
            </w:r>
          </w:p>
        </w:tc>
        <w:tc>
          <w:tcPr>
            <w:tcW w:type="dxa" w:w="1881"/>
            <w:shd w:val="clear" w:color="auto" w:fill="DDEBF7"/>
          </w:tcPr>
          <w:p>
            <w:r>
              <w:rPr>
                <w:rFonts w:ascii="Meiryo UI" w:hAnsi="Meiryo UI"/>
                <w:sz w:val="18"/>
              </w:rPr>
              <w:t>PBR回帰¥1,782→¥2,364（大幅引上げ）</w:t>
            </w:r>
          </w:p>
        </w:tc>
      </w:tr>
      <w:tr>
        <w:tc>
          <w:tcPr>
            <w:tcW w:type="dxa" w:w="1881"/>
          </w:tcPr>
          <w:p>
            <w:r>
              <w:rPr>
                <w:rFonts w:ascii="Meiryo UI" w:hAnsi="Meiryo UI"/>
                <w:sz w:val="18"/>
              </w:rPr>
              <w:t>③PBR 1.0x回帰</w:t>
            </w:r>
          </w:p>
        </w:tc>
        <w:tc>
          <w:tcPr>
            <w:tcW w:type="dxa" w:w="1881"/>
          </w:tcPr>
          <w:p>
            <w:r>
              <w:rPr>
                <w:rFonts w:ascii="Meiryo UI" w:hAnsi="Meiryo UI"/>
                <w:sz w:val="18"/>
              </w:rPr>
              <w:t>¥1,792</w:t>
            </w:r>
          </w:p>
        </w:tc>
        <w:tc>
          <w:tcPr>
            <w:tcW w:type="dxa" w:w="1881"/>
          </w:tcPr>
          <w:p>
            <w:r>
              <w:rPr>
                <w:rFonts w:ascii="Meiryo UI" w:hAnsi="Meiryo UI"/>
                <w:sz w:val="18"/>
              </w:rPr>
              <w:t>20%</w:t>
            </w:r>
          </w:p>
        </w:tc>
        <w:tc>
          <w:tcPr>
            <w:tcW w:type="dxa" w:w="1881"/>
          </w:tcPr>
          <w:p>
            <w:r>
              <w:rPr>
                <w:rFonts w:ascii="Meiryo UI" w:hAnsi="Meiryo UI"/>
                <w:sz w:val="18"/>
              </w:rPr>
              <w:t>¥358</w:t>
            </w:r>
          </w:p>
        </w:tc>
        <w:tc>
          <w:tcPr>
            <w:tcW w:type="dxa" w:w="1881"/>
          </w:tcPr>
          <w:p>
            <w:r>
              <w:rPr>
                <w:rFonts w:ascii="Meiryo UI" w:hAnsi="Meiryo UI"/>
                <w:sz w:val="18"/>
              </w:rPr>
              <w:t>¥1,782→¥1,792（小幅）</w:t>
            </w:r>
          </w:p>
        </w:tc>
      </w:tr>
      <w:tr>
        <w:tc>
          <w:tcPr>
            <w:tcW w:type="dxa" w:w="1881"/>
            <w:shd w:val="clear" w:color="auto" w:fill="DDEBF7"/>
          </w:tcPr>
          <w:p>
            <w:r>
              <w:rPr>
                <w:rFonts w:ascii="Meiryo UI" w:hAnsi="Meiryo UI"/>
                <w:sz w:val="18"/>
              </w:rPr>
              <w:t>④DDM</w:t>
            </w:r>
          </w:p>
        </w:tc>
        <w:tc>
          <w:tcPr>
            <w:tcW w:type="dxa" w:w="1881"/>
            <w:shd w:val="clear" w:color="auto" w:fill="DDEBF7"/>
          </w:tcPr>
          <w:p>
            <w:r>
              <w:rPr>
                <w:rFonts w:ascii="Meiryo UI" w:hAnsi="Meiryo UI"/>
                <w:sz w:val="18"/>
              </w:rPr>
              <w:t>¥1,079</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¥162</w:t>
            </w:r>
          </w:p>
        </w:tc>
        <w:tc>
          <w:tcPr>
            <w:tcW w:type="dxa" w:w="1881"/>
            <w:shd w:val="clear" w:color="auto" w:fill="DDEBF7"/>
          </w:tcPr>
          <w:p>
            <w:r>
              <w:rPr>
                <w:rFonts w:ascii="Meiryo UI" w:hAnsi="Meiryo UI"/>
                <w:sz w:val="18"/>
              </w:rPr>
              <w:t>新規算出</w:t>
            </w:r>
          </w:p>
        </w:tc>
      </w:tr>
      <w:tr>
        <w:tc>
          <w:tcPr>
            <w:tcW w:type="dxa" w:w="1881"/>
          </w:tcPr>
          <w:p>
            <w:r>
              <w:rPr>
                <w:rFonts w:ascii="Meiryo UI" w:hAnsi="Meiryo UI"/>
                <w:sz w:val="18"/>
              </w:rPr>
              <w:t>ブレンドFV</w:t>
            </w:r>
          </w:p>
        </w:tc>
        <w:tc>
          <w:tcPr>
            <w:tcW w:type="dxa" w:w="1881"/>
          </w:tcPr>
          <w:p>
            <w:r>
              <w:rPr>
                <w:rFonts w:ascii="Meiryo UI" w:hAnsi="Meiryo UI"/>
                <w:sz w:val="18"/>
              </w:rPr>
              <w:t>¥1,891</w:t>
            </w:r>
          </w:p>
        </w:tc>
        <w:tc>
          <w:tcPr>
            <w:tcW w:type="dxa" w:w="1881"/>
          </w:tcPr>
          <w:p>
            <w:r>
              <w:rPr>
                <w:rFonts w:ascii="Meiryo UI" w:hAnsi="Meiryo UI"/>
                <w:sz w:val="18"/>
              </w:rPr>
              <w:t>100%</w:t>
            </w:r>
          </w:p>
        </w:tc>
        <w:tc>
          <w:tcPr>
            <w:tcW w:type="dxa" w:w="1881"/>
          </w:tcPr>
          <w:p>
            <w:r>
              <w:rPr>
                <w:rFonts w:ascii="Meiryo UI" w:hAnsi="Meiryo UI"/>
                <w:sz w:val="18"/>
              </w:rPr>
              <w:t>—</w:t>
            </w:r>
          </w:p>
        </w:tc>
        <w:tc>
          <w:tcPr>
            <w:tcW w:type="dxa" w:w="1881"/>
          </w:tcPr>
          <w:p>
            <w:r>
              <w:rPr>
                <w:rFonts w:ascii="Meiryo UI" w:hAnsi="Meiryo UI"/>
                <w:sz w:val="18"/>
              </w:rPr>
              <w:t>¥1,800→¥1,900（+¥100）</w:t>
            </w:r>
          </w:p>
        </w:tc>
      </w:tr>
    </w:tbl>
    <w:p/>
    <w:p>
      <w:r>
        <w:rPr>
          <w:rFonts w:ascii="Meiryo UI" w:hAnsi="Meiryo UI"/>
          <w:sz w:val="20"/>
        </w:rPr>
        <w:t>採用FV：¥1,900</w:t>
      </w:r>
    </w:p>
    <w:p/>
    <w:p>
      <w:r>
        <w:t>──────────────────────────────────────────────────</w:t>
      </w:r>
    </w:p>
    <w:p/>
    <w:p>
      <w:pPr>
        <w:pStyle w:val="Heading2"/>
      </w:pPr>
      <w:r>
        <w:rPr>
          <w:rFonts w:ascii="Meiryo UI" w:hAnsi="Meiryo UI"/>
          <w:color w:val="2E74B5"/>
        </w:rPr>
        <w:t>シナリオ分析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主要根拠</w:t>
            </w:r>
          </w:p>
        </w:tc>
      </w:tr>
      <w:tr>
        <w:tc>
          <w:tcPr>
            <w:tcW w:type="dxa" w:w="2351"/>
          </w:tcPr>
          <w:p>
            <w:r>
              <w:rPr>
                <w:rFonts w:ascii="Meiryo UI" w:hAnsi="Meiryo UI"/>
                <w:sz w:val="18"/>
              </w:rPr>
              <w:t>Bear</w:t>
            </w:r>
          </w:p>
        </w:tc>
        <w:tc>
          <w:tcPr>
            <w:tcW w:type="dxa" w:w="2351"/>
          </w:tcPr>
          <w:p>
            <w:r>
              <w:rPr>
                <w:rFonts w:ascii="Meiryo UI" w:hAnsi="Meiryo UI"/>
                <w:sz w:val="18"/>
              </w:rPr>
              <w:t>20%</w:t>
            </w:r>
          </w:p>
        </w:tc>
        <w:tc>
          <w:tcPr>
            <w:tcW w:type="dxa" w:w="2351"/>
          </w:tcPr>
          <w:p>
            <w:r>
              <w:rPr>
                <w:rFonts w:ascii="Meiryo UI" w:hAnsi="Meiryo UI"/>
                <w:sz w:val="18"/>
              </w:rPr>
              <w:t>¥900</w:t>
            </w:r>
          </w:p>
        </w:tc>
        <w:tc>
          <w:tcPr>
            <w:tcW w:type="dxa" w:w="2351"/>
          </w:tcPr>
          <w:p>
            <w:r>
              <w:rPr>
                <w:rFonts w:ascii="Meiryo UI" w:hAnsi="Meiryo UI"/>
                <w:sz w:val="18"/>
              </w:rPr>
              <w:t>ROE改善停滞（4.33%維持）→ Justified PBR 0.52x。中東コスト継続でOPM悪化</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¥1,900</w:t>
            </w:r>
          </w:p>
        </w:tc>
        <w:tc>
          <w:tcPr>
            <w:tcW w:type="dxa" w:w="2351"/>
            <w:shd w:val="clear" w:color="auto" w:fill="DDEBF7"/>
          </w:tcPr>
          <w:p>
            <w:r>
              <w:rPr>
                <w:rFonts w:ascii="Meiryo UI" w:hAnsi="Meiryo UI"/>
                <w:sz w:val="18"/>
              </w:rPr>
              <w:t>ROE目標下限7%達成。OPM 6-7%定着。累進配当継続</w:t>
            </w:r>
          </w:p>
        </w:tc>
      </w:tr>
      <w:tr>
        <w:tc>
          <w:tcPr>
            <w:tcW w:type="dxa" w:w="2351"/>
          </w:tcPr>
          <w:p>
            <w:r>
              <w:rPr>
                <w:rFonts w:ascii="Meiryo UI" w:hAnsi="Meiryo UI"/>
                <w:sz w:val="18"/>
              </w:rPr>
              <w:t>Bull</w:t>
            </w:r>
          </w:p>
        </w:tc>
        <w:tc>
          <w:tcPr>
            <w:tcW w:type="dxa" w:w="2351"/>
          </w:tcPr>
          <w:p>
            <w:r>
              <w:rPr>
                <w:rFonts w:ascii="Meiryo UI" w:hAnsi="Meiryo UI"/>
                <w:sz w:val="18"/>
              </w:rPr>
              <w:t>25%</w:t>
            </w:r>
          </w:p>
        </w:tc>
        <w:tc>
          <w:tcPr>
            <w:tcW w:type="dxa" w:w="2351"/>
          </w:tcPr>
          <w:p>
            <w:r>
              <w:rPr>
                <w:rFonts w:ascii="Meiryo UI" w:hAnsi="Meiryo UI"/>
                <w:sz w:val="18"/>
              </w:rPr>
              <w:t>¥2,800</w:t>
            </w:r>
          </w:p>
        </w:tc>
        <w:tc>
          <w:tcPr>
            <w:tcW w:type="dxa" w:w="2351"/>
          </w:tcPr>
          <w:p>
            <w:r>
              <w:rPr>
                <w:rFonts w:ascii="Meiryo UI" w:hAnsi="Meiryo UI"/>
                <w:sz w:val="18"/>
              </w:rPr>
              <w:t>ROE 8%達成。自社株買い追加。OPM 7-8%水準超過でEPS¥120+</w:t>
            </w:r>
          </w:p>
        </w:tc>
      </w:tr>
      <w:tr>
        <w:tc>
          <w:tcPr>
            <w:tcW w:type="dxa" w:w="2351"/>
            <w:shd w:val="clear" w:color="auto" w:fill="DDEBF7"/>
          </w:tcPr>
          <w:p>
            <w:r>
              <w:rPr>
                <w:rFonts w:ascii="Meiryo UI" w:hAnsi="Meiryo UI"/>
                <w:sz w:val="18"/>
              </w:rPr>
              <w:t>加重平均</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¥1,900</w:t>
            </w:r>
          </w:p>
        </w:tc>
        <w:tc>
          <w:tcPr>
            <w:tcW w:type="dxa" w:w="2351"/>
            <w:shd w:val="clear" w:color="auto" w:fill="DDEBF7"/>
          </w:tcPr>
          <w:p>
            <w:r>
              <w:rPr>
                <w:rFonts w:ascii="Meiryo UI" w:hAnsi="Meiryo UI"/>
                <w:sz w:val="18"/>
              </w:rPr>
              <w:t>0.20×900 + 0.55×1,900 + 0.25×2,800 = ¥1,890</w:t>
            </w:r>
          </w:p>
        </w:tc>
      </w:tr>
    </w:tbl>
    <w:p/>
    <w:p>
      <w:r>
        <w:t>──────────────────────────────────────────────────</w:t>
      </w:r>
    </w:p>
    <w:p/>
    <w:p>
      <w:pPr>
        <w:pStyle w:val="Heading2"/>
      </w:pPr>
      <w:r>
        <w:rPr>
          <w:rFonts w:ascii="Meiryo UI" w:hAnsi="Meiryo UI"/>
          <w:color w:val="2E74B5"/>
        </w:rPr>
        <w:t>感応度Δ</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変数</w:t>
            </w:r>
          </w:p>
        </w:tc>
        <w:tc>
          <w:tcPr>
            <w:tcW w:type="dxa" w:w="2351"/>
            <w:shd w:val="clear" w:color="auto" w:fill="2E74B5"/>
          </w:tcPr>
          <w:p>
            <w:r>
              <w:rPr>
                <w:rFonts w:ascii="Meiryo UI" w:hAnsi="Meiryo UI"/>
                <w:b/>
                <w:color w:val="FFFFFF"/>
                <w:sz w:val="18"/>
              </w:rPr>
              <w:t>変化</w:t>
            </w:r>
          </w:p>
        </w:tc>
        <w:tc>
          <w:tcPr>
            <w:tcW w:type="dxa" w:w="2351"/>
            <w:shd w:val="clear" w:color="auto" w:fill="2E74B5"/>
          </w:tcPr>
          <w:p>
            <w:r>
              <w:rPr>
                <w:rFonts w:ascii="Meiryo UI" w:hAnsi="Meiryo UI"/>
                <w:b/>
                <w:color w:val="FFFFFF"/>
                <w:sz w:val="18"/>
              </w:rPr>
              <w:t>FV変化</w:t>
            </w:r>
          </w:p>
        </w:tc>
        <w:tc>
          <w:tcPr>
            <w:tcW w:type="dxa" w:w="2351"/>
            <w:shd w:val="clear" w:color="auto" w:fill="2E74B5"/>
          </w:tcPr>
          <w:p>
            <w:r>
              <w:rPr>
                <w:rFonts w:ascii="Meiryo UI" w:hAnsi="Meiryo UI"/>
                <w:b/>
                <w:color w:val="FFFFFF"/>
                <w:sz w:val="18"/>
              </w:rPr>
              <w:t>Delta</w:t>
            </w:r>
          </w:p>
        </w:tc>
      </w:tr>
      <w:tr>
        <w:tc>
          <w:tcPr>
            <w:tcW w:type="dxa" w:w="2351"/>
          </w:tcPr>
          <w:p>
            <w:r>
              <w:rPr>
                <w:rFonts w:ascii="Meiryo UI" w:hAnsi="Meiryo UI"/>
                <w:sz w:val="18"/>
              </w:rPr>
              <w:t>ROE</w:t>
            </w:r>
          </w:p>
        </w:tc>
        <w:tc>
          <w:tcPr>
            <w:tcW w:type="dxa" w:w="2351"/>
          </w:tcPr>
          <w:p>
            <w:r>
              <w:rPr>
                <w:rFonts w:ascii="Meiryo UI" w:hAnsi="Meiryo UI"/>
                <w:sz w:val="18"/>
              </w:rPr>
              <w:t>+1%（7%→8%）</w:t>
            </w:r>
          </w:p>
        </w:tc>
        <w:tc>
          <w:tcPr>
            <w:tcW w:type="dxa" w:w="2351"/>
          </w:tcPr>
          <w:p>
            <w:r>
              <w:rPr>
                <w:rFonts w:ascii="Meiryo UI" w:hAnsi="Meiryo UI"/>
                <w:sz w:val="18"/>
              </w:rPr>
              <w:t>+¥263</w:t>
            </w:r>
          </w:p>
        </w:tc>
        <w:tc>
          <w:tcPr>
            <w:tcW w:type="dxa" w:w="2351"/>
          </w:tcPr>
          <w:p>
            <w:r>
              <w:rPr>
                <w:rFonts w:ascii="Meiryo UI" w:hAnsi="Meiryo UI"/>
                <w:sz w:val="18"/>
              </w:rPr>
              <w:t>+13.8%</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▲2%（7%→5%）</w:t>
            </w:r>
          </w:p>
        </w:tc>
        <w:tc>
          <w:tcPr>
            <w:tcW w:type="dxa" w:w="2351"/>
            <w:shd w:val="clear" w:color="auto" w:fill="DDEBF7"/>
          </w:tcPr>
          <w:p>
            <w:r>
              <w:rPr>
                <w:rFonts w:ascii="Meiryo UI" w:hAnsi="Meiryo UI"/>
                <w:sz w:val="18"/>
              </w:rPr>
              <w:t>▲¥684</w:t>
            </w:r>
          </w:p>
        </w:tc>
        <w:tc>
          <w:tcPr>
            <w:tcW w:type="dxa" w:w="2351"/>
            <w:shd w:val="clear" w:color="auto" w:fill="DDEBF7"/>
          </w:tcPr>
          <w:p>
            <w:r>
              <w:rPr>
                <w:rFonts w:ascii="Meiryo UI" w:hAnsi="Meiryo UI"/>
                <w:sz w:val="18"/>
              </w:rPr>
              <w:t>▲36.0%（SELL転換）</w:t>
            </w:r>
          </w:p>
        </w:tc>
      </w:tr>
      <w:tr>
        <w:tc>
          <w:tcPr>
            <w:tcW w:type="dxa" w:w="2351"/>
          </w:tcPr>
          <w:p>
            <w:r>
              <w:rPr>
                <w:rFonts w:ascii="Meiryo UI" w:hAnsi="Meiryo UI"/>
                <w:sz w:val="18"/>
              </w:rPr>
              <w:t>r（CAPM）</w:t>
            </w:r>
          </w:p>
        </w:tc>
        <w:tc>
          <w:tcPr>
            <w:tcW w:type="dxa" w:w="2351"/>
          </w:tcPr>
          <w:p>
            <w:r>
              <w:rPr>
                <w:rFonts w:ascii="Meiryo UI" w:hAnsi="Meiryo UI"/>
                <w:sz w:val="18"/>
              </w:rPr>
              <w:t>+0.5%（6.0→6.5%）</w:t>
            </w:r>
          </w:p>
        </w:tc>
        <w:tc>
          <w:tcPr>
            <w:tcW w:type="dxa" w:w="2351"/>
          </w:tcPr>
          <w:p>
            <w:r>
              <w:rPr>
                <w:rFonts w:ascii="Meiryo UI" w:hAnsi="Meiryo UI"/>
                <w:sz w:val="18"/>
              </w:rPr>
              <w:t>▲¥186</w:t>
            </w:r>
          </w:p>
        </w:tc>
        <w:tc>
          <w:tcPr>
            <w:tcW w:type="dxa" w:w="2351"/>
          </w:tcPr>
          <w:p>
            <w:r>
              <w:rPr>
                <w:rFonts w:ascii="Meiryo UI" w:hAnsi="Meiryo UI"/>
                <w:sz w:val="18"/>
              </w:rPr>
              <w:t>▲9.8%</w:t>
            </w:r>
          </w:p>
        </w:tc>
      </w:tr>
      <w:tr>
        <w:tc>
          <w:tcPr>
            <w:tcW w:type="dxa" w:w="2351"/>
            <w:shd w:val="clear" w:color="auto" w:fill="DDEBF7"/>
          </w:tcPr>
          <w:p>
            <w:r>
              <w:rPr>
                <w:rFonts w:ascii="Meiryo UI" w:hAnsi="Meiryo UI"/>
                <w:sz w:val="18"/>
              </w:rPr>
              <w:t>4Q経常</w:t>
            </w:r>
          </w:p>
        </w:tc>
        <w:tc>
          <w:tcPr>
            <w:tcW w:type="dxa" w:w="2351"/>
            <w:shd w:val="clear" w:color="auto" w:fill="DDEBF7"/>
          </w:tcPr>
          <w:p>
            <w:r>
              <w:rPr>
                <w:rFonts w:ascii="Meiryo UI" w:hAnsi="Meiryo UI"/>
                <w:sz w:val="18"/>
              </w:rPr>
              <w:t>+¥200M追加上振れ</w:t>
            </w:r>
          </w:p>
        </w:tc>
        <w:tc>
          <w:tcPr>
            <w:tcW w:type="dxa" w:w="2351"/>
            <w:shd w:val="clear" w:color="auto" w:fill="DDEBF7"/>
          </w:tcPr>
          <w:p>
            <w:r>
              <w:rPr>
                <w:rFonts w:ascii="Meiryo UI" w:hAnsi="Meiryo UI"/>
                <w:sz w:val="18"/>
              </w:rPr>
              <w:t>+¥45</w:t>
            </w:r>
          </w:p>
        </w:tc>
        <w:tc>
          <w:tcPr>
            <w:tcW w:type="dxa" w:w="2351"/>
            <w:shd w:val="clear" w:color="auto" w:fill="DDEBF7"/>
          </w:tcPr>
          <w:p>
            <w:r>
              <w:rPr>
                <w:rFonts w:ascii="Meiryo UI" w:hAnsi="Meiryo UI"/>
                <w:sz w:val="18"/>
              </w:rPr>
              <w:t>+2.4%（短期）</w:t>
            </w:r>
          </w:p>
        </w:tc>
      </w:tr>
      <w:tr>
        <w:tc>
          <w:tcPr>
            <w:tcW w:type="dxa" w:w="2351"/>
          </w:tcPr>
          <w:p>
            <w:r>
              <w:rPr>
                <w:rFonts w:ascii="Meiryo UI" w:hAnsi="Meiryo UI"/>
                <w:sz w:val="18"/>
              </w:rPr>
              <w:t>OPM通期</w:t>
            </w:r>
          </w:p>
        </w:tc>
        <w:tc>
          <w:tcPr>
            <w:tcW w:type="dxa" w:w="2351"/>
          </w:tcPr>
          <w:p>
            <w:r>
              <w:rPr>
                <w:rFonts w:ascii="Meiryo UI" w:hAnsi="Meiryo UI"/>
                <w:sz w:val="18"/>
              </w:rPr>
              <w:t>+1%（6.4→7.4%）</w:t>
            </w:r>
          </w:p>
        </w:tc>
        <w:tc>
          <w:tcPr>
            <w:tcW w:type="dxa" w:w="2351"/>
          </w:tcPr>
          <w:p>
            <w:r>
              <w:rPr>
                <w:rFonts w:ascii="Meiryo UI" w:hAnsi="Meiryo UI"/>
                <w:sz w:val="18"/>
              </w:rPr>
              <w:t>+¥200</w:t>
            </w:r>
          </w:p>
        </w:tc>
        <w:tc>
          <w:tcPr>
            <w:tcW w:type="dxa" w:w="2351"/>
          </w:tcPr>
          <w:p>
            <w:r>
              <w:rPr>
                <w:rFonts w:ascii="Meiryo UI" w:hAnsi="Meiryo UI"/>
                <w:sz w:val="18"/>
              </w:rPr>
              <w:t>+10.5%（FY27E）</w:t>
            </w:r>
          </w:p>
        </w:tc>
      </w:tr>
    </w:tbl>
    <w:p/>
    <w:p>
      <w:r>
        <w:rPr>
          <w:rFonts w:ascii="Meiryo UI" w:hAnsi="Meiryo UI"/>
          <w:sz w:val="20"/>
        </w:rPr>
        <w:t>最大感応度：ROE改善の有無がFVを±¥700前後変動させる。</w:t>
      </w:r>
    </w:p>
    <w:p/>
    <w:p>
      <w:r>
        <w:t>──────────────────────────────────────────────────</w:t>
      </w:r>
    </w:p>
    <w:p/>
    <w:p>
      <w:pPr>
        <w:pStyle w:val="Heading2"/>
      </w:pPr>
      <w:r>
        <w:rPr>
          <w:rFonts w:ascii="Meiryo UI" w:hAnsi="Meiryo UI"/>
          <w:color w:val="2E74B5"/>
        </w:rPr>
        <w:t>リスクシナリオ定量</w:t>
      </w:r>
    </w:p>
    <w:p/>
    <w:p>
      <w:pPr>
        <w:pStyle w:val="Heading3"/>
      </w:pPr>
      <w:r>
        <w:rPr>
          <w:rFonts w:ascii="Meiryo UI" w:hAnsi="Meiryo UI"/>
          <w:color w:val="2E74B5"/>
        </w:rPr>
        <w:t>リスク①：ROE改善の遅延（最大リスク）</w:t>
      </w:r>
    </w:p>
    <w:p>
      <w:pPr>
        <w:pStyle w:val="ListBullet"/>
      </w:pPr>
      <w:r>
        <w:rPr>
          <w:rFonts w:ascii="Meiryo UI" w:hAnsi="Meiryo UI"/>
          <w:sz w:val="20"/>
        </w:rPr>
        <w:t>現状：ROE 4.33% &lt; CAPM 6.0% = 価値破壊中</w:t>
      </w:r>
    </w:p>
    <w:p>
      <w:pPr>
        <w:pStyle w:val="ListBullet"/>
      </w:pPr>
      <w:r>
        <w:rPr>
          <w:rFonts w:ascii="Meiryo UI" w:hAnsi="Meiryo UI"/>
          <w:sz w:val="20"/>
        </w:rPr>
        <w:t>遅延シナリオ：OPM 6-7%は達成するがROE 5%止まり（自己資本高水準のため）</w:t>
      </w:r>
    </w:p>
    <w:p>
      <w:pPr>
        <w:pStyle w:val="ListBullet"/>
      </w:pPr>
      <w:r>
        <w:rPr>
          <w:rFonts w:ascii="Meiryo UI" w:hAnsi="Meiryo UI"/>
          <w:sz w:val="20"/>
        </w:rPr>
        <w:t>Justified PBR = (5%-2.5%)/(6%-2.5%) = 0.714x</w:t>
      </w:r>
    </w:p>
    <w:p>
      <w:pPr>
        <w:pStyle w:val="ListBullet"/>
      </w:pPr>
      <w:r>
        <w:rPr>
          <w:rFonts w:ascii="Meiryo UI" w:hAnsi="Meiryo UI"/>
          <w:sz w:val="20"/>
        </w:rPr>
        <w:t>FV = ¥1,279 → 現値¥1,315に対してほぼFAIR（小幅ダウンサイド）</w:t>
      </w:r>
    </w:p>
    <w:p>
      <w:pPr>
        <w:pStyle w:val="ListBullet"/>
      </w:pPr>
      <w:r>
        <w:rPr>
          <w:rFonts w:ascii="Meiryo UI" w:hAnsi="Meiryo UI"/>
          <w:sz w:val="20"/>
        </w:rPr>
        <w:t>解決策：自社株買い（ROE分母の自己資本圧縮）が最も効果的。中計で「株主還元¥50億以上（概ね達成）」は既存政策の延長。追加買入れ発表があればROE5%→7%が実現可能</w:t>
      </w:r>
    </w:p>
    <w:p/>
    <w:p>
      <w:pPr>
        <w:pStyle w:val="Heading3"/>
      </w:pPr>
      <w:r>
        <w:rPr>
          <w:rFonts w:ascii="Meiryo UI" w:hAnsi="Meiryo UI"/>
          <w:color w:val="2E74B5"/>
        </w:rPr>
        <w:t>リスク②：中東コスト前倒し → FY27初期の費用負担</w:t>
      </w:r>
    </w:p>
    <w:p>
      <w:pPr>
        <w:pStyle w:val="ListBullet"/>
      </w:pPr>
      <w:r>
        <w:rPr>
          <w:rFonts w:ascii="Meiryo UI" w:hAnsi="Meiryo UI"/>
          <w:sz w:val="20"/>
        </w:rPr>
        <w:t>Q3回答で「中東情勢を踏まえ来期費用の一部前倒し」と明示</w:t>
      </w:r>
    </w:p>
    <w:p>
      <w:pPr>
        <w:pStyle w:val="ListBullet"/>
      </w:pPr>
      <w:r>
        <w:rPr>
          <w:rFonts w:ascii="Meiryo UI" w:hAnsi="Meiryo UI"/>
          <w:sz w:val="20"/>
        </w:rPr>
        <w:t>ホルムズ継続 → FY27にも同程度の費用が発生する可能性</w:t>
      </w:r>
    </w:p>
    <w:p>
      <w:pPr>
        <w:pStyle w:val="ListBullet"/>
      </w:pPr>
      <w:r>
        <w:rPr>
          <w:rFonts w:ascii="Meiryo UI" w:hAnsi="Meiryo UI"/>
          <w:sz w:val="20"/>
        </w:rPr>
        <w:t>FY2027への影響：OPM 0.5〜1pt押し下げリスク</w:t>
      </w:r>
    </w:p>
    <w:p>
      <w:pPr>
        <w:pStyle w:val="ListBullet"/>
      </w:pPr>
      <w:r>
        <w:rPr>
          <w:rFonts w:ascii="Meiryo UI" w:hAnsi="Meiryo UI"/>
          <w:sz w:val="20"/>
        </w:rPr>
        <w:t>BUY判断維持（ROE目標7%は維持可能）</w:t>
      </w:r>
    </w:p>
    <w:p/>
    <w:p>
      <w:pPr>
        <w:pStyle w:val="Heading3"/>
      </w:pPr>
      <w:r>
        <w:rPr>
          <w:rFonts w:ascii="Meiryo UI" w:hAnsi="Meiryo UI"/>
          <w:color w:val="2E74B5"/>
        </w:rPr>
        <w:t>リスク③（消滅）：薬価改定 → IRで「軽微」と確認済みのため削除</w:t>
      </w:r>
    </w:p>
    <w:p/>
    <w:p>
      <w:r>
        <w:t>──────────────────────────────────────────────────</w:t>
      </w:r>
    </w:p>
    <w:p/>
    <w:p>
      <w:pPr>
        <w:pStyle w:val="Heading2"/>
      </w:pPr>
      <w:r>
        <w:rPr>
          <w:rFonts w:ascii="Meiryo UI" w:hAnsi="Meiryo UI"/>
          <w:color w:val="2E74B5"/>
        </w:rPr>
        <w:t>不動産含み益（プロトコル確認）</w:t>
      </w:r>
    </w:p>
    <w:p/>
    <w:p>
      <w:r>
        <w:rPr>
          <w:rFonts w:ascii="Meiryo UI" w:hAnsi="Meiryo UI"/>
          <w:sz w:val="20"/>
        </w:rPr>
        <w:t>IR確認：「含み損益についてはほとんどございません」</w:t>
      </w:r>
    </w:p>
    <w:p>
      <w:r>
        <w:rPr>
          <w:rFonts w:ascii="Meiryo UI" w:hAnsi="Meiryo UI"/>
          <w:sz w:val="20"/>
        </w:rPr>
        <w:t>→ 含み益カタリストは消滅。ただし「遊休不動産の売却・賃貸等を検討中」との回答あり。小規模特別利益（数億円程度）の計上は将来的に可能性あり。</w:t>
      </w:r>
    </w:p>
    <w:p/>
    <w:p>
      <w:r>
        <w:t>──────────────────────────────────────────────────</w:t>
      </w:r>
    </w:p>
    <w:p/>
    <w:p>
      <w:pPr>
        <w:pStyle w:val="Heading2"/>
      </w:pPr>
      <w:r>
        <w:rPr>
          <w:rFonts w:ascii="Meiryo UI" w:hAnsi="Meiryo UI"/>
          <w:color w:val="2E74B5"/>
        </w:rPr>
        <w:t>浅井スコア更新（+91、+3pt）</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変更理由</w:t>
            </w:r>
          </w:p>
        </w:tc>
      </w:tr>
      <w:tr>
        <w:tc>
          <w:tcPr>
            <w:tcW w:type="dxa" w:w="3135"/>
          </w:tcPr>
          <w:p>
            <w:r>
              <w:rPr>
                <w:rFonts w:ascii="Meiryo UI" w:hAnsi="Meiryo UI"/>
                <w:sz w:val="18"/>
              </w:rPr>
              <w:t>ファンダメンタルズ</w:t>
            </w:r>
          </w:p>
        </w:tc>
        <w:tc>
          <w:tcPr>
            <w:tcW w:type="dxa" w:w="3135"/>
          </w:tcPr>
          <w:p>
            <w:r>
              <w:rPr>
                <w:rFonts w:ascii="Meiryo UI" w:hAnsi="Meiryo UI"/>
                <w:sz w:val="18"/>
              </w:rPr>
              <w:t>+30</w:t>
            </w:r>
          </w:p>
        </w:tc>
        <w:tc>
          <w:tcPr>
            <w:tcW w:type="dxa" w:w="3135"/>
          </w:tcPr>
          <w:p>
            <w:r>
              <w:rPr>
                <w:rFonts w:ascii="Meiryo UI" w:hAnsi="Meiryo UI"/>
                <w:sz w:val="18"/>
              </w:rPr>
              <w:t>4Q保守的確認済み。薬価リスク消滅で+維持</w:t>
            </w:r>
          </w:p>
        </w:tc>
      </w:tr>
      <w:tr>
        <w:tc>
          <w:tcPr>
            <w:tcW w:type="dxa" w:w="3135"/>
            <w:shd w:val="clear" w:color="auto" w:fill="DDEBF7"/>
          </w:tcPr>
          <w:p>
            <w:r>
              <w:rPr>
                <w:rFonts w:ascii="Meiryo UI" w:hAnsi="Meiryo UI"/>
                <w:sz w:val="18"/>
              </w:rPr>
              <w:t>バリュエーション</w:t>
            </w:r>
          </w:p>
        </w:tc>
        <w:tc>
          <w:tcPr>
            <w:tcW w:type="dxa" w:w="3135"/>
            <w:shd w:val="clear" w:color="auto" w:fill="DDEBF7"/>
          </w:tcPr>
          <w:p>
            <w:r>
              <w:rPr>
                <w:rFonts w:ascii="Meiryo UI" w:hAnsi="Meiryo UI"/>
                <w:sz w:val="18"/>
              </w:rPr>
              <w:t>+28</w:t>
            </w:r>
          </w:p>
        </w:tc>
        <w:tc>
          <w:tcPr>
            <w:tcW w:type="dxa" w:w="3135"/>
            <w:shd w:val="clear" w:color="auto" w:fill="DDEBF7"/>
          </w:tcPr>
          <w:p>
            <w:r>
              <w:rPr>
                <w:rFonts w:ascii="Meiryo UI" w:hAnsi="Meiryo UI"/>
                <w:sz w:val="18"/>
              </w:rPr>
              <w:t>+3pt: r=6%確認+ROE7-8%目標確認でJustified PBR算定精度向上</w:t>
            </w:r>
          </w:p>
        </w:tc>
      </w:tr>
      <w:tr>
        <w:tc>
          <w:tcPr>
            <w:tcW w:type="dxa" w:w="3135"/>
          </w:tcPr>
          <w:p>
            <w:r>
              <w:rPr>
                <w:rFonts w:ascii="Meiryo UI" w:hAnsi="Meiryo UI"/>
                <w:sz w:val="18"/>
              </w:rPr>
              <w:t>財務健全性</w:t>
            </w:r>
          </w:p>
        </w:tc>
        <w:tc>
          <w:tcPr>
            <w:tcW w:type="dxa" w:w="3135"/>
          </w:tcPr>
          <w:p>
            <w:r>
              <w:rPr>
                <w:rFonts w:ascii="Meiryo UI" w:hAnsi="Meiryo UI"/>
                <w:sz w:val="18"/>
              </w:rPr>
              <w:t>+20</w:t>
            </w:r>
          </w:p>
        </w:tc>
        <w:tc>
          <w:tcPr>
            <w:tcW w:type="dxa" w:w="3135"/>
          </w:tcPr>
          <w:p>
            <w:r>
              <w:rPr>
                <w:rFonts w:ascii="Meiryo UI" w:hAnsi="Meiryo UI"/>
                <w:sz w:val="18"/>
              </w:rPr>
              <w:t>累進配当コミット確認。自己資本比率69.7%維持</w:t>
            </w:r>
          </w:p>
        </w:tc>
      </w:tr>
      <w:tr>
        <w:tc>
          <w:tcPr>
            <w:tcW w:type="dxa" w:w="3135"/>
            <w:shd w:val="clear" w:color="auto" w:fill="DDEBF7"/>
          </w:tcPr>
          <w:p>
            <w:r>
              <w:rPr>
                <w:rFonts w:ascii="Meiryo UI" w:hAnsi="Meiryo UI"/>
                <w:sz w:val="18"/>
              </w:rPr>
              <w:t>歪み（ミスプライシング）</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RSI=21 極度過売り圏。上方修正後さらに▲6.3%</w:t>
            </w:r>
          </w:p>
        </w:tc>
      </w:tr>
      <w:tr>
        <w:tc>
          <w:tcPr>
            <w:tcW w:type="dxa" w:w="3135"/>
          </w:tcPr>
          <w:p>
            <w:r>
              <w:rPr>
                <w:rFonts w:ascii="Meiryo UI" w:hAnsi="Meiryo UI"/>
                <w:sz w:val="18"/>
              </w:rPr>
              <w:t>リスク控除</w:t>
            </w:r>
          </w:p>
        </w:tc>
        <w:tc>
          <w:tcPr>
            <w:tcW w:type="dxa" w:w="3135"/>
          </w:tcPr>
          <w:p>
            <w:r>
              <w:rPr>
                <w:rFonts w:ascii="Meiryo UI" w:hAnsi="Meiryo UI"/>
                <w:sz w:val="18"/>
              </w:rPr>
              <w:t>▲2</w:t>
            </w:r>
          </w:p>
        </w:tc>
        <w:tc>
          <w:tcPr>
            <w:tcW w:type="dxa" w:w="3135"/>
          </w:tcPr>
          <w:p>
            <w:r>
              <w:rPr>
                <w:rFonts w:ascii="Meiryo UI" w:hAnsi="Meiryo UI"/>
                <w:sz w:val="18"/>
              </w:rPr>
              <w:t>ROE改善確認待ち（現ROE&lt;CAPM = 条件付きBUY）</w:t>
            </w:r>
          </w:p>
        </w:tc>
      </w:tr>
      <w:tr>
        <w:tc>
          <w:tcPr>
            <w:tcW w:type="dxa" w:w="3135"/>
            <w:shd w:val="clear" w:color="auto" w:fill="DDEBF7"/>
          </w:tcPr>
          <w:p>
            <w:r>
              <w:rPr>
                <w:rFonts w:ascii="Meiryo UI" w:hAnsi="Meiryo UI"/>
                <w:sz w:val="18"/>
              </w:rPr>
              <w:t>合計</w:t>
            </w:r>
          </w:p>
        </w:tc>
        <w:tc>
          <w:tcPr>
            <w:tcW w:type="dxa" w:w="3135"/>
            <w:shd w:val="clear" w:color="auto" w:fill="DDEBF7"/>
          </w:tcPr>
          <w:p>
            <w:r>
              <w:rPr>
                <w:rFonts w:ascii="Meiryo UI" w:hAnsi="Meiryo UI"/>
                <w:sz w:val="18"/>
              </w:rPr>
              <w:t>+91</w:t>
            </w:r>
          </w:p>
        </w:tc>
        <w:tc>
          <w:tcPr>
            <w:tcW w:type="dxa" w:w="3135"/>
            <w:shd w:val="clear" w:color="auto" w:fill="DDEBF7"/>
          </w:tcPr>
          <w:p>
            <w:r>
              <w:rPr>
                <w:rFonts w:ascii="Meiryo UI" w:hAnsi="Meiryo UI"/>
                <w:sz w:val="18"/>
              </w:rPr>
              <w:t>BUY</w:t>
            </w:r>
          </w:p>
        </w:tc>
      </w:tr>
    </w:tbl>
    <w:p/>
    <w:p>
      <w:r>
        <w:t>──────────────────────────────────────────────────</w:t>
      </w:r>
    </w:p>
    <w:p/>
    <w:p>
      <w:pPr>
        <w:pStyle w:val="Heading2"/>
      </w:pPr>
      <w:r>
        <w:rPr>
          <w:rFonts w:ascii="Meiryo UI" w:hAnsi="Meiryo UI"/>
          <w:color w:val="2E74B5"/>
        </w:rPr>
        <w:t>投資判断まとめ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FV</w:t>
            </w:r>
          </w:p>
        </w:tc>
        <w:tc>
          <w:tcPr>
            <w:tcW w:type="dxa" w:w="4703"/>
            <w:shd w:val="clear" w:color="auto" w:fill="DDEBF7"/>
          </w:tcPr>
          <w:p>
            <w:r>
              <w:rPr>
                <w:rFonts w:ascii="Meiryo UI" w:hAnsi="Meiryo UI"/>
                <w:sz w:val="18"/>
              </w:rPr>
              <w:t>¥1,900</w:t>
            </w:r>
          </w:p>
        </w:tc>
      </w:tr>
      <w:tr>
        <w:tc>
          <w:tcPr>
            <w:tcW w:type="dxa" w:w="4703"/>
          </w:tcPr>
          <w:p>
            <w:r>
              <w:rPr>
                <w:rFonts w:ascii="Meiryo UI" w:hAnsi="Meiryo UI"/>
                <w:sz w:val="18"/>
              </w:rPr>
              <w:t>現在株価</w:t>
            </w:r>
          </w:p>
        </w:tc>
        <w:tc>
          <w:tcPr>
            <w:tcW w:type="dxa" w:w="4703"/>
          </w:tcPr>
          <w:p>
            <w:r>
              <w:rPr>
                <w:rFonts w:ascii="Meiryo UI" w:hAnsi="Meiryo UI"/>
                <w:sz w:val="18"/>
              </w:rPr>
              <w:t>¥1,315</w:t>
            </w:r>
          </w:p>
        </w:tc>
      </w:tr>
      <w:tr>
        <w:tc>
          <w:tcPr>
            <w:tcW w:type="dxa" w:w="4703"/>
            <w:shd w:val="clear" w:color="auto" w:fill="DDEBF7"/>
          </w:tcPr>
          <w:p>
            <w:r>
              <w:rPr>
                <w:rFonts w:ascii="Meiryo UI" w:hAnsi="Meiryo UI"/>
                <w:sz w:val="18"/>
              </w:rPr>
              <w:t>Upside</w:t>
            </w:r>
          </w:p>
        </w:tc>
        <w:tc>
          <w:tcPr>
            <w:tcW w:type="dxa" w:w="4703"/>
            <w:shd w:val="clear" w:color="auto" w:fill="DDEBF7"/>
          </w:tcPr>
          <w:p>
            <w:r>
              <w:rPr>
                <w:rFonts w:ascii="Meiryo UI" w:hAnsi="Meiryo UI"/>
                <w:sz w:val="18"/>
              </w:rPr>
              <w:t>+44.5%</w:t>
            </w:r>
          </w:p>
        </w:tc>
      </w:tr>
      <w:tr>
        <w:tc>
          <w:tcPr>
            <w:tcW w:type="dxa" w:w="4703"/>
          </w:tcPr>
          <w:p>
            <w:r>
              <w:rPr>
                <w:rFonts w:ascii="Meiryo UI" w:hAnsi="Meiryo UI"/>
                <w:sz w:val="18"/>
              </w:rPr>
              <w:t>条件付き強化トリガー</w:t>
            </w:r>
          </w:p>
        </w:tc>
        <w:tc>
          <w:tcPr>
            <w:tcW w:type="dxa" w:w="4703"/>
          </w:tcPr>
          <w:p>
            <w:r>
              <w:rPr>
                <w:rFonts w:ascii="Meiryo UI" w:hAnsi="Meiryo UI"/>
                <w:sz w:val="18"/>
              </w:rPr>
              <w:t>ROE 7%達成確認でスコア+95・FV¥2,300へ引上げ</w:t>
            </w:r>
          </w:p>
        </w:tc>
      </w:tr>
      <w:tr>
        <w:tc>
          <w:tcPr>
            <w:tcW w:type="dxa" w:w="4703"/>
            <w:shd w:val="clear" w:color="auto" w:fill="DDEBF7"/>
          </w:tcPr>
          <w:p>
            <w:r>
              <w:rPr>
                <w:rFonts w:ascii="Meiryo UI" w:hAnsi="Meiryo UI"/>
                <w:sz w:val="18"/>
              </w:rPr>
              <w:t>SL</w:t>
            </w:r>
          </w:p>
        </w:tc>
        <w:tc>
          <w:tcPr>
            <w:tcW w:type="dxa" w:w="4703"/>
            <w:shd w:val="clear" w:color="auto" w:fill="DDEBF7"/>
          </w:tcPr>
          <w:p>
            <w:r>
              <w:rPr>
                <w:rFonts w:ascii="Meiryo UI" w:hAnsi="Meiryo UI"/>
                <w:sz w:val="18"/>
              </w:rPr>
              <w:t>¥1,100（ROE改善断念確認時）</w:t>
            </w:r>
          </w:p>
        </w:tc>
      </w:tr>
      <w:tr>
        <w:tc>
          <w:tcPr>
            <w:tcW w:type="dxa" w:w="4703"/>
          </w:tcPr>
          <w:p>
            <w:r>
              <w:rPr>
                <w:rFonts w:ascii="Meiryo UI" w:hAnsi="Meiryo UI"/>
                <w:sz w:val="18"/>
              </w:rPr>
              <w:t>カタリスト</w:t>
            </w:r>
          </w:p>
        </w:tc>
        <w:tc>
          <w:tcPr>
            <w:tcW w:type="dxa" w:w="4703"/>
          </w:tcPr>
          <w:p>
            <w:r>
              <w:rPr>
                <w:rFonts w:ascii="Meiryo UI" w:hAnsi="Meiryo UI"/>
                <w:sz w:val="18"/>
              </w:rPr>
              <w:t>①FY2026/05 通期決算（7月）ROE確認 ②自社株買い追加発表 ③下奥井工場稼働再開 ④FY27中計進捗確認</w:t>
            </w:r>
          </w:p>
        </w:tc>
      </w:tr>
    </w:tbl>
    <w:p/>
    <w:p>
      <w:r>
        <w:t>──────────────────────────────────────────────────</w:t>
      </w:r>
    </w:p>
    <w:p/>
    <w:p>
      <w:pPr>
        <w:pStyle w:val="Heading2"/>
      </w:pPr>
      <w:r>
        <w:rPr>
          <w:rFonts w:ascii="Meiryo UI" w:hAnsi="Meiryo UI"/>
          <w:color w:val="2E74B5"/>
        </w:rPr>
        <w:t>追加IR質問（Rev.2 フォローアップ）</w:t>
      </w:r>
    </w:p>
    <w:p/>
    <w:p>
      <w:pPr>
        <w:shd w:val="clear" w:color="auto" w:fill="F2F2F2"/>
      </w:pPr>
      <w:r>
        <w:rPr>
          <w:rFonts w:ascii="Courier New" w:hAnsi="Courier New"/>
          <w:sz w:val="16"/>
        </w:rPr>
        <w:t>件名：ダイト株式会社 IR追加照会（竹村トレードカンパニー）</w:t>
        <w:br/>
        <w:br/>
        <w:t>笠嶋様</w:t>
        <w:br/>
        <w:br/>
        <w:t>先般はQ1〜Q5にわたり丁寧なご回答を頂戴し、誠にありがとうございました。</w:t>
        <w:br/>
        <w:br/>
        <w:t>追加で2点確認させてください。</w:t>
        <w:br/>
        <w:br/>
        <w:t>【Q6】ROE目標7-8%達成の具体的施策についてお伺いします。</w:t>
        <w:br/>
        <w:t xml:space="preserve">　現在ROE 4.33%から7-8%へ改善するにあたり、</w:t>
        <w:br/>
        <w:t xml:space="preserve">　①利益率改善（OPM目標値）と②資本政策（自社株買い等による自己資本圧縮）の</w:t>
        <w:br/>
        <w:t xml:space="preserve">　それぞれの寄与割合を、中計の範囲内でご教示いただけますでしょうか。</w:t>
        <w:br/>
        <w:t xml:space="preserve">　また、中計最終年度（想定）でのEPS・BPS・ROEの目標値があればお聞かせください。</w:t>
        <w:br/>
        <w:br/>
        <w:t>【Q7】下奥井工場の一時稼働停止の詳細と再開見通しについてお伺いします。</w:t>
        <w:br/>
        <w:t xml:space="preserve">　3Q業績への影響額（粗利影響）と、4Q以降の稼働再開見通し・</w:t>
        <w:br/>
        <w:t xml:space="preserve">　フル稼働時の追加的なOP影響額をご教示ください。</w:t>
        <w:br/>
        <w:br/>
        <w:t>竹村トレードカンパニー　深井</w:t>
      </w:r>
    </w:p>
    <w:p/>
    <w:p>
      <w:r>
        <w:t>──────────────────────────────────────────────────</w:t>
      </w:r>
    </w:p>
    <w:p/>
    <w:p>
      <w:pPr>
        <w:pStyle w:val="Heading2"/>
      </w:pPr>
      <w:r>
        <w:rPr>
          <w:rFonts w:ascii="Meiryo UI" w:hAnsi="Meiryo UI"/>
          <w:color w:val="2E74B5"/>
        </w:rPr>
        <w:t>変更履歴</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版</w:t>
            </w:r>
          </w:p>
        </w:tc>
        <w:tc>
          <w:tcPr>
            <w:tcW w:type="dxa" w:w="1881"/>
            <w:shd w:val="clear" w:color="auto" w:fill="2E74B5"/>
          </w:tcPr>
          <w:p>
            <w:r>
              <w:rPr>
                <w:rFonts w:ascii="Meiryo UI" w:hAnsi="Meiryo UI"/>
                <w:b/>
                <w:color w:val="FFFFFF"/>
                <w:sz w:val="18"/>
              </w:rPr>
              <w:t>日時</w:t>
            </w:r>
          </w:p>
        </w:tc>
        <w:tc>
          <w:tcPr>
            <w:tcW w:type="dxa" w:w="1881"/>
            <w:shd w:val="clear" w:color="auto" w:fill="2E74B5"/>
          </w:tcPr>
          <w:p>
            <w:r>
              <w:rPr>
                <w:rFonts w:ascii="Meiryo UI" w:hAnsi="Meiryo UI"/>
                <w:b/>
                <w:color w:val="FFFFFF"/>
                <w:sz w:val="18"/>
              </w:rPr>
              <w:t>判断</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変更理由</w:t>
            </w:r>
          </w:p>
        </w:tc>
      </w:tr>
      <w:tr>
        <w:tc>
          <w:tcPr>
            <w:tcW w:type="dxa" w:w="1881"/>
          </w:tcPr>
          <w:p>
            <w:r>
              <w:rPr>
                <w:rFonts w:ascii="Meiryo UI" w:hAnsi="Meiryo UI"/>
                <w:sz w:val="18"/>
              </w:rPr>
              <w:t>Rev.1</w:t>
            </w:r>
          </w:p>
        </w:tc>
        <w:tc>
          <w:tcPr>
            <w:tcW w:type="dxa" w:w="1881"/>
          </w:tcPr>
          <w:p>
            <w:r>
              <w:rPr>
                <w:rFonts w:ascii="Meiryo UI" w:hAnsi="Meiryo UI"/>
                <w:sz w:val="18"/>
              </w:rPr>
              <w:t>2026-04-19</w:t>
            </w:r>
          </w:p>
        </w:tc>
        <w:tc>
          <w:tcPr>
            <w:tcW w:type="dxa" w:w="1881"/>
          </w:tcPr>
          <w:p>
            <w:r>
              <w:rPr>
                <w:rFonts w:ascii="Meiryo UI" w:hAnsi="Meiryo UI"/>
                <w:sz w:val="18"/>
              </w:rPr>
              <w:t>BUY</w:t>
            </w:r>
          </w:p>
        </w:tc>
        <w:tc>
          <w:tcPr>
            <w:tcW w:type="dxa" w:w="1881"/>
          </w:tcPr>
          <w:p>
            <w:r>
              <w:rPr>
                <w:rFonts w:ascii="Meiryo UI" w:hAnsi="Meiryo UI"/>
                <w:sz w:val="18"/>
              </w:rPr>
              <w:t>¥1,800</w:t>
            </w:r>
          </w:p>
        </w:tc>
        <w:tc>
          <w:tcPr>
            <w:tcW w:type="dxa" w:w="1881"/>
          </w:tcPr>
          <w:p>
            <w:r>
              <w:rPr>
                <w:rFonts w:ascii="Meiryo UI" w:hAnsi="Meiryo UI"/>
                <w:sz w:val="18"/>
              </w:rPr>
              <w:t>3Q業績・上方修正後の初版</w:t>
            </w:r>
          </w:p>
        </w:tc>
      </w:tr>
      <w:tr>
        <w:tc>
          <w:tcPr>
            <w:tcW w:type="dxa" w:w="1881"/>
            <w:shd w:val="clear" w:color="auto" w:fill="DDEBF7"/>
          </w:tcPr>
          <w:p>
            <w:r>
              <w:rPr>
                <w:rFonts w:ascii="Meiryo UI" w:hAnsi="Meiryo UI"/>
                <w:sz w:val="18"/>
              </w:rPr>
              <w:t>Rev.2</w:t>
            </w:r>
          </w:p>
        </w:tc>
        <w:tc>
          <w:tcPr>
            <w:tcW w:type="dxa" w:w="1881"/>
            <w:shd w:val="clear" w:color="auto" w:fill="DDEBF7"/>
          </w:tcPr>
          <w:p>
            <w:r>
              <w:rPr>
                <w:rFonts w:ascii="Meiryo UI" w:hAnsi="Meiryo UI"/>
                <w:sz w:val="18"/>
              </w:rPr>
              <w:t>2026-04-21</w:t>
            </w:r>
          </w:p>
        </w:tc>
        <w:tc>
          <w:tcPr>
            <w:tcW w:type="dxa" w:w="1881"/>
            <w:shd w:val="clear" w:color="auto" w:fill="DDEBF7"/>
          </w:tcPr>
          <w:p>
            <w:r>
              <w:rPr>
                <w:rFonts w:ascii="Meiryo UI" w:hAnsi="Meiryo UI"/>
                <w:sz w:val="18"/>
              </w:rPr>
              <w:t>BUY（維持）</w:t>
            </w:r>
          </w:p>
        </w:tc>
        <w:tc>
          <w:tcPr>
            <w:tcW w:type="dxa" w:w="1881"/>
            <w:shd w:val="clear" w:color="auto" w:fill="DDEBF7"/>
          </w:tcPr>
          <w:p>
            <w:r>
              <w:rPr>
                <w:rFonts w:ascii="Meiryo UI" w:hAnsi="Meiryo UI"/>
                <w:sz w:val="18"/>
              </w:rPr>
              <w:t>¥1,900（+¥100）</w:t>
            </w:r>
          </w:p>
        </w:tc>
        <w:tc>
          <w:tcPr>
            <w:tcW w:type="dxa" w:w="1881"/>
            <w:shd w:val="clear" w:color="auto" w:fill="DDEBF7"/>
          </w:tcPr>
          <w:p>
            <w:r>
              <w:rPr>
                <w:rFonts w:ascii="Meiryo UI" w:hAnsi="Meiryo UI"/>
                <w:sz w:val="18"/>
              </w:rPr>
              <w:t>IR回答5問反映：r=6%確認・ROE7-8%目標確認・4Q保守的確認・薬価リスク消滅・不動産含み益消滅</w:t>
            </w:r>
          </w:p>
        </w:tc>
      </w:tr>
    </w:tbl>
    <w:p/>
    <w:p>
      <w:r>
        <w:t>──────────────────────────────────────────────────</w:t>
      </w:r>
    </w:p>
    <w:p/>
    <w:p>
      <w:r>
        <w:rPr>
          <w:rFonts w:ascii="Meiryo UI" w:hAnsi="Meiryo UI"/>
          <w:sz w:val="20"/>
        </w:rPr>
        <w:t>Deep Research作成：深井 / 2026-04-21 Rev.2（IR回答反映版） / 竹村トレードカンパニー</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