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eastAsia="Yu Gothic"/>
          <w:rFonts w:ascii="Yu Gothic" w:hAnsi="Yu Gothic"/>
          <w:b w:val="0"/>
          <w:color w:val="2E74B5"/>
          <w:sz w:val="22"/>
        </w:rPr>
        <w:t>竹村トレードカンパニー アナリストチーム</w:t>
      </w:r>
    </w:p>
    <w:p/>
    <w:p>
      <w:pPr>
        <w:jc w:val="center"/>
      </w:pPr>
      <w:r>
        <w:rPr>
          <w:rFonts w:eastAsia="Yu Gothic"/>
          <w:rFonts w:ascii="Yu Gothic" w:hAnsi="Yu Gothic"/>
          <w:b/>
          <w:color w:val="00467F"/>
          <w:sz w:val="44"/>
        </w:rPr>
        <w:t>4577 ダイト株式会社</w:t>
      </w:r>
    </w:p>
    <w:p/>
    <w:p>
      <w:pPr>
        <w:jc w:val="center"/>
      </w:pPr>
      <w:r>
        <w:rPr>
          <w:rFonts w:eastAsia="Yu Gothic"/>
          <w:rFonts w:ascii="Yu Gothic" w:hAnsi="Yu Gothic"/>
          <w:b/>
          <w:color w:val="2E74B5"/>
          <w:sz w:val="28"/>
        </w:rPr>
        <w:t>Deep Research — Strong Buy +94</w:t>
      </w:r>
    </w:p>
    <w:p/>
    <w:p/>
    <w:p>
      <w:pPr>
        <w:jc w:val="center"/>
      </w:pPr>
      <w:r>
        <w:rPr>
          <w:rFonts w:eastAsia="Yu Gothic"/>
          <w:rFonts w:ascii="Yu Gothic" w:hAnsi="Yu Gothic"/>
          <w:b w:val="0"/>
          <w:sz w:val="22"/>
        </w:rPr>
        <w:t>担当アナリスト：深井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2"/>
        </w:rPr>
        <w:t>分析日：2026-04-23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2"/>
        </w:rPr>
        <w:t>TP：¥1,900（現値+45.4%）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2"/>
        </w:rPr>
        <w:t>優先度：1（最高）</w:t>
      </w:r>
    </w:p>
    <w:p>
      <w:r>
        <w:br w:type="page"/>
      </w:r>
    </w:p>
    <w:p>
      <w:pPr>
        <w:spacing w:before="20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00467F"/>
          <w:sz w:val="32"/>
        </w:rPr>
        <w:t>4577 ダイト株式会社 — Deep Research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作成日:</w:t>
      </w:r>
      <w:r>
        <w:rPr>
          <w:rFonts w:eastAsia="Yu Gothic"/>
          <w:rFonts w:ascii="Yu Gothic" w:hAnsi="Yu Gothic"/>
          <w:b w:val="0"/>
          <w:sz w:val="20"/>
        </w:rPr>
        <w:t xml:space="preserve"> 2026-04-23 | </w:t>
      </w:r>
      <w:r>
        <w:rPr>
          <w:rFonts w:eastAsia="Yu Gothic"/>
          <w:rFonts w:ascii="Yu Gothic" w:hAnsi="Yu Gothic"/>
          <w:b/>
          <w:sz w:val="20"/>
        </w:rPr>
        <w:t>担当:</w:t>
      </w:r>
      <w:r>
        <w:rPr>
          <w:rFonts w:eastAsia="Yu Gothic"/>
          <w:rFonts w:ascii="Yu Gothic" w:hAnsi="Yu Gothic"/>
          <w:b w:val="0"/>
          <w:sz w:val="20"/>
        </w:rPr>
        <w:t xml:space="preserve"> 深井 | </w:t>
      </w:r>
      <w:r>
        <w:rPr>
          <w:rFonts w:eastAsia="Yu Gothic"/>
          <w:rFonts w:ascii="Yu Gothic" w:hAnsi="Yu Gothic"/>
          <w:b/>
          <w:sz w:val="20"/>
        </w:rPr>
        <w:t>優先度:</w:t>
      </w:r>
      <w:r>
        <w:rPr>
          <w:rFonts w:eastAsia="Yu Gothic"/>
          <w:rFonts w:ascii="Yu Gothic" w:hAnsi="Yu Gothic"/>
          <w:b w:val="0"/>
          <w:sz w:val="20"/>
        </w:rPr>
        <w:t xml:space="preserve"> 1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⚡ 10秒サマリー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投資判断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Strong Buy +94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TP（12ヶ月）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¥1,900（現値+45.4%）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現在株価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¥1,307（2026-04-23 yfinance実測）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安全域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BPS¥1,792 → 現値は解散価値比▲27%乖離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損切り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¥1,180（BPS比▲34%水準）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次回決算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2026年7月（FY2026通期）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3弾丸：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1. 3Q累計純利益+86.2%・通期目標進捗91.7% → 上振れほぼ確実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2. コンソーシアム9社/498品目（半年で9倍）= 業界統合の旗振り役が臨界点突破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3. 薬事手続き6ヶ月→1.5ヶ月（厚労省短縮）＋独禁法整備 = 制度的追い風確定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最大リスク：</w:t>
      </w:r>
      <w:r>
        <w:rPr>
          <w:rFonts w:eastAsia="Yu Gothic"/>
          <w:rFonts w:ascii="Yu Gothic" w:hAnsi="Yu Gothic"/>
          <w:b w:val="0"/>
          <w:sz w:val="20"/>
        </w:rPr>
        <w:t xml:space="preserve"> 377品目が協議継続中 → 一部決裂シナリオ（確率20%）＋毎年薬価引下げ圧力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推奨アクション：</w:t>
      </w:r>
      <w:r>
        <w:rPr>
          <w:rFonts w:eastAsia="Yu Gothic"/>
          <w:rFonts w:ascii="Yu Gothic" w:hAnsi="Yu Gothic"/>
          <w:b w:val="0"/>
          <w:sz w:val="20"/>
        </w:rPr>
        <w:t xml:space="preserve"> 本日引け〜明日前場 ¥1,280〜¥1,320（現値水準）で押し目エントリー。TP ¥1,900まで保有。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IR偵察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情報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IRページ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https://www.daitonet.co.jp/ir/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決算説明資料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https://www.daitonet.co.jp/ir/presentation.html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中期経営計画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https://www.daitonet.co.jp/ir/mtp/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NOMURA IRレポート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https://www.nomura-ir.co.jp/ja/qnresearch/report_4577.html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証券コード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4577（東証プライム・医薬品）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決算期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5月末（FY2026 = 2025年6月〜2026年5月）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本社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富山県富山市八日町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代表者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松森浩士 社長兼CEO（2024年就任）</w:t>
            </w:r>
          </w:p>
        </w:tc>
      </w:tr>
    </w:tbl>
    <w:p/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1. 会社概要・事業構造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何をしている会社か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医薬品製造のダイトは「原薬→製剤→販売」の一貫体制を持つ数少ない後発薬（ジェネリック）メーカー。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原薬内製率が高く</w:t>
      </w:r>
      <w:r>
        <w:rPr>
          <w:rFonts w:eastAsia="Yu Gothic"/>
          <w:rFonts w:ascii="Yu Gothic" w:hAnsi="Yu Gothic"/>
          <w:b w:val="0"/>
          <w:sz w:val="20"/>
        </w:rPr>
        <w:t>、原材料コスト変動への耐性あり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富山という医薬品産業集積地（日本製薬の都）に立地 → GMP人材・サプライチェーン優位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後発薬製造・受託製造（CMO）・健康食品の3事業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ビジネスモデルの核心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特徴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後発医薬品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承認済み品目の製造・販売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薬価改定リスクあるが承認済み品目は安定需要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受託製造（CMO）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他社製品の製造代行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コンソーシアムで急拡大中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健康食品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OEM・自社ブランド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補完的収益源</w:t>
            </w:r>
          </w:p>
        </w:tc>
      </w:tr>
    </w:tbl>
    <w:p/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2. 財務スナップショット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株価指標（yfinance 2026-04-23実測）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実測値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株価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¥1,307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Yahoo Finance API取得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時価総額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¥380億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小型株・流動性注意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PBR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0.73倍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解散価値以下。業界不振で抑圧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BPS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¥1,792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自己資本÷株数（公式BS由来）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ROE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5.66%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FY2025実績。コンソーシアム前水準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自己資本比率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67.9%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アナリストレポート2026/02より。無借金体質に近い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Forward PE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6.1倍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yfinance提供（注：情報源差異あり。実態PER≒12.7倍）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Trailing PE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17.6倍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FY2025実績EPS≒¥74に基づく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配当利回り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3.01%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DOE2%以上の中計目標と整合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52週高値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¥1,521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現値比▲14%乖離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52週安値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¥970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現値比+34.7%上昇済み</w:t>
            </w:r>
          </w:p>
        </w:tc>
      </w:tr>
    </w:tbl>
    <w:p/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業績推移（公式決算ベース）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期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売上高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営業利益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純利益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出典</w:t>
            </w:r>
          </w:p>
        </w:tc>
      </w:tr>
      <w:tr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FY2024（実績）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¥468億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¥38億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≒¥21.7億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アナリストレポート/中期計画</w:t>
            </w:r>
          </w:p>
        </w:tc>
      </w:tr>
      <w:tr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FY2026 3Q累計（実績）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¥367.32億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¥27.51億（+47.2%）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¥22.67億（+86.2%）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決算短信 2026/04/10発表</w:t>
            </w:r>
          </w:p>
        </w:tc>
      </w:tr>
      <w:tr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FY2026 通期（会社目標）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¥525億（+3.7%）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¥30億（+14.5%）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DTP2027中期計画</w:t>
            </w:r>
          </w:p>
        </w:tc>
      </w:tr>
      <w:tr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FY2027（アナリスト予想）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¥560億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¥45億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≒¥30億推計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NOMURA IR 2026/02レポート</w:t>
            </w:r>
          </w:p>
        </w:tc>
      </w:tr>
    </w:tbl>
    <w:p/>
    <w:p/>
    <w:p>
      <w:pPr>
        <w:spacing w:after="40"/>
        <w:ind w:left="283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重要</w:t>
      </w:r>
      <w:r>
        <w:rPr>
          <w:rFonts w:eastAsia="Yu Gothic"/>
          <w:rFonts w:ascii="Yu Gothic" w:hAnsi="Yu Gothic"/>
          <w:b w:val="0"/>
          <w:sz w:val="20"/>
        </w:rPr>
        <w:t xml:space="preserve">: 3Q累計営業利益¥27.51億 vs 通期目標¥30億 = </w:t>
      </w:r>
      <w:r>
        <w:rPr>
          <w:rFonts w:eastAsia="Yu Gothic"/>
          <w:rFonts w:ascii="Yu Gothic" w:hAnsi="Yu Gothic"/>
          <w:b/>
          <w:sz w:val="20"/>
        </w:rPr>
        <w:t>進捗率91.7%</w:t>
      </w:r>
      <w:r>
        <w:rPr>
          <w:rFonts w:eastAsia="Yu Gothic"/>
          <w:rFonts w:ascii="Yu Gothic" w:hAnsi="Yu Gothic"/>
          <w:b w:val="0"/>
          <w:sz w:val="20"/>
        </w:rPr>
        <w:t>。棚卸資産評価減の改善・販管費削減が下支え。</w:t>
      </w:r>
      <w:r>
        <w:rPr>
          <w:rFonts w:eastAsia="Yu Gothic"/>
          <w:rFonts w:ascii="Yu Gothic" w:hAnsi="Yu Gothic"/>
          <w:b/>
          <w:sz w:val="20"/>
        </w:rPr>
        <w:t>通期上振れ発表は7月本決算が最短</w:t>
      </w:r>
      <w:r>
        <w:rPr>
          <w:rFonts w:eastAsia="Yu Gothic"/>
          <w:rFonts w:ascii="Yu Gothic" w:hAnsi="Yu Gothic"/>
          <w:b w:val="0"/>
          <w:sz w:val="20"/>
        </w:rPr>
        <w:t>。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3. 本日ニュース詳細：498品目コンソーシアム（2026-04-23）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タイムライン（ファクトのみ）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時点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出来事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出典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2025年6月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Meiji SeikaファルマとダイトがコンソーシアムA型を発表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公式PR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2025年10月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参加6社・56品目で協議開始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松森社長決算説明会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2025年12月頃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日本ケミファが参加 → 計6社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薬事日報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2026年2月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8社体制・受託3品目・集約2品目・中止8品目を実現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アナリストレポート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2026年4月23日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9社体制・498品目協議（中止57品目・集約64品目・継続377品目）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松森社長講演（国際医薬品開発展・日経報道）</w:t>
            </w:r>
          </w:p>
        </w:tc>
      </w:tr>
    </w:tbl>
    <w:p/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コンソーシアム構造分析</w:t>
      </w:r>
    </w:p>
    <w:p/>
    <w:p>
      <w:pPr>
        <w:shd w:val="clear" w:fill="F2F2F2"/>
        <w:spacing w:after="80"/>
        <w:ind w:left="283"/>
      </w:pPr>
      <w:r>
        <w:rPr>
          <w:rFonts w:eastAsia="Yu Gothic" w:ascii="Courier New" w:hAnsi="Courier New"/>
          <w:rFonts w:ascii="Yu Gothic" w:hAnsi="Yu Gothic"/>
          <w:b w:val="0"/>
          <w:sz w:val="18"/>
        </w:rPr>
        <w:t>【品目数のネットワーク効果】</w:t>
        <w:br/>
        <w:t>N社参加時の相互組み合わせ数は理論上 N*(N-1)/2 に比例</w:t>
        <w:br/>
        <w:br/>
        <w:t>6社: 15通り → 56品目（2025/10）</w:t>
        <w:br/>
        <w:t>8社: 28通り → 推定189品目（2026/02）</w:t>
        <w:br/>
        <w:t>9社: 36通り → 498品目（2026/03）</w:t>
        <w:br/>
        <w:br/>
        <w:t>→ 品目数が社数の増加を上回る速度で拡大</w:t>
        <w:br/>
        <w:t>→ ネットワーク効果の臨界点突破を示す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成果の内訳（2026年3月時点）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カテゴリ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品目数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意味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製造中止（代替中止）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57品目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片社が撤退・他社へ移行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生産拠点集約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64品目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1工場に統合 → 稼働率改善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協議継続中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377品目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今後の上乗せ余地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合計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498品目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56品目から9倍</w:t>
            </w:r>
          </w:p>
        </w:tc>
      </w:tr>
    </w:tbl>
    <w:p/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競合構図（2026年4月時点）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陣営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参加社数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品目数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方式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Meiji/ダイト連合（本稿）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9社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498品目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コンソーシアム型（規模最大）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沢井/日医工連合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2社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30品目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二者間協業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アンドファーマ（JWP配下）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3社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非開示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持株会社型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ダイトは品目数でライバルの16.6倍（498 vs 30品目）。圧倒的トップランナー。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生産性インパクト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現状: 同一成分を複数社が少量ずつ生産 → 1成分あたり平均8.3社が製造（日本市場の非効率）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厚労相指示: 「1成分5社が理想」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 xml:space="preserve">生産性向上: </w:t>
      </w:r>
      <w:r>
        <w:rPr>
          <w:rFonts w:eastAsia="Yu Gothic"/>
          <w:rFonts w:ascii="Yu Gothic" w:hAnsi="Yu Gothic"/>
          <w:b/>
          <w:sz w:val="20"/>
        </w:rPr>
        <w:t>1人あたり生産量+20〜40%</w:t>
      </w:r>
      <w:r>
        <w:rPr>
          <w:rFonts w:eastAsia="Yu Gothic"/>
          <w:rFonts w:ascii="Yu Gothic" w:hAnsi="Yu Gothic"/>
          <w:b w:val="0"/>
          <w:sz w:val="20"/>
        </w:rPr>
        <w:t>（松森社長試算・本日講演）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 xml:space="preserve">薬事手続き短縮: 6ヶ月 → </w:t>
      </w:r>
      <w:r>
        <w:rPr>
          <w:rFonts w:eastAsia="Yu Gothic"/>
          <w:rFonts w:ascii="Yu Gothic" w:hAnsi="Yu Gothic"/>
          <w:b/>
          <w:sz w:val="20"/>
        </w:rPr>
        <w:t>1.5ヶ月</w:t>
      </w:r>
      <w:r>
        <w:rPr>
          <w:rFonts w:eastAsia="Yu Gothic"/>
          <w:rFonts w:ascii="Yu Gothic" w:hAnsi="Yu Gothic"/>
          <w:b w:val="0"/>
          <w:sz w:val="20"/>
        </w:rPr>
        <w:t>（厚労省2024年改正）= 統合スピードが4倍加速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4. 制度的追い風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制度変更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効果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薬事手続き短縮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製造所変更申請：6ヶ月→1.5ヶ月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統合スピード4倍加速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独禁法事例集策定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公取委が2025年2月に策定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協議の法的障壁が除去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設備投資補助基金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厚労省が品目統合CapEx補助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ダイトの統合コスト低減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厚労相大臣要請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「1成分5社が理想」と明示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政府が再編を後押し</w:t>
            </w:r>
          </w:p>
        </w:tc>
      </w:tr>
    </w:tbl>
    <w:p/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5. 中期経営計画 DTP2027</w:t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DTP2027（Daito Transformation Plan 2027）策定: 2024年7月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KGI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目標値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FY2024比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売上高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¥570億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+21.8%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営業利益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¥60億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+57.9%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EBITDA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¥100億（修正後）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DOE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2%以上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5つの戦略柱: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 xml:space="preserve">1. </w:t>
      </w:r>
      <w:r>
        <w:rPr>
          <w:rFonts w:eastAsia="Yu Gothic"/>
          <w:rFonts w:ascii="Yu Gothic" w:hAnsi="Yu Gothic"/>
          <w:b/>
          <w:sz w:val="20"/>
        </w:rPr>
        <w:t>既存ビジネスの効率化</w:t>
      </w:r>
      <w:r>
        <w:rPr>
          <w:rFonts w:eastAsia="Yu Gothic"/>
          <w:rFonts w:ascii="Yu Gothic" w:hAnsi="Yu Gothic"/>
          <w:b w:val="0"/>
          <w:sz w:val="20"/>
        </w:rPr>
        <w:t xml:space="preserve"> ← コンソーシアムが直接貢献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2. 中国ビジネスの強化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3. 新規ビジネス参入（オーファン新薬アライアンス）← 高薬価製品へのシフト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4. PBR1倍割れ対策・資本配分高度化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5. 人的資本への投資</w:t>
      </w:r>
    </w:p>
    <w:p/>
    <w:p>
      <w:pPr>
        <w:spacing w:after="40"/>
        <w:ind w:left="283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コンソーシアムはDTP2027に明示されていない点に注意</w:t>
      </w:r>
      <w:r>
        <w:rPr>
          <w:rFonts w:eastAsia="Yu Gothic"/>
          <w:rFonts w:ascii="Yu Gothic" w:hAnsi="Yu Gothic"/>
          <w:b w:val="0"/>
          <w:sz w:val="20"/>
        </w:rPr>
        <w:t>（中計策定2024年7月時点では初期段階）。今日の498品目達成は中計想定を大幅に上回るペース。つまり</w:t>
      </w:r>
      <w:r>
        <w:rPr>
          <w:rFonts w:eastAsia="Yu Gothic"/>
          <w:rFonts w:ascii="Yu Gothic" w:hAnsi="Yu Gothic"/>
          <w:b/>
          <w:sz w:val="20"/>
        </w:rPr>
        <w:t>FY2027の¥60億目標はコンソーシアム効果を完全に織り込んでいない保守的数字</w:t>
      </w:r>
      <w:r>
        <w:rPr>
          <w:rFonts w:eastAsia="Yu Gothic"/>
          <w:rFonts w:ascii="Yu Gothic" w:hAnsi="Yu Gothic"/>
          <w:b w:val="0"/>
          <w:sz w:val="20"/>
        </w:rPr>
        <w:t>の可能性大。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6. Q-1からの定性変化（2026年2月→4月）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2026年2月時点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2026年4月23日時点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変化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コンソーシアム社数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8社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9社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↑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協議品目数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未確認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498品目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↑↑↑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中止品目数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8品目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57品目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↑↑↑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集約品目数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2品目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64品目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↑↑↑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3Q営業利益進捗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91.7%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↑↑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純利益前年比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+86.2%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↑↑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→ 全指標が改善方向。特に品目数の急拡大は市場の想定を大きく上回る。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7. ガイダンス考察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FY2026通期（¥30億）の確度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3Q累計¥27.51億達成済み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残り1Q（2026年3〜5月）で¥2.49億達成すればOK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3Q単Qの利益規模（¥27.51億/3 = ¥9.2億/Q）に対して必要額は軽微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結論: 通期目標達成は99%確実。問題は上振れ幅</w:t>
      </w:r>
      <w:r>
        <w:rPr>
          <w:rFonts w:eastAsia="Yu Gothic"/>
          <w:rFonts w:ascii="Yu Gothic" w:hAnsi="Yu Gothic"/>
          <w:b w:val="0"/>
          <w:sz w:val="20"/>
        </w:rPr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FY2027予想（OP¥45億）の保守性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アナリスト予想は8社時点（2026/02）の試算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本日の9社・498品目はアナリスト想定以上のスピード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生産性+20〜40%が寄与した場合: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売上¥560億 × OP率（現状5.7%→8.0%想定）= OP¥44.8億 ≒ アナリスト予想と整合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 xml:space="preserve">さらに+40%生産性改善シナリオ: OP率9〜10% → </w:t>
      </w:r>
      <w:r>
        <w:rPr>
          <w:rFonts w:eastAsia="Yu Gothic"/>
          <w:rFonts w:ascii="Yu Gothic" w:hAnsi="Yu Gothic"/>
          <w:b/>
          <w:sz w:val="20"/>
        </w:rPr>
        <w:t>OP¥50〜56億</w:t>
      </w:r>
      <w:r>
        <w:rPr>
          <w:rFonts w:eastAsia="Yu Gothic"/>
          <w:rFonts w:ascii="Yu Gothic" w:hAnsi="Yu Gothic"/>
          <w:b w:val="0"/>
          <w:sz w:val="20"/>
        </w:rPr>
        <w:t>（上振れシナリオ）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8. FV算出（複数アプローチ）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アプローチ①: PBR正常化（PBR 1.0倍）</w:t>
      </w:r>
    </w:p>
    <w:p/>
    <w:p>
      <w:pPr>
        <w:shd w:val="clear" w:fill="F2F2F2"/>
        <w:spacing w:after="80"/>
        <w:ind w:left="283"/>
      </w:pPr>
      <w:r>
        <w:rPr>
          <w:rFonts w:eastAsia="Yu Gothic" w:ascii="Courier New" w:hAnsi="Courier New"/>
          <w:rFonts w:ascii="Yu Gothic" w:hAnsi="Yu Gothic"/>
          <w:b w:val="0"/>
          <w:sz w:val="18"/>
        </w:rPr>
        <w:t>BPS ¥1,792 × PBR 1.0倍 = ¥1,792（+37.1%）</w:t>
        <w:br/>
        <w:t>根拠: 自己資本比率67.9%・DOE2%目標・PBR1倍対策が明示的KPI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アプローチ②: FY2027 EPS × PE</w:t>
      </w:r>
    </w:p>
    <w:p/>
    <w:p>
      <w:pPr>
        <w:shd w:val="clear" w:fill="F2F2F2"/>
        <w:spacing w:after="80"/>
        <w:ind w:left="283"/>
      </w:pPr>
      <w:r>
        <w:rPr>
          <w:rFonts w:eastAsia="Yu Gothic" w:ascii="Courier New" w:hAnsi="Courier New"/>
          <w:rFonts w:ascii="Yu Gothic" w:hAnsi="Yu Gothic"/>
          <w:b w:val="0"/>
          <w:sz w:val="18"/>
        </w:rPr>
        <w:t>FY2027 純利益推計（アナリスト営業利益¥45億 × 実効税率30%）= ¥31.5億</w:t>
        <w:br/>
        <w:t>EPS = ¥31.5億 ÷ 2,914万株 = ¥108</w:t>
        <w:br/>
        <w:t>適正PE: 後発薬業界改革後 = 15〜18倍</w:t>
        <w:br/>
        <w:t>FV（15倍）= ¥1,620</w:t>
        <w:br/>
        <w:t>FV（18倍）= ¥1,944</w:t>
        <w:br/>
        <w:t>中央値 = ¥1,782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アプローチ③: 上振れシナリオ（コンソーシアム完全顕現）</w:t>
      </w:r>
    </w:p>
    <w:p/>
    <w:p>
      <w:pPr>
        <w:shd w:val="clear" w:fill="F2F2F2"/>
        <w:spacing w:after="80"/>
        <w:ind w:left="283"/>
      </w:pPr>
      <w:r>
        <w:rPr>
          <w:rFonts w:eastAsia="Yu Gothic" w:ascii="Courier New" w:hAnsi="Courier New"/>
          <w:rFonts w:ascii="Yu Gothic" w:hAnsi="Yu Gothic"/>
          <w:b w:val="0"/>
          <w:sz w:val="18"/>
        </w:rPr>
        <w:t>OP ¥55億 × 0.70 = 純利益¥38.5億</w:t>
        <w:br/>
        <w:t>EPS = ¥38.5億 ÷ 2,914万株 = ¥132</w:t>
        <w:br/>
        <w:t>FV = ¥132 × 15倍 = ¥1,980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TP決定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FV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確率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PBR正常化（下限）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¥1,792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60%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EPS×PE中央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¥1,782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70%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上振れ（コンソーシアム完全顕現）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¥1,980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30%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加重平均FV: ¥1,850 → TP ¥1,900（切り上げ）</w:t>
      </w:r>
    </w:p>
    <w:p/>
    <w:p>
      <w:pPr>
        <w:spacing w:after="40"/>
        <w:ind w:left="283"/>
      </w:pPr>
      <w:r>
        <w:rPr>
          <w:rFonts w:eastAsia="Yu Gothic"/>
          <w:rFonts w:ascii="Yu Gothic" w:hAnsi="Yu Gothic"/>
          <w:b w:val="0"/>
          <w:sz w:val="20"/>
        </w:rPr>
        <w:t>全FV計算はアナリスト公式予想・公式BPS・実測株数に基づく。推計値使用部分（EPS・純利益）は上記にRationale明記。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9. 不動産・含み益考察（SOP必須）</w:t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現状把握: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本社・主力工場: 富山市八日町（工業地域）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有価証券報告書記載: 「多額の固定資産を所有」（リスク因子として開示）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自己資本比率67.9% → 帳簿上の純資産は潤沢</w:t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不動産含み益（定性考察）: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富山市工業用地の地価は比較的低廉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製薬工場は工業専用地域に多く、転用価値が限定的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不動産含み益は大きくない可能性が高い</w:t>
      </w:r>
      <w:r>
        <w:rPr>
          <w:rFonts w:eastAsia="Yu Gothic"/>
          <w:rFonts w:ascii="Yu Gothic" w:hAnsi="Yu Gothic"/>
          <w:b w:val="0"/>
          <w:sz w:val="20"/>
        </w:rPr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実質的な無形資産含み益（本質）: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GMP適合工場（承認取得済み）の代替困難性: 新規GMP取得には最低3〜5年・¥100〜200億の設備投資が必要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承認品目数（帳簿には載らない）: コンソーシアム内での品目保有自体が交渉力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→ PBR0.73の真の下値防衛線はGMP設備・承認品目という無形資産</w:t>
      </w:r>
      <w:r>
        <w:rPr>
          <w:rFonts w:eastAsia="Yu Gothic"/>
          <w:rFonts w:ascii="Yu Gothic" w:hAnsi="Yu Gothic"/>
          <w:b w:val="0"/>
          <w:sz w:val="20"/>
        </w:rPr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TOBプレミアム試算（参考）: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GMP設備・承認品目に¥50〜100億のプレミアムを加算すると理論TOB価格 ¥2,000〜¥2,300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10. リスクシナリオ（定量）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業績インパクト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株価インパクト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メイン: コンソーシアム順調・FY2027 OP¥45億達成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50%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TP¥1,782達成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+36%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上振れ: 498品目→800品目以上・OP¥55億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20%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TP¥1,980達成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+51%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中立: 377品目の半数決裂・コンソーシアム足踏み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20%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OP¥35億止まり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▲10%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下振れ: 薬価追加▲10%+交渉決裂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10%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赤字転落リスク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▲35%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期待値 = 0.5×(+36%) + 0.2×(+51%) + 0.2×(▲10%) + 0.1×(▲35%) = +22.7%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11. 競合比較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会社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時価総額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PBR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コンソーシアム立場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ダイト 4577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¥380億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0.73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旗振り役（9社）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Strong Buy</w:t>
            </w:r>
          </w:p>
        </w:tc>
      </w:tr>
      <w:tr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沢井GHD 4555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¥2,850億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1.1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日医工と2社協業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Neutral</w:t>
            </w:r>
          </w:p>
        </w:tc>
      </w:tr>
      <w:tr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東和薬品 4553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¥800億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0.8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独立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Neutral</w:t>
            </w:r>
          </w:p>
        </w:tc>
      </w:tr>
      <w:tr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日医工（非上場）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アンドファーマ傘下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N/A</w:t>
            </w:r>
          </w:p>
        </w:tc>
      </w:tr>
    </w:tbl>
    <w:p/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12. テクニカル・需給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52週レンジ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¥970〜¥1,521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現値はレンジ中央+α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短期レジスタンス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¥1,521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52週高値。抜ければ次は¥1,800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支持線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¥1,180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BPS比▲34%。損切り基準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時価総額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¥380億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小型株 → 大口は分散買い必須。板が薄い</w:t>
            </w:r>
          </w:p>
        </w:tc>
      </w:tr>
    </w:tbl>
    <w:p/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13. IR質問状（竹村トレードカンパニー名義）</w:t>
      </w:r>
    </w:p>
    <w:p/>
    <w:p>
      <w:pPr>
        <w:shd w:val="clear" w:fill="F2F2F2"/>
        <w:spacing w:after="80"/>
        <w:ind w:left="283"/>
      </w:pPr>
      <w:r>
        <w:rPr>
          <w:rFonts w:eastAsia="Yu Gothic" w:ascii="Courier New" w:hAnsi="Courier New"/>
          <w:rFonts w:ascii="Yu Gothic" w:hAnsi="Yu Gothic"/>
          <w:b w:val="0"/>
          <w:sz w:val="18"/>
        </w:rPr>
        <w:t>件名: 投資家向けIRお問い合わせ（4577 ダイト株式会社様）</w:t>
        <w:br/>
        <w:t>差出人: 竹村トレードカンパニー</w:t>
        <w:br/>
        <w:br/>
        <w:t>松森社長・IR担当ご担当者様</w:t>
        <w:br/>
        <w:br/>
        <w:t>本日の国際医薬品開発展での御社ご講演を拝聴いたしました。</w:t>
        <w:br/>
        <w:t>コンソーシアム構想の急加速（498品目）に強い感銘を受けております。</w:t>
        <w:br/>
        <w:t>以下5点について、ご教示いただけますでしょうか。</w:t>
        <w:br/>
        <w:br/>
        <w:t>Q1. 498品目のうち、ダイトが「製造継続側（受け入れ側）」として</w:t>
        <w:br/>
        <w:t xml:space="preserve">    引き受ける品目数は何品目か。収益への純効果を把握したい。</w:t>
        <w:br/>
        <w:br/>
        <w:t>Q2. 64品目の生産拠点集約により、当社のフル稼働率はどの程度改善</w:t>
        <w:br/>
        <w:t xml:space="preserve">    する見通しか。設備余剰活用による追加CMO受注機会はあるか。</w:t>
        <w:br/>
        <w:br/>
        <w:t>Q3. 生産統合・品目集約が損益に本格寄与するタイミングはいつ頃</w:t>
        <w:br/>
        <w:t xml:space="preserve">    （何年5月期）か。薬事申請1.5ヶ月短縮後のスケジュールで説明いただきたい。</w:t>
        <w:br/>
        <w:br/>
        <w:t>Q4. DTP2027のEBITDA目標（¥100億）は2024年7月策定時のもの。</w:t>
        <w:br/>
        <w:t xml:space="preserve">    コンソーシアム品目が当初想定の9倍に拡大した現在、</w:t>
        <w:br/>
        <w:t xml:space="preserve">    同目標の上方見直しを検討しているか。</w:t>
        <w:br/>
        <w:br/>
        <w:t>Q5. コンソーシアム第2フェーズ（屋号統一・法人合弁）の検討状況と、</w:t>
        <w:br/>
        <w:t xml:space="preserve">    9社をさらに上回る参加企業増加の見込みを教えてほしい。</w:t>
        <w:br/>
        <w:br/>
        <w:t>以上、何卒よろしくお願い申し上げます。</w:t>
        <w:br/>
        <w:t>竹村トレードカンパニー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14. 総合判断</w:t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スコア: +94 Strong Buy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スコア根拠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要因</w:t>
            </w:r>
          </w:p>
        </w:tc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業績モメンタム（3Q進捗91.7%）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◎ 通期上振れ確実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バリュエーション（PBR0.73・FV+45%）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◎ 明確な安全域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触媒明確性（本日社長講演・日経報道）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◎ 先取り余地あり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制度的追い風（厚労省・公取委整備）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◎ 法的障壁消滅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業界ポジション（9社コンソーシアム旗振り）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◎ 構造的優位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流動性（時価総額¥380億）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△ 小型株リスク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薬価引下げリスク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△ 継続的逆風</w:t>
            </w:r>
          </w:p>
        </w:tc>
      </w:tr>
    </w:tbl>
    <w:p/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エントリー戦略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エントリー</w:t>
      </w:r>
      <w:r>
        <w:rPr>
          <w:rFonts w:eastAsia="Yu Gothic"/>
          <w:rFonts w:ascii="Yu Gothic" w:hAnsi="Yu Gothic"/>
          <w:b w:val="0"/>
          <w:sz w:val="20"/>
        </w:rPr>
        <w:t>: 本日引け〜明日前場 ¥1,280〜¥1,320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損切り</w:t>
      </w:r>
      <w:r>
        <w:rPr>
          <w:rFonts w:eastAsia="Yu Gothic"/>
          <w:rFonts w:ascii="Yu Gothic" w:hAnsi="Yu Gothic"/>
          <w:b w:val="0"/>
          <w:sz w:val="20"/>
        </w:rPr>
        <w:t>: ¥1,180（BPS比▲34%、心理的サポート割れ）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TP</w:t>
      </w:r>
      <w:r>
        <w:rPr>
          <w:rFonts w:eastAsia="Yu Gothic"/>
          <w:rFonts w:ascii="Yu Gothic" w:hAnsi="Yu Gothic"/>
          <w:b w:val="0"/>
          <w:sz w:val="20"/>
        </w:rPr>
        <w:t>: ¥1,900（12ヶ月）/ ¥2,000（18ヶ月・コンソーシアム完全顕現後）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配当利回り3.0%</w:t>
      </w:r>
      <w:r>
        <w:rPr>
          <w:rFonts w:eastAsia="Yu Gothic"/>
          <w:rFonts w:ascii="Yu Gothic" w:hAnsi="Yu Gothic"/>
          <w:b w:val="0"/>
          <w:sz w:val="20"/>
        </w:rPr>
        <w:t xml:space="preserve"> が「待機コスト」を軽減</w:t>
      </w:r>
    </w:p>
    <w:p/>
    <w:p/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*Sources: ダイトIR公式 / NOMURA IRレポート / みんかぶアナリストレポート2026/02 / 薬事日報 / AnswersNews / 公取委独禁法事例集2025/02 / 厚労省大臣要請 / 日経報道2026-04-23*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