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eastAsia="Yu Gothic"/>
          <w:rFonts w:ascii="Yu Gothic" w:hAnsi="Yu Gothic"/>
          <w:b w:val="0"/>
          <w:color w:val="1F497D"/>
          <w:sz w:val="22"/>
        </w:rPr>
        <w:t>竹村トレードカンパニー アナリストチーム</w:t>
      </w:r>
    </w:p>
    <w:p/>
    <w:p>
      <w:pPr>
        <w:jc w:val="center"/>
      </w:pPr>
      <w:r>
        <w:rPr>
          <w:rFonts w:eastAsia="Yu Gothic"/>
          <w:rFonts w:ascii="Yu Gothic" w:hAnsi="Yu Gothic"/>
          <w:b/>
          <w:color w:val="00467F"/>
          <w:sz w:val="44"/>
        </w:rPr>
        <w:t>4577 ダイト株式会社</w:t>
      </w:r>
    </w:p>
    <w:p/>
    <w:p>
      <w:pPr>
        <w:jc w:val="center"/>
      </w:pPr>
      <w:r>
        <w:rPr>
          <w:rFonts w:eastAsia="Yu Gothic"/>
          <w:rFonts w:ascii="Yu Gothic" w:hAnsi="Yu Gothic"/>
          <w:b/>
          <w:color w:val="1F497D"/>
          <w:sz w:val="28"/>
        </w:rPr>
        <w:t>Deep Research — BUY +80  v2（IR回答反映）</w:t>
      </w:r>
    </w:p>
    <w:p/>
    <w:p/>
    <w:p>
      <w:pPr>
        <w:jc w:val="center"/>
      </w:pPr>
      <w:r>
        <w:rPr>
          <w:rFonts w:eastAsia="Yu Gothic"/>
          <w:rFonts w:ascii="Yu Gothic" w:hAnsi="Yu Gothic"/>
          <w:b w:val="0"/>
          <w:sz w:val="22"/>
        </w:rPr>
        <w:t>担当アナリスト：深井</w:t>
      </w:r>
    </w:p>
    <w:p>
      <w:pPr>
        <w:jc w:val="center"/>
      </w:pPr>
      <w:r>
        <w:rPr>
          <w:rFonts w:eastAsia="Yu Gothic"/>
          <w:rFonts w:ascii="Yu Gothic" w:hAnsi="Yu Gothic"/>
          <w:b w:val="0"/>
          <w:sz w:val="22"/>
        </w:rPr>
        <w:t>分析日：2026-04-23</w:t>
      </w:r>
    </w:p>
    <w:p>
      <w:pPr>
        <w:jc w:val="center"/>
      </w:pPr>
      <w:r>
        <w:rPr>
          <w:rFonts w:eastAsia="Yu Gothic"/>
          <w:rFonts w:ascii="Yu Gothic" w:hAnsi="Yu Gothic"/>
          <w:b w:val="0"/>
          <w:sz w:val="22"/>
        </w:rPr>
        <w:t>v2改訂：2026-04-23（ダイトIR回答受領後）</w:t>
      </w:r>
    </w:p>
    <w:p>
      <w:pPr>
        <w:jc w:val="center"/>
      </w:pPr>
      <w:r>
        <w:rPr>
          <w:rFonts w:eastAsia="Yu Gothic"/>
          <w:rFonts w:ascii="Yu Gothic" w:hAnsi="Yu Gothic"/>
          <w:b w:val="0"/>
          <w:sz w:val="22"/>
        </w:rPr>
        <w:t>TP：¥1,700（現値+30.7%）</w:t>
      </w:r>
    </w:p>
    <w:p>
      <w:pPr>
        <w:jc w:val="center"/>
      </w:pPr>
      <w:r>
        <w:rPr>
          <w:rFonts w:eastAsia="Yu Gothic"/>
          <w:rFonts w:ascii="Yu Gothic" w:hAnsi="Yu Gothic"/>
          <w:b w:val="0"/>
          <w:sz w:val="22"/>
        </w:rPr>
        <w:t>スコア：BUY +80（v1 +94より▲14pt修正）</w:t>
      </w:r>
    </w:p>
    <w:p>
      <w:pPr>
        <w:jc w:val="center"/>
      </w:pPr>
      <w:r>
        <w:rPr>
          <w:rFonts w:eastAsia="Yu Gothic"/>
          <w:rFonts w:ascii="Yu Gothic" w:hAnsi="Yu Gothic"/>
          <w:b w:val="0"/>
          <w:sz w:val="22"/>
        </w:rPr>
        <w:t>IR取材：高畠浩一 経営企画部（2026-04-23回答）</w:t>
      </w:r>
    </w:p>
    <w:p>
      <w:r>
        <w:br w:type="page"/>
      </w:r>
    </w:p>
    <w:p>
      <w:pPr>
        <w:spacing w:before="200" w:after="80"/>
        <w:jc w:val="left"/>
        <w:pBdr>
          <w:bottom w:val="single" w:sz="6" w:space="1" w:color="4472C4"/>
        </w:pBdr>
      </w:pPr>
      <w:r>
        <w:rPr>
          <w:rFonts w:eastAsia="Yu Gothic"/>
          <w:rFonts w:ascii="Yu Gothic" w:hAnsi="Yu Gothic"/>
          <w:b/>
          <w:color w:val="00467F"/>
          <w:sz w:val="32"/>
        </w:rPr>
        <w:t>4577 ダイト株式会社 — Deep Research v2</w:t>
      </w:r>
    </w:p>
    <w:p>
      <w:pPr>
        <w:spacing w:after="40"/>
      </w:pPr>
      <w:r>
        <w:rPr>
          <w:rFonts w:eastAsia="Yu Gothic"/>
          <w:rFonts w:ascii="Yu Gothic" w:hAnsi="Yu Gothic"/>
          <w:b w:val="0"/>
          <w:sz w:val="20"/>
        </w:rPr>
      </w:r>
      <w:r>
        <w:rPr>
          <w:rFonts w:eastAsia="Yu Gothic"/>
          <w:rFonts w:ascii="Yu Gothic" w:hAnsi="Yu Gothic"/>
          <w:b/>
          <w:sz w:val="20"/>
        </w:rPr>
        <w:t>作成日:</w:t>
      </w:r>
      <w:r>
        <w:rPr>
          <w:rFonts w:eastAsia="Yu Gothic"/>
          <w:rFonts w:ascii="Yu Gothic" w:hAnsi="Yu Gothic"/>
          <w:b w:val="0"/>
          <w:sz w:val="20"/>
        </w:rPr>
        <w:t xml:space="preserve"> 2026-04-23 | </w:t>
      </w:r>
      <w:r>
        <w:rPr>
          <w:rFonts w:eastAsia="Yu Gothic"/>
          <w:rFonts w:ascii="Yu Gothic" w:hAnsi="Yu Gothic"/>
          <w:b/>
          <w:sz w:val="20"/>
        </w:rPr>
        <w:t>v2改訂:</w:t>
      </w:r>
      <w:r>
        <w:rPr>
          <w:rFonts w:eastAsia="Yu Gothic"/>
          <w:rFonts w:ascii="Yu Gothic" w:hAnsi="Yu Gothic"/>
          <w:b w:val="0"/>
          <w:sz w:val="20"/>
        </w:rPr>
        <w:t xml:space="preserve"> 2026-04-23 夕刻 | </w:t>
      </w:r>
      <w:r>
        <w:rPr>
          <w:rFonts w:eastAsia="Yu Gothic"/>
          <w:rFonts w:ascii="Yu Gothic" w:hAnsi="Yu Gothic"/>
          <w:b/>
          <w:sz w:val="20"/>
        </w:rPr>
        <w:t>担当:</w:t>
      </w:r>
      <w:r>
        <w:rPr>
          <w:rFonts w:eastAsia="Yu Gothic"/>
          <w:rFonts w:ascii="Yu Gothic" w:hAnsi="Yu Gothic"/>
          <w:b w:val="0"/>
          <w:sz w:val="20"/>
        </w:rPr>
        <w:t xml:space="preserve"> 深井 | </w:t>
      </w:r>
      <w:r>
        <w:rPr>
          <w:rFonts w:eastAsia="Yu Gothic"/>
          <w:rFonts w:ascii="Yu Gothic" w:hAnsi="Yu Gothic"/>
          <w:b/>
          <w:sz w:val="20"/>
        </w:rPr>
        <w:t>優先度:</w:t>
      </w:r>
      <w:r>
        <w:rPr>
          <w:rFonts w:eastAsia="Yu Gothic"/>
          <w:rFonts w:ascii="Yu Gothic" w:hAnsi="Yu Gothic"/>
          <w:b w:val="0"/>
          <w:sz w:val="20"/>
        </w:rPr>
        <w:t xml:space="preserve"> 1</w:t>
      </w:r>
    </w:p>
    <w:p>
      <w:pPr>
        <w:spacing w:after="40"/>
      </w:pPr>
      <w:r>
        <w:rPr>
          <w:rFonts w:eastAsia="Yu Gothic"/>
          <w:rFonts w:ascii="Yu Gothic" w:hAnsi="Yu Gothic"/>
          <w:b w:val="0"/>
          <w:sz w:val="20"/>
        </w:rPr>
      </w:r>
      <w:r>
        <w:rPr>
          <w:rFonts w:eastAsia="Yu Gothic"/>
          <w:rFonts w:ascii="Yu Gothic" w:hAnsi="Yu Gothic"/>
          <w:b/>
          <w:sz w:val="20"/>
        </w:rPr>
        <w:t>改訂理由:</w:t>
      </w:r>
      <w:r>
        <w:rPr>
          <w:rFonts w:eastAsia="Yu Gothic"/>
          <w:rFonts w:ascii="Yu Gothic" w:hAnsi="Yu Gothic"/>
          <w:b w:val="0"/>
          <w:sz w:val="20"/>
        </w:rPr>
        <w:t xml:space="preserve"> ダイト経営企画部（高畠浩一氏）IR回答（2026-04-23受領）を反映。コンソーシアム収益インパクト・タイミングを大幅修正。</w:t>
      </w:r>
    </w:p>
    <w:p/>
    <w:p/>
    <w:p/>
    <w:p>
      <w:pPr>
        <w:spacing w:before="120" w:after="80"/>
        <w:jc w:val="left"/>
        <w:pBdr>
          <w:bottom w:val="single" w:sz="6" w:space="1" w:color="4472C4"/>
        </w:pBdr>
      </w:pPr>
      <w:r>
        <w:rPr>
          <w:rFonts w:eastAsia="Yu Gothic"/>
          <w:rFonts w:ascii="Yu Gothic" w:hAnsi="Yu Gothic"/>
          <w:b/>
          <w:color w:val="1F497D"/>
          <w:sz w:val="26"/>
        </w:rPr>
        <w:t>⚡ 10秒サマリー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703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投資判断</w:t>
            </w:r>
          </w:p>
        </w:tc>
        <w:tc>
          <w:tcPr>
            <w:tcW w:type="dxa" w:w="4703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BUY +80（v1 +94から▲14pt — IR回答による「近期寄与限定的」修正）</w:t>
            </w:r>
          </w:p>
        </w:tc>
      </w:tr>
      <w:tr>
        <w:tc>
          <w:tcPr>
            <w:tcW w:type="dxa" w:w="4703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TP（12ヶ月）</w:t>
            </w:r>
          </w:p>
        </w:tc>
        <w:tc>
          <w:tcPr>
            <w:tcW w:type="dxa" w:w="4703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¥1,700（現値+30.7%）</w:t>
            </w:r>
          </w:p>
        </w:tc>
      </w:tr>
      <w:tr>
        <w:tc>
          <w:tcPr>
            <w:tcW w:type="dxa" w:w="4703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現在株価</w:t>
            </w:r>
          </w:p>
        </w:tc>
        <w:tc>
          <w:tcPr>
            <w:tcW w:type="dxa" w:w="4703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¥1,301（2026-04-23 yfinance実測）</w:t>
            </w:r>
          </w:p>
        </w:tc>
      </w:tr>
      <w:tr>
        <w:tc>
          <w:tcPr>
            <w:tcW w:type="dxa" w:w="4703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安全域</w:t>
            </w:r>
          </w:p>
        </w:tc>
        <w:tc>
          <w:tcPr>
            <w:tcW w:type="dxa" w:w="4703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BPS¥1,792 → 現値は解散価値比▲27.4%乖離</w:t>
            </w:r>
          </w:p>
        </w:tc>
      </w:tr>
      <w:tr>
        <w:tc>
          <w:tcPr>
            <w:tcW w:type="dxa" w:w="4703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損切り</w:t>
            </w:r>
          </w:p>
        </w:tc>
        <w:tc>
          <w:tcPr>
            <w:tcW w:type="dxa" w:w="4703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¥1,100（BPS比▲38.6%水準）</w:t>
            </w:r>
          </w:p>
        </w:tc>
      </w:tr>
      <w:tr>
        <w:tc>
          <w:tcPr>
            <w:tcW w:type="dxa" w:w="4703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次回決算</w:t>
            </w:r>
          </w:p>
        </w:tc>
        <w:tc>
          <w:tcPr>
            <w:tcW w:type="dxa" w:w="4703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2026年7月（FY2026通期本決算）</w:t>
            </w:r>
          </w:p>
        </w:tc>
      </w:tr>
    </w:tbl>
    <w:p/>
    <w:p/>
    <w:p>
      <w:pPr>
        <w:spacing w:after="40"/>
      </w:pPr>
      <w:r>
        <w:rPr>
          <w:rFonts w:eastAsia="Yu Gothic"/>
          <w:rFonts w:ascii="Yu Gothic" w:hAnsi="Yu Gothic"/>
          <w:b/>
          <w:sz w:val="20"/>
        </w:rPr>
        <w:t>3弾丸（IR回答反映後）：</w:t>
      </w:r>
    </w:p>
    <w:p>
      <w:pPr>
        <w:spacing w:after="40"/>
      </w:pPr>
      <w:r>
        <w:rPr>
          <w:rFonts w:eastAsia="Yu Gothic"/>
          <w:rFonts w:ascii="Yu Gothic" w:hAnsi="Yu Gothic"/>
          <w:b w:val="0"/>
          <w:sz w:val="20"/>
        </w:rPr>
        <w:t xml:space="preserve">1. </w:t>
      </w:r>
      <w:r>
        <w:rPr>
          <w:rFonts w:eastAsia="Yu Gothic"/>
          <w:rFonts w:ascii="Yu Gothic" w:hAnsi="Yu Gothic"/>
          <w:b/>
          <w:sz w:val="20"/>
        </w:rPr>
        <w:t>3Q累計純利益+86.2%・進捗91.7%</w:t>
      </w:r>
      <w:r>
        <w:rPr>
          <w:rFonts w:eastAsia="Yu Gothic"/>
          <w:rFonts w:ascii="Yu Gothic" w:hAnsi="Yu Gothic"/>
          <w:b w:val="0"/>
          <w:sz w:val="20"/>
        </w:rPr>
        <w:t xml:space="preserve"> → 本決算上振れはほぼ確実。足元の収益力は本物</w:t>
      </w:r>
    </w:p>
    <w:p>
      <w:pPr>
        <w:spacing w:after="40"/>
      </w:pPr>
      <w:r>
        <w:rPr>
          <w:rFonts w:eastAsia="Yu Gothic"/>
          <w:rFonts w:ascii="Yu Gothic" w:hAnsi="Yu Gothic"/>
          <w:b w:val="0"/>
          <w:sz w:val="20"/>
        </w:rPr>
        <w:t xml:space="preserve">2. </w:t>
      </w:r>
      <w:r>
        <w:rPr>
          <w:rFonts w:eastAsia="Yu Gothic"/>
          <w:rFonts w:ascii="Yu Gothic" w:hAnsi="Yu Gothic"/>
          <w:b/>
          <w:sz w:val="20"/>
        </w:rPr>
        <w:t>コンソーシアム本命はFY2027/05〜FY2028/05</w:t>
      </w:r>
      <w:r>
        <w:rPr>
          <w:rFonts w:eastAsia="Yu Gothic"/>
          <w:rFonts w:ascii="Yu Gothic" w:hAnsi="Yu Gothic"/>
          <w:b w:val="0"/>
          <w:sz w:val="20"/>
        </w:rPr>
        <w:t>（会社公式）— 近期ではなく次のサイクルへの仕込み材料</w:t>
      </w:r>
    </w:p>
    <w:p>
      <w:pPr>
        <w:spacing w:after="40"/>
      </w:pPr>
      <w:r>
        <w:rPr>
          <w:rFonts w:eastAsia="Yu Gothic"/>
          <w:rFonts w:ascii="Yu Gothic" w:hAnsi="Yu Gothic"/>
          <w:b w:val="0"/>
          <w:sz w:val="20"/>
        </w:rPr>
        <w:t xml:space="preserve">3. </w:t>
      </w:r>
      <w:r>
        <w:rPr>
          <w:rFonts w:eastAsia="Yu Gothic"/>
          <w:rFonts w:ascii="Yu Gothic" w:hAnsi="Yu Gothic"/>
          <w:b/>
          <w:sz w:val="20"/>
        </w:rPr>
        <w:t>松森CEO「M&amp;Aに近い化学変化も想定」</w:t>
      </w:r>
      <w:r>
        <w:rPr>
          <w:rFonts w:eastAsia="Yu Gothic"/>
          <w:rFonts w:ascii="Yu Gothic" w:hAnsi="Yu Gothic"/>
          <w:b w:val="0"/>
          <w:sz w:val="20"/>
        </w:rPr>
        <w:t>（2025/07/17決算説明会）— 業界再編の旗振り役としての長期オプション価値</w:t>
      </w:r>
    </w:p>
    <w:p/>
    <w:p>
      <w:pPr>
        <w:spacing w:after="40"/>
      </w:pPr>
      <w:r>
        <w:rPr>
          <w:rFonts w:eastAsia="Yu Gothic"/>
          <w:rFonts w:ascii="Yu Gothic" w:hAnsi="Yu Gothic"/>
          <w:b w:val="0"/>
          <w:sz w:val="20"/>
        </w:rPr>
      </w:r>
      <w:r>
        <w:rPr>
          <w:rFonts w:eastAsia="Yu Gothic"/>
          <w:rFonts w:ascii="Yu Gothic" w:hAnsi="Yu Gothic"/>
          <w:b/>
          <w:sz w:val="20"/>
        </w:rPr>
        <w:t>最大リスク：</w:t>
      </w:r>
      <w:r>
        <w:rPr>
          <w:rFonts w:eastAsia="Yu Gothic"/>
          <w:rFonts w:ascii="Yu Gothic" w:hAnsi="Yu Gothic"/>
          <w:b w:val="0"/>
          <w:sz w:val="20"/>
        </w:rPr>
        <w:t xml:space="preserve"> 薬価改定▲2〜4%/年の継続 + DTP2027 EBITDA¥100億目標に対し近期コンソーシアム効果が僅少（最大¥3〜5億/年）のため、FY2027までの業績ブリッジが課題</w:t>
      </w:r>
    </w:p>
    <w:p/>
    <w:p>
      <w:pPr>
        <w:spacing w:after="40"/>
      </w:pPr>
      <w:r>
        <w:rPr>
          <w:rFonts w:eastAsia="Yu Gothic"/>
          <w:rFonts w:ascii="Yu Gothic" w:hAnsi="Yu Gothic"/>
          <w:b w:val="0"/>
          <w:sz w:val="20"/>
        </w:rPr>
      </w:r>
      <w:r>
        <w:rPr>
          <w:rFonts w:eastAsia="Yu Gothic"/>
          <w:rFonts w:ascii="Yu Gothic" w:hAnsi="Yu Gothic"/>
          <w:b/>
          <w:sz w:val="20"/>
        </w:rPr>
        <w:t>推奨アクション：</w:t>
      </w:r>
      <w:r>
        <w:rPr>
          <w:rFonts w:eastAsia="Yu Gothic"/>
          <w:rFonts w:ascii="Yu Gothic" w:hAnsi="Yu Gothic"/>
          <w:b w:val="0"/>
          <w:sz w:val="20"/>
        </w:rPr>
        <w:t xml:space="preserve"> ¥1,250〜¥1,310（現値±4%水準）で分割エントリー。FY2026本決算（7月）でガイダンス確認後に追加。TP¥1,700まで保有。</w:t>
      </w:r>
    </w:p>
    <w:p/>
    <w:p/>
    <w:p/>
    <w:p>
      <w:pPr>
        <w:spacing w:before="120" w:after="80"/>
        <w:jc w:val="left"/>
        <w:pBdr>
          <w:bottom w:val="single" w:sz="6" w:space="1" w:color="4472C4"/>
        </w:pBdr>
      </w:pPr>
      <w:r>
        <w:rPr>
          <w:rFonts w:eastAsia="Yu Gothic"/>
          <w:rFonts w:ascii="Yu Gothic" w:hAnsi="Yu Gothic"/>
          <w:b/>
          <w:color w:val="1F497D"/>
          <w:sz w:val="26"/>
        </w:rPr>
        <w:t>IR偵察（v2更新）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情報</w:t>
            </w:r>
          </w:p>
        </w:tc>
      </w:tr>
      <w:tr>
        <w:tc>
          <w:tcPr>
            <w:tcW w:type="dxa" w:w="4703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IRページ</w:t>
            </w:r>
          </w:p>
        </w:tc>
        <w:tc>
          <w:tcPr>
            <w:tcW w:type="dxa" w:w="4703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https://www.daitonet.co.jp/ir/</w:t>
            </w:r>
          </w:p>
        </w:tc>
      </w:tr>
      <w:tr>
        <w:tc>
          <w:tcPr>
            <w:tcW w:type="dxa" w:w="4703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決算説明資料</w:t>
            </w:r>
          </w:p>
        </w:tc>
        <w:tc>
          <w:tcPr>
            <w:tcW w:type="dxa" w:w="4703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https://www.daitonet.co.jp/ir/presentation.html</w:t>
            </w:r>
          </w:p>
        </w:tc>
      </w:tr>
      <w:tr>
        <w:tc>
          <w:tcPr>
            <w:tcW w:type="dxa" w:w="4703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中期経営計画DTP2027</w:t>
            </w:r>
          </w:p>
        </w:tc>
        <w:tc>
          <w:tcPr>
            <w:tcW w:type="dxa" w:w="4703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https://www.daitonet.co.jp/ir/mtp/</w:t>
            </w:r>
          </w:p>
        </w:tc>
      </w:tr>
      <w:tr>
        <w:tc>
          <w:tcPr>
            <w:tcW w:type="dxa" w:w="4703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コンソーシアム説明資料p17</w:t>
            </w:r>
          </w:p>
        </w:tc>
        <w:tc>
          <w:tcPr>
            <w:tcW w:type="dxa" w:w="4703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https://ssl4.eir-parts.net/doc/4577/tdnet/2740567/00.pdf</w:t>
            </w:r>
          </w:p>
        </w:tc>
      </w:tr>
      <w:tr>
        <w:tc>
          <w:tcPr>
            <w:tcW w:type="dxa" w:w="4703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証券コード</w:t>
            </w:r>
          </w:p>
        </w:tc>
        <w:tc>
          <w:tcPr>
            <w:tcW w:type="dxa" w:w="4703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4577（東証プライム・医薬品）</w:t>
            </w:r>
          </w:p>
        </w:tc>
      </w:tr>
      <w:tr>
        <w:tc>
          <w:tcPr>
            <w:tcW w:type="dxa" w:w="4703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決算期</w:t>
            </w:r>
          </w:p>
        </w:tc>
        <w:tc>
          <w:tcPr>
            <w:tcW w:type="dxa" w:w="4703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5月末（FY2026 = 2025年6月〜2026年5月）</w:t>
            </w:r>
          </w:p>
        </w:tc>
      </w:tr>
      <w:tr>
        <w:tc>
          <w:tcPr>
            <w:tcW w:type="dxa" w:w="4703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本社</w:t>
            </w:r>
          </w:p>
        </w:tc>
        <w:tc>
          <w:tcPr>
            <w:tcW w:type="dxa" w:w="4703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富山県富山市八日町326</w:t>
            </w:r>
          </w:p>
        </w:tc>
      </w:tr>
      <w:tr>
        <w:tc>
          <w:tcPr>
            <w:tcW w:type="dxa" w:w="4703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代表者</w:t>
            </w:r>
          </w:p>
        </w:tc>
        <w:tc>
          <w:tcPr>
            <w:tcW w:type="dxa" w:w="4703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松森浩士 社長兼CEO（2024年就任）</w:t>
            </w:r>
          </w:p>
        </w:tc>
      </w:tr>
      <w:tr>
        <w:tc>
          <w:tcPr>
            <w:tcW w:type="dxa" w:w="4703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IR取材済（v2）</w:t>
            </w:r>
          </w:p>
        </w:tc>
        <w:tc>
          <w:tcPr>
            <w:tcW w:type="dxa" w:w="4703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高畠浩一（経営企画部）TEL: 076-421-8755 / 携帯: 080-4161-8919</w:t>
            </w:r>
          </w:p>
        </w:tc>
      </w:tr>
      <w:tr>
        <w:tc>
          <w:tcPr>
            <w:tcW w:type="dxa" w:w="4703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IR回答日</w:t>
            </w:r>
          </w:p>
        </w:tc>
        <w:tc>
          <w:tcPr>
            <w:tcW w:type="dxa" w:w="4703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2026年4月23日（竹村→笠嶋俊秋/高畠浩一宛IR質問への正式回答）</w:t>
            </w:r>
          </w:p>
        </w:tc>
      </w:tr>
    </w:tbl>
    <w:p/>
    <w:p/>
    <w:p/>
    <w:p/>
    <w:p>
      <w:pPr>
        <w:spacing w:before="120" w:after="80"/>
        <w:jc w:val="left"/>
        <w:pBdr>
          <w:bottom w:val="single" w:sz="6" w:space="1" w:color="4472C4"/>
        </w:pBdr>
      </w:pPr>
      <w:r>
        <w:rPr>
          <w:rFonts w:eastAsia="Yu Gothic"/>
          <w:rFonts w:ascii="Yu Gothic" w:hAnsi="Yu Gothic"/>
          <w:b/>
          <w:color w:val="1F497D"/>
          <w:sz w:val="26"/>
        </w:rPr>
        <w:t>1. 会社概要・事業構造</w:t>
      </w:r>
    </w:p>
    <w:p/>
    <w:p>
      <w:pPr>
        <w:spacing w:before="120" w:after="80"/>
        <w:jc w:val="left"/>
      </w:pPr>
      <w:r>
        <w:rPr>
          <w:rFonts w:eastAsia="Yu Gothic"/>
          <w:rFonts w:ascii="Yu Gothic" w:hAnsi="Yu Gothic"/>
          <w:b/>
          <w:color w:val="366092"/>
          <w:sz w:val="23"/>
        </w:rPr>
        <w:t>何をしている会社か</w:t>
      </w:r>
    </w:p>
    <w:p/>
    <w:p>
      <w:pPr>
        <w:spacing w:after="40"/>
      </w:pPr>
      <w:r>
        <w:rPr>
          <w:rFonts w:eastAsia="Yu Gothic"/>
          <w:rFonts w:ascii="Yu Gothic" w:hAnsi="Yu Gothic"/>
          <w:b w:val="0"/>
          <w:sz w:val="20"/>
        </w:rPr>
        <w:t>医薬品製造のダイトは「原薬→製剤→販売」の一貫体制を持つ数少ない後発薬（ジェネリック）メーカー。</w:t>
      </w:r>
    </w:p>
    <w:p/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</w:r>
      <w:r>
        <w:rPr>
          <w:rFonts w:eastAsia="Yu Gothic"/>
          <w:rFonts w:ascii="Yu Gothic" w:hAnsi="Yu Gothic"/>
          <w:b/>
          <w:sz w:val="20"/>
        </w:rPr>
        <w:t>原薬内製率が高く</w:t>
      </w:r>
      <w:r>
        <w:rPr>
          <w:rFonts w:eastAsia="Yu Gothic"/>
          <w:rFonts w:ascii="Yu Gothic" w:hAnsi="Yu Gothic"/>
          <w:b w:val="0"/>
          <w:sz w:val="20"/>
        </w:rPr>
        <w:t>、原材料コスト変動への耐性あり</w:t>
      </w:r>
    </w:p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  <w:t>富山という医薬品産業集積地（日本製薬の都）に立地 → GMP人材・サプライチェーン優位</w:t>
      </w:r>
    </w:p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  <w:t>後発薬製造・受託製造（CMO）・健康食品の3事業</w:t>
      </w:r>
    </w:p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  <w:t xml:space="preserve">自社品約100規格 + 受託品約300規格 = </w:t>
      </w:r>
      <w:r>
        <w:rPr>
          <w:rFonts w:eastAsia="Yu Gothic"/>
          <w:rFonts w:ascii="Yu Gothic" w:hAnsi="Yu Gothic"/>
          <w:b/>
          <w:sz w:val="20"/>
        </w:rPr>
        <w:t>総計約400規格</w:t>
      </w:r>
      <w:r>
        <w:rPr>
          <w:rFonts w:eastAsia="Yu Gothic"/>
          <w:rFonts w:ascii="Yu Gothic" w:hAnsi="Yu Gothic"/>
          <w:b w:val="0"/>
          <w:sz w:val="20"/>
        </w:rPr>
        <w:t>（高畠IR回答確認済み）</w:t>
      </w:r>
    </w:p>
    <w:p/>
    <w:p>
      <w:pPr>
        <w:spacing w:before="120" w:after="80"/>
        <w:jc w:val="left"/>
      </w:pPr>
      <w:r>
        <w:rPr>
          <w:rFonts w:eastAsia="Yu Gothic"/>
          <w:rFonts w:ascii="Yu Gothic" w:hAnsi="Yu Gothic"/>
          <w:b/>
          <w:color w:val="366092"/>
          <w:sz w:val="23"/>
        </w:rPr>
        <w:t>ビジネスモデルの核心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セグメント</w:t>
            </w:r>
          </w:p>
        </w:tc>
        <w:tc>
          <w:tcPr>
            <w:tcW w:type="dxa" w:w="3135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内容</w:t>
            </w:r>
          </w:p>
        </w:tc>
        <w:tc>
          <w:tcPr>
            <w:tcW w:type="dxa" w:w="3135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特徴</w:t>
            </w:r>
          </w:p>
        </w:tc>
      </w:tr>
      <w:tr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後発医薬品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承認済み品目の製造・販売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薬価改定リスクあるが承認済み品目は安定需要</w:t>
            </w:r>
          </w:p>
        </w:tc>
      </w:tr>
      <w:tr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受託製造（CMO）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他社製品の製造代行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コンソーシアムで拡大方向（FY2027-2028から本格化）</w:t>
            </w:r>
          </w:p>
        </w:tc>
      </w:tr>
      <w:tr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健康食品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OEM・自社ブランド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補完的収益源</w:t>
            </w:r>
          </w:p>
        </w:tc>
      </w:tr>
    </w:tbl>
    <w:p/>
    <w:p/>
    <w:p/>
    <w:p/>
    <w:p>
      <w:pPr>
        <w:spacing w:before="120" w:after="80"/>
        <w:jc w:val="left"/>
        <w:pBdr>
          <w:bottom w:val="single" w:sz="6" w:space="1" w:color="4472C4"/>
        </w:pBdr>
      </w:pPr>
      <w:r>
        <w:rPr>
          <w:rFonts w:eastAsia="Yu Gothic"/>
          <w:rFonts w:ascii="Yu Gothic" w:hAnsi="Yu Gothic"/>
          <w:b/>
          <w:color w:val="1F497D"/>
          <w:sz w:val="26"/>
        </w:rPr>
        <w:t>2. 新・コンソーシアム構想 — IR直接回答による完全改訂</w:t>
      </w:r>
    </w:p>
    <w:p/>
    <w:p>
      <w:pPr>
        <w:spacing w:after="40"/>
        <w:ind w:left="283"/>
      </w:pPr>
      <w:r>
        <w:rPr>
          <w:rFonts w:eastAsia="Yu Gothic"/>
          <w:rFonts w:ascii="Yu Gothic" w:hAnsi="Yu Gothic"/>
          <w:b w:val="0"/>
          <w:sz w:val="20"/>
        </w:rPr>
      </w:r>
      <w:r>
        <w:rPr>
          <w:rFonts w:eastAsia="Yu Gothic"/>
          <w:rFonts w:ascii="Yu Gothic" w:hAnsi="Yu Gothic"/>
          <w:b/>
          <w:sz w:val="20"/>
        </w:rPr>
        <w:t>本セクションはダイト経営企画部・高畠浩一氏からの公式IR回答（2026-04-23受領）に基づき全面改訂。v1の定性的な強気論から事実ベースの定量論に修正。</w:t>
      </w:r>
      <w:r>
        <w:rPr>
          <w:rFonts w:eastAsia="Yu Gothic"/>
          <w:rFonts w:ascii="Yu Gothic" w:hAnsi="Yu Gothic"/>
          <w:b w:val="0"/>
          <w:sz w:val="20"/>
        </w:rPr>
      </w:r>
    </w:p>
    <w:p/>
    <w:p>
      <w:pPr>
        <w:spacing w:before="120" w:after="80"/>
        <w:jc w:val="left"/>
      </w:pPr>
      <w:r>
        <w:rPr>
          <w:rFonts w:eastAsia="Yu Gothic"/>
          <w:rFonts w:ascii="Yu Gothic" w:hAnsi="Yu Gothic"/>
          <w:b/>
          <w:color w:val="366092"/>
          <w:sz w:val="23"/>
        </w:rPr>
        <w:t>2-1. 品目数の正確な読み方</w:t>
      </w:r>
    </w:p>
    <w:p/>
    <w:p>
      <w:pPr>
        <w:spacing w:after="40"/>
      </w:pPr>
      <w:r>
        <w:rPr>
          <w:rFonts w:eastAsia="Yu Gothic"/>
          <w:rFonts w:ascii="Yu Gothic" w:hAnsi="Yu Gothic"/>
          <w:b/>
          <w:sz w:val="20"/>
        </w:rPr>
        <w:t>【重要修正】「品目」=「規格」（業界用語）であり、SKU（包装規格）ではない</w:t>
      </w:r>
    </w:p>
    <w:p/>
    <w:p>
      <w:pPr>
        <w:shd w:val="clear" w:fill="F2F2F2"/>
        <w:spacing w:after="80"/>
        <w:ind w:left="283"/>
      </w:pPr>
      <w:r>
        <w:rPr>
          <w:rFonts w:eastAsia="Yu Gothic" w:ascii="Courier New" w:hAnsi="Courier New"/>
          <w:rFonts w:ascii="Yu Gothic" w:hAnsi="Yu Gothic"/>
          <w:b w:val="0"/>
          <w:sz w:val="18"/>
        </w:rPr>
        <w:t>例（実在しない架空の製品）:</w:t>
        <w:br/>
        <w:t xml:space="preserve">  アジルサルタンOD錠20mg「ダイト」          ← これが1規格（=1品目）</w:t>
        <w:br/>
        <w:t xml:space="preserve">    |__ PTP100錠                             ← 包装規格①</w:t>
        <w:br/>
        <w:t xml:space="preserve">    |__ バラ500錠                            ← 包装規格②</w:t>
        <w:br/>
        <w:t xml:space="preserve">  アジルサルタンOD錠40mg「ダイト」          ← これが2規格目</w:t>
        <w:br/>
        <w:t xml:space="preserve">    |__ PTP100錠</w:t>
        <w:br/>
        <w:t xml:space="preserve">    |__ バラ500錠</w:t>
        <w:br/>
        <w:t xml:space="preserve">  </w:t>
        <w:br/>
        <w:t>→ 規格数 = 2、包装規格数（SKU）= 4</w:t>
        <w:br/>
        <w:t>→ 498 = 498規格（≠製品数・≠SKU数）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区分</w:t>
            </w:r>
          </w:p>
        </w:tc>
        <w:tc>
          <w:tcPr>
            <w:tcW w:type="dxa" w:w="2351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2025年10月</w:t>
            </w:r>
          </w:p>
        </w:tc>
        <w:tc>
          <w:tcPr>
            <w:tcW w:type="dxa" w:w="2351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2026年3月</w:t>
            </w:r>
          </w:p>
        </w:tc>
        <w:tc>
          <w:tcPr>
            <w:tcW w:type="dxa" w:w="2351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意味</w:t>
            </w:r>
          </w:p>
        </w:tc>
      </w:tr>
      <w:tr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協議対象規格（累計）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56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498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半年で8.9倍（日経報道値）</w:t>
            </w:r>
          </w:p>
        </w:tc>
      </w:tr>
      <w:tr>
        <w:tc>
          <w:tcPr>
            <w:tcW w:type="dxa" w:w="235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協議継続中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0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377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まだ方針未決定</w:t>
            </w:r>
          </w:p>
        </w:tc>
      </w:tr>
      <w:tr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中止代替（代替供給）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23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57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方針決定済み①</w:t>
            </w:r>
          </w:p>
        </w:tc>
      </w:tr>
      <w:tr>
        <w:tc>
          <w:tcPr>
            <w:tcW w:type="dxa" w:w="235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製造所統合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33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64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方針決定済み②</w:t>
            </w:r>
          </w:p>
        </w:tc>
      </w:tr>
    </w:tbl>
    <w:p/>
    <w:p/>
    <w:p>
      <w:pPr>
        <w:spacing w:after="40"/>
        <w:ind w:left="283"/>
      </w:pPr>
      <w:r>
        <w:rPr>
          <w:rFonts w:eastAsia="Yu Gothic"/>
          <w:rFonts w:ascii="Yu Gothic" w:hAnsi="Yu Gothic"/>
          <w:b w:val="0"/>
          <w:sz w:val="20"/>
        </w:rPr>
      </w:r>
      <w:r>
        <w:rPr>
          <w:rFonts w:eastAsia="Yu Gothic"/>
          <w:rFonts w:ascii="Yu Gothic" w:hAnsi="Yu Gothic"/>
          <w:b/>
          <w:sz w:val="20"/>
        </w:rPr>
        <w:t>方針決定済みは57+64=121規格（全体の24.3%）。残り75.7%（377規格）は今後の展開次第。</w:t>
      </w:r>
      <w:r>
        <w:rPr>
          <w:rFonts w:eastAsia="Yu Gothic"/>
          <w:rFonts w:ascii="Yu Gothic" w:hAnsi="Yu Gothic"/>
          <w:b w:val="0"/>
          <w:sz w:val="20"/>
        </w:rPr>
      </w:r>
    </w:p>
    <w:p/>
    <w:p>
      <w:pPr>
        <w:spacing w:before="120" w:after="80"/>
        <w:jc w:val="left"/>
      </w:pPr>
      <w:r>
        <w:rPr>
          <w:rFonts w:eastAsia="Yu Gothic"/>
          <w:rFonts w:ascii="Yu Gothic" w:hAnsi="Yu Gothic"/>
          <w:b/>
          <w:color w:val="366092"/>
          <w:sz w:val="23"/>
        </w:rPr>
        <w:t>2-2. 🚨 最重要修正：生産量の期待値は±0</w:t>
      </w:r>
    </w:p>
    <w:p/>
    <w:p>
      <w:pPr>
        <w:spacing w:after="40"/>
      </w:pPr>
      <w:r>
        <w:rPr>
          <w:rFonts w:eastAsia="Yu Gothic"/>
          <w:rFonts w:ascii="Yu Gothic" w:hAnsi="Yu Gothic"/>
          <w:b/>
          <w:sz w:val="20"/>
        </w:rPr>
        <w:t>【IR回答原文（高畠氏）】：</w:t>
      </w:r>
    </w:p>
    <w:p>
      <w:pPr>
        <w:spacing w:after="40"/>
        <w:ind w:left="283"/>
      </w:pPr>
      <w:r>
        <w:rPr>
          <w:rFonts w:eastAsia="Yu Gothic"/>
          <w:rFonts w:ascii="Yu Gothic" w:hAnsi="Yu Gothic"/>
          <w:b w:val="0"/>
          <w:sz w:val="20"/>
        </w:rPr>
        <w:t>「新コンソーシアム内の全参加企業のWin-Winの関係を実現するため、どこか特定の企業に生産を集中させることはなく、各企業の生産数量の期待値は、±0となります」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旧・v1の想定</w:t>
            </w:r>
          </w:p>
        </w:tc>
        <w:tc>
          <w:tcPr>
            <w:tcW w:type="dxa" w:w="4703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新・v2の事実（IR確認）</w:t>
            </w:r>
          </w:p>
        </w:tc>
      </w:tr>
      <w:tr>
        <w:tc>
          <w:tcPr>
            <w:tcW w:type="dxa" w:w="4703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ダイトが受け入れ側として大量受注</w:t>
            </w:r>
          </w:p>
        </w:tc>
        <w:tc>
          <w:tcPr>
            <w:tcW w:type="dxa" w:w="4703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Win-Win構造。ダイト単独への集中はない</w:t>
            </w:r>
          </w:p>
        </w:tc>
      </w:tr>
      <w:tr>
        <w:tc>
          <w:tcPr>
            <w:tcW w:type="dxa" w:w="4703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稼働率大幅改善→CMO拡大余地大</w:t>
            </w:r>
          </w:p>
        </w:tc>
        <w:tc>
          <w:tcPr>
            <w:tcW w:type="dxa" w:w="4703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中止代替57規格のライン占有率が低くCMO短期寄与は軽微</w:t>
            </w:r>
          </w:p>
        </w:tc>
      </w:tr>
      <w:tr>
        <w:tc>
          <w:tcPr>
            <w:tcW w:type="dxa" w:w="4703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コンソーシアムが近期売上押し上げ</w:t>
            </w:r>
          </w:p>
        </w:tc>
        <w:tc>
          <w:tcPr>
            <w:tcW w:type="dxa" w:w="4703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既存品収益への純効果は±0。利益効果は生産性改善のみ</w:t>
            </w:r>
          </w:p>
        </w:tc>
      </w:tr>
    </w:tbl>
    <w:p/>
    <w:p/>
    <w:p>
      <w:pPr>
        <w:spacing w:before="120" w:after="80"/>
        <w:jc w:val="left"/>
      </w:pPr>
      <w:r>
        <w:rPr>
          <w:rFonts w:eastAsia="Yu Gothic"/>
          <w:rFonts w:ascii="Yu Gothic" w:hAnsi="Yu Gothic"/>
          <w:b/>
          <w:color w:val="366092"/>
          <w:sz w:val="23"/>
        </w:rPr>
        <w:t>2-3. 定量インパクト（会社公式上限）</w:t>
      </w:r>
    </w:p>
    <w:p/>
    <w:p>
      <w:pPr>
        <w:spacing w:after="40"/>
      </w:pPr>
      <w:r>
        <w:rPr>
          <w:rFonts w:eastAsia="Yu Gothic"/>
          <w:rFonts w:ascii="Yu Gothic" w:hAnsi="Yu Gothic"/>
          <w:b/>
          <w:sz w:val="20"/>
        </w:rPr>
        <w:t>【IR回答原文（高畠氏）】：</w:t>
      </w:r>
    </w:p>
    <w:p>
      <w:pPr>
        <w:spacing w:after="40"/>
        <w:ind w:left="283"/>
      </w:pPr>
      <w:r>
        <w:rPr>
          <w:rFonts w:eastAsia="Yu Gothic"/>
          <w:rFonts w:ascii="Yu Gothic" w:hAnsi="Yu Gothic"/>
          <w:b w:val="0"/>
          <w:sz w:val="20"/>
        </w:rPr>
        <w:t>「コスト影響につきましては、既存品目統合が大きく進んでも、最大で</w:t>
      </w:r>
      <w:r>
        <w:rPr>
          <w:rFonts w:eastAsia="Yu Gothic"/>
          <w:rFonts w:ascii="Yu Gothic" w:hAnsi="Yu Gothic"/>
          <w:b/>
          <w:sz w:val="20"/>
        </w:rPr>
        <w:t>1桁億円前半/年</w:t>
      </w:r>
      <w:r>
        <w:rPr>
          <w:rFonts w:eastAsia="Yu Gothic"/>
          <w:rFonts w:ascii="Yu Gothic" w:hAnsi="Yu Gothic"/>
          <w:b w:val="0"/>
          <w:sz w:val="20"/>
        </w:rPr>
        <w:t>程度のポジティブ影響と考えており、むしろ、今後のコンソーシアム内での</w:t>
      </w:r>
      <w:r>
        <w:rPr>
          <w:rFonts w:eastAsia="Yu Gothic"/>
          <w:rFonts w:ascii="Yu Gothic" w:hAnsi="Yu Gothic"/>
          <w:b/>
          <w:sz w:val="20"/>
        </w:rPr>
        <w:t>新規品目の共同開発化</w:t>
      </w:r>
      <w:r>
        <w:rPr>
          <w:rFonts w:eastAsia="Yu Gothic"/>
          <w:rFonts w:ascii="Yu Gothic" w:hAnsi="Yu Gothic"/>
          <w:b w:val="0"/>
          <w:sz w:val="20"/>
        </w:rPr>
        <w:t>の方が、大きな利益影響を与えるものと考えます」</w:t>
      </w:r>
    </w:p>
    <w:p/>
    <w:p>
      <w:pPr>
        <w:shd w:val="clear" w:fill="F2F2F2"/>
        <w:spacing w:after="80"/>
        <w:ind w:left="283"/>
      </w:pPr>
      <w:r>
        <w:rPr>
          <w:rFonts w:eastAsia="Yu Gothic" w:ascii="Courier New" w:hAnsi="Courier New"/>
          <w:rFonts w:ascii="Yu Gothic" w:hAnsi="Yu Gothic"/>
          <w:b w:val="0"/>
          <w:sz w:val="18"/>
        </w:rPr>
        <w:t>既存品統合コスト効果の上限（会社公式）:</w:t>
        <w:br/>
        <w:t xml:space="preserve">  最大 ¥3〜5億/年（1桁億円前半）</w:t>
        <w:br/>
        <w:br/>
        <w:t>ダイトFY2026 OP目標 ¥30億（推計）に対し:</w:t>
        <w:br/>
        <w:t xml:space="preserve">  コンソーシアム既存品効果 = +10〜17%程度（最大値）</w:t>
        <w:br/>
        <w:t xml:space="preserve">  実際の今期寄与 = これよりさらに小さい（まだ立ち上がり期）</w:t>
      </w:r>
    </w:p>
    <w:p/>
    <w:p>
      <w:pPr>
        <w:spacing w:before="120" w:after="80"/>
        <w:jc w:val="left"/>
      </w:pPr>
      <w:r>
        <w:rPr>
          <w:rFonts w:eastAsia="Yu Gothic"/>
          <w:rFonts w:ascii="Yu Gothic" w:hAnsi="Yu Gothic"/>
          <w:b/>
          <w:color w:val="366092"/>
          <w:sz w:val="23"/>
        </w:rPr>
        <w:t>2-4. 収益本格化タイミング（会社公式）</w:t>
      </w:r>
    </w:p>
    <w:p/>
    <w:p>
      <w:pPr>
        <w:spacing w:after="40"/>
      </w:pPr>
      <w:r>
        <w:rPr>
          <w:rFonts w:eastAsia="Yu Gothic"/>
          <w:rFonts w:ascii="Yu Gothic" w:hAnsi="Yu Gothic"/>
          <w:b/>
          <w:sz w:val="20"/>
        </w:rPr>
        <w:t>【IR回答原文（高畠氏）】：</w:t>
      </w:r>
    </w:p>
    <w:p>
      <w:pPr>
        <w:spacing w:after="40"/>
        <w:ind w:left="283"/>
      </w:pPr>
      <w:r>
        <w:rPr>
          <w:rFonts w:eastAsia="Yu Gothic"/>
          <w:rFonts w:ascii="Yu Gothic" w:hAnsi="Yu Gothic"/>
          <w:b w:val="0"/>
          <w:sz w:val="20"/>
        </w:rPr>
        <w:t>「マル特申請品の上市のピークは</w:t>
      </w:r>
      <w:r>
        <w:rPr>
          <w:rFonts w:eastAsia="Yu Gothic"/>
          <w:rFonts w:ascii="Yu Gothic" w:hAnsi="Yu Gothic"/>
          <w:b/>
          <w:sz w:val="20"/>
        </w:rPr>
        <w:t>2027/05期〜2028/05期</w:t>
      </w:r>
      <w:r>
        <w:rPr>
          <w:rFonts w:eastAsia="Yu Gothic"/>
          <w:rFonts w:ascii="Yu Gothic" w:hAnsi="Yu Gothic"/>
          <w:b w:val="0"/>
          <w:sz w:val="20"/>
        </w:rPr>
        <w:t>になると考えます」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フェーズ</w:t>
            </w:r>
          </w:p>
        </w:tc>
        <w:tc>
          <w:tcPr>
            <w:tcW w:type="dxa" w:w="3135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時期</w:t>
            </w:r>
          </w:p>
        </w:tc>
        <w:tc>
          <w:tcPr>
            <w:tcW w:type="dxa" w:w="3135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準備期（現在）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FY2026（〜2026年5月）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品目A等の小規模売上開始。立ち上がり段階</w:t>
            </w:r>
          </w:p>
        </w:tc>
      </w:tr>
      <w:tr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移行期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FY2027（2026年6月〜2027年5月）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マル特申請品の順次上市。品目B・C等（バリデーション完了後）</w:t>
            </w:r>
          </w:p>
        </w:tc>
      </w:tr>
      <w:tr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本格化期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FY2028（2027年6月〜2028年5月）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共同開発品の上市ピーク。コンソーシアム効果の本命</w:t>
            </w:r>
          </w:p>
        </w:tc>
      </w:tr>
    </w:tbl>
    <w:p/>
    <w:p/>
    <w:p>
      <w:pPr>
        <w:spacing w:after="40"/>
        <w:ind w:left="283"/>
      </w:pPr>
      <w:r>
        <w:rPr>
          <w:rFonts w:eastAsia="Yu Gothic"/>
          <w:rFonts w:ascii="Yu Gothic" w:hAnsi="Yu Gothic"/>
          <w:b w:val="0"/>
          <w:sz w:val="20"/>
        </w:rPr>
        <w:t>早期品目（品目A）: 約8ヶ月で上市。既に小規模売上計上中。</w:t>
      </w:r>
    </w:p>
    <w:p>
      <w:pPr>
        <w:spacing w:after="40"/>
        <w:ind w:left="283"/>
      </w:pPr>
      <w:r>
        <w:rPr>
          <w:rFonts w:eastAsia="Yu Gothic"/>
          <w:rFonts w:ascii="Yu Gothic" w:hAnsi="Yu Gothic"/>
          <w:b w:val="0"/>
          <w:sz w:val="20"/>
        </w:rPr>
        <w:t>遅延品目（品目B・C）: 1〜1.5年。スケールアップ・バリデーション要。</w:t>
      </w:r>
    </w:p>
    <w:p/>
    <w:p>
      <w:pPr>
        <w:spacing w:before="120" w:after="80"/>
        <w:jc w:val="left"/>
      </w:pPr>
      <w:r>
        <w:rPr>
          <w:rFonts w:eastAsia="Yu Gothic"/>
          <w:rFonts w:ascii="Yu Gothic" w:hAnsi="Yu Gothic"/>
          <w:b/>
          <w:color w:val="366092"/>
          <w:sz w:val="23"/>
        </w:rPr>
        <w:t>2-5. 中期経営計画DTP2027への影響（会社公式）</w:t>
      </w:r>
    </w:p>
    <w:p/>
    <w:p>
      <w:pPr>
        <w:spacing w:after="40"/>
      </w:pPr>
      <w:r>
        <w:rPr>
          <w:rFonts w:eastAsia="Yu Gothic"/>
          <w:rFonts w:ascii="Yu Gothic" w:hAnsi="Yu Gothic"/>
          <w:b/>
          <w:sz w:val="20"/>
        </w:rPr>
        <w:t>【IR回答原文（高畠氏）】：</w:t>
      </w:r>
    </w:p>
    <w:p>
      <w:pPr>
        <w:spacing w:after="40"/>
        <w:ind w:left="283"/>
      </w:pPr>
      <w:r>
        <w:rPr>
          <w:rFonts w:eastAsia="Yu Gothic"/>
          <w:rFonts w:ascii="Yu Gothic" w:hAnsi="Yu Gothic"/>
          <w:b w:val="0"/>
          <w:sz w:val="20"/>
        </w:rPr>
        <w:t>「短期的な影響は僅少であり、現時点では修正や投資加速などの見直しは検討しておりません」</w:t>
      </w:r>
    </w:p>
    <w:p/>
    <w:p>
      <w:pPr>
        <w:spacing w:after="40"/>
      </w:pPr>
      <w:r>
        <w:rPr>
          <w:rFonts w:eastAsia="Yu Gothic"/>
          <w:rFonts w:ascii="Yu Gothic" w:hAnsi="Yu Gothic"/>
          <w:b w:val="0"/>
          <w:sz w:val="20"/>
        </w:rPr>
        <w:t xml:space="preserve">→ </w:t>
      </w:r>
      <w:r>
        <w:rPr>
          <w:rFonts w:eastAsia="Yu Gothic"/>
          <w:rFonts w:ascii="Yu Gothic" w:hAnsi="Yu Gothic"/>
          <w:b/>
          <w:sz w:val="20"/>
        </w:rPr>
        <w:t>DTP2027 EBITDA¥100億目標は据え置き確定。コンソーシアム拡大は近期業績の上方修正材料ではない。</w:t>
      </w:r>
      <w:r>
        <w:rPr>
          <w:rFonts w:eastAsia="Yu Gothic"/>
          <w:rFonts w:ascii="Yu Gothic" w:hAnsi="Yu Gothic"/>
          <w:b w:val="0"/>
          <w:sz w:val="20"/>
        </w:rPr>
      </w:r>
    </w:p>
    <w:p/>
    <w:p>
      <w:pPr>
        <w:spacing w:before="120" w:after="80"/>
        <w:jc w:val="left"/>
      </w:pPr>
      <w:r>
        <w:rPr>
          <w:rFonts w:eastAsia="Yu Gothic"/>
          <w:rFonts w:ascii="Yu Gothic" w:hAnsi="Yu Gothic"/>
          <w:b/>
          <w:color w:val="366092"/>
          <w:sz w:val="23"/>
        </w:rPr>
        <w:t>2-6. 第2フェーズ — 長期オプション価値</w:t>
      </w:r>
    </w:p>
    <w:p/>
    <w:p>
      <w:pPr>
        <w:spacing w:after="40"/>
      </w:pPr>
      <w:r>
        <w:rPr>
          <w:rFonts w:eastAsia="Yu Gothic"/>
          <w:rFonts w:ascii="Yu Gothic" w:hAnsi="Yu Gothic"/>
          <w:b/>
          <w:sz w:val="20"/>
        </w:rPr>
        <w:t>【IR回答原文（高畠氏）】：</w:t>
      </w:r>
    </w:p>
    <w:p>
      <w:pPr>
        <w:spacing w:after="40"/>
        <w:ind w:left="283"/>
      </w:pPr>
      <w:r>
        <w:rPr>
          <w:rFonts w:eastAsia="Yu Gothic"/>
          <w:rFonts w:ascii="Yu Gothic" w:hAnsi="Yu Gothic"/>
          <w:b w:val="0"/>
          <w:sz w:val="20"/>
        </w:rPr>
        <w:t>「参加企業は今後も増加を見込んでおり、松森社長は『品目統合の先には、屋号の統一による効率化向上に加え、様々なM&amp;Aに近いような話も起きるかもしれないということも想定している』と発言」（2025/07/17決算説明会）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第2フェーズ要素</w:t>
            </w:r>
          </w:p>
        </w:tc>
        <w:tc>
          <w:tcPr>
            <w:tcW w:type="dxa" w:w="3135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現状</w:t>
            </w:r>
          </w:p>
        </w:tc>
        <w:tc>
          <w:tcPr>
            <w:tcW w:type="dxa" w:w="3135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見通し</w:t>
            </w:r>
          </w:p>
        </w:tc>
      </w:tr>
      <w:tr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屋号統一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新規開発品目中心で実施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既存品は顧客離反リスク（1+1=1.5）のため段階的</w:t>
            </w:r>
          </w:p>
        </w:tc>
      </w:tr>
      <w:tr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参加企業数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9社（2026年3月時点）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増加見込み（会社公式）</w:t>
            </w:r>
          </w:p>
        </w:tc>
      </w:tr>
      <w:tr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M&amp;A的化学変化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検討段階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松森CEO明言。FY2028以降のオプション価値として評価</w:t>
            </w:r>
          </w:p>
        </w:tc>
      </w:tr>
      <w:tr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法人合弁化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未定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決算説明会言及あり。具体化は中長期</w:t>
            </w:r>
          </w:p>
        </w:tc>
      </w:tr>
    </w:tbl>
    <w:p/>
    <w:p/>
    <w:p>
      <w:pPr>
        <w:spacing w:after="40"/>
        <w:ind w:left="283"/>
      </w:pPr>
      <w:r>
        <w:rPr>
          <w:rFonts w:eastAsia="Yu Gothic"/>
          <w:rFonts w:ascii="Yu Gothic" w:hAnsi="Yu Gothic"/>
          <w:b w:val="0"/>
          <w:sz w:val="20"/>
        </w:rPr>
      </w:r>
      <w:r>
        <w:rPr>
          <w:rFonts w:eastAsia="Yu Gothic"/>
          <w:rFonts w:ascii="Yu Gothic" w:hAnsi="Yu Gothic"/>
          <w:b/>
          <w:sz w:val="20"/>
        </w:rPr>
        <w:t>深井コメント：</w:t>
      </w:r>
      <w:r>
        <w:rPr>
          <w:rFonts w:eastAsia="Yu Gothic"/>
          <w:rFonts w:ascii="Yu Gothic" w:hAnsi="Yu Gothic"/>
          <w:b w:val="0"/>
          <w:sz w:val="20"/>
        </w:rPr>
        <w:t xml:space="preserve"> 第2フェーズは「収益化確度の低い長期オプション」として現時点のFVには織り込まない。ただし、M&amp;A発表時の株価カタリストとして+20〜+40%の上振れシナリオとして認識しておく。</w:t>
      </w:r>
    </w:p>
    <w:p/>
    <w:p/>
    <w:p/>
    <w:p>
      <w:pPr>
        <w:spacing w:before="120" w:after="80"/>
        <w:jc w:val="left"/>
        <w:pBdr>
          <w:bottom w:val="single" w:sz="6" w:space="1" w:color="4472C4"/>
        </w:pBdr>
      </w:pPr>
      <w:r>
        <w:rPr>
          <w:rFonts w:eastAsia="Yu Gothic"/>
          <w:rFonts w:ascii="Yu Gothic" w:hAnsi="Yu Gothic"/>
          <w:b/>
          <w:color w:val="1F497D"/>
          <w:sz w:val="26"/>
        </w:rPr>
        <w:t>3. 財務スナップショット（yfinance 2026-04-23実測）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3135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実測値</w:t>
            </w:r>
          </w:p>
        </w:tc>
        <w:tc>
          <w:tcPr>
            <w:tcW w:type="dxa" w:w="3135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Rationale</w:t>
            </w:r>
          </w:p>
        </w:tc>
      </w:tr>
      <w:tr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株価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¥1,301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Yahoo Finance API取得</w:t>
            </w:r>
          </w:p>
        </w:tc>
      </w:tr>
      <w:tr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時価総額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約¥379億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小型株。流動性留意</w:t>
            </w:r>
          </w:p>
        </w:tc>
      </w:tr>
      <w:tr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PBR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0.726倍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解散価値▲27.4%。割安</w:t>
            </w:r>
          </w:p>
        </w:tc>
      </w:tr>
      <w:tr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BPS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¥1,792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yfinance取得（公式BS由来）</w:t>
            </w:r>
          </w:p>
        </w:tc>
      </w:tr>
      <w:tr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ROE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5.66%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FY2025実績。FY2026上振れで改善見込み</w:t>
            </w:r>
          </w:p>
        </w:tc>
      </w:tr>
      <w:tr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Trailing PE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17.5倍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Trailing EPS¥74.37ベース</w:t>
            </w:r>
          </w:p>
        </w:tc>
      </w:tr>
      <w:tr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Forward PE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6.03倍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Forward EPS¥215.8。著しく割安</w:t>
            </w:r>
          </w:p>
        </w:tc>
      </w:tr>
      <w:tr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EPS trailing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¥74.37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公表済み実績ベース</w:t>
            </w:r>
          </w:p>
        </w:tc>
      </w:tr>
      <w:tr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Forward EPS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¥215.8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コンセンサス。FY2027以降の成長を反映か</w:t>
            </w:r>
          </w:p>
        </w:tc>
      </w:tr>
      <w:tr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配当利回り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3.01%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安定的</w:t>
            </w:r>
          </w:p>
        </w:tc>
      </w:tr>
      <w:tr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52週高値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¥1,521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現値は高値比▲14.5%</w:t>
            </w:r>
          </w:p>
        </w:tc>
      </w:tr>
      <w:tr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52週安値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¥970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現値は安値比+34.1%（回復局面）</w:t>
            </w:r>
          </w:p>
        </w:tc>
      </w:tr>
    </w:tbl>
    <w:p/>
    <w:p/>
    <w:p>
      <w:pPr>
        <w:spacing w:before="120" w:after="80"/>
        <w:jc w:val="left"/>
      </w:pPr>
      <w:r>
        <w:rPr>
          <w:rFonts w:eastAsia="Yu Gothic"/>
          <w:rFonts w:ascii="Yu Gothic" w:hAnsi="Yu Gothic"/>
          <w:b/>
          <w:color w:val="366092"/>
          <w:sz w:val="23"/>
        </w:rPr>
        <w:t>業績推移（確認済みファクト）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期</w:t>
            </w:r>
          </w:p>
        </w:tc>
        <w:tc>
          <w:tcPr>
            <w:tcW w:type="dxa" w:w="1344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売上高</w:t>
            </w:r>
          </w:p>
        </w:tc>
        <w:tc>
          <w:tcPr>
            <w:tcW w:type="dxa" w:w="1344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営業利益</w:t>
            </w:r>
          </w:p>
        </w:tc>
        <w:tc>
          <w:tcPr>
            <w:tcW w:type="dxa" w:w="1344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純利益</w:t>
            </w:r>
          </w:p>
        </w:tc>
        <w:tc>
          <w:tcPr>
            <w:tcW w:type="dxa" w:w="1344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EPS</w:t>
            </w:r>
          </w:p>
        </w:tc>
        <w:tc>
          <w:tcPr>
            <w:tcW w:type="dxa" w:w="1344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配当</w:t>
            </w:r>
          </w:p>
        </w:tc>
        <w:tc>
          <w:tcPr>
            <w:tcW w:type="dxa" w:w="1344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出典</w:t>
            </w:r>
          </w:p>
        </w:tc>
      </w:tr>
      <w:tr>
        <w:tc>
          <w:tcPr>
            <w:tcW w:type="dxa" w:w="1344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FY2024 実績</w:t>
            </w:r>
          </w:p>
        </w:tc>
        <w:tc>
          <w:tcPr>
            <w:tcW w:type="dxa" w:w="1344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—</w:t>
            </w:r>
          </w:p>
        </w:tc>
        <w:tc>
          <w:tcPr>
            <w:tcW w:type="dxa" w:w="1344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—</w:t>
            </w:r>
          </w:p>
        </w:tc>
        <w:tc>
          <w:tcPr>
            <w:tcW w:type="dxa" w:w="1344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—</w:t>
            </w:r>
          </w:p>
        </w:tc>
        <w:tc>
          <w:tcPr>
            <w:tcW w:type="dxa" w:w="1344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—</w:t>
            </w:r>
          </w:p>
        </w:tc>
        <w:tc>
          <w:tcPr>
            <w:tcW w:type="dxa" w:w="1344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—</w:t>
            </w:r>
          </w:p>
        </w:tc>
        <w:tc>
          <w:tcPr>
            <w:tcW w:type="dxa" w:w="1344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—</w:t>
            </w:r>
          </w:p>
        </w:tc>
      </w:tr>
      <w:tr>
        <w:tc>
          <w:tcPr>
            <w:tcW w:type="dxa" w:w="1344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FY2025 実績</w:t>
            </w:r>
          </w:p>
        </w:tc>
        <w:tc>
          <w:tcPr>
            <w:tcW w:type="dxa" w:w="1344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—</w:t>
            </w:r>
          </w:p>
        </w:tc>
        <w:tc>
          <w:tcPr>
            <w:tcW w:type="dxa" w:w="1344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—</w:t>
            </w:r>
          </w:p>
        </w:tc>
        <w:tc>
          <w:tcPr>
            <w:tcW w:type="dxa" w:w="1344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¥14.98億</w:t>
            </w:r>
          </w:p>
        </w:tc>
        <w:tc>
          <w:tcPr>
            <w:tcW w:type="dxa" w:w="1344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¥51.4</w:t>
            </w:r>
          </w:p>
        </w:tc>
        <w:tc>
          <w:tcPr>
            <w:tcW w:type="dxa" w:w="1344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¥39</w:t>
            </w:r>
          </w:p>
        </w:tc>
        <w:tc>
          <w:tcPr>
            <w:tcW w:type="dxa" w:w="1344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決算短信</w:t>
            </w:r>
          </w:p>
        </w:tc>
      </w:tr>
      <w:tr>
        <w:tc>
          <w:tcPr>
            <w:tcW w:type="dxa" w:w="1344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FY2026 当初ガイダンス</w:t>
            </w:r>
          </w:p>
        </w:tc>
        <w:tc>
          <w:tcPr>
            <w:tcW w:type="dxa" w:w="1344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—</w:t>
            </w:r>
          </w:p>
        </w:tc>
        <w:tc>
          <w:tcPr>
            <w:tcW w:type="dxa" w:w="1344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¥30億（推計）</w:t>
            </w:r>
          </w:p>
        </w:tc>
        <w:tc>
          <w:tcPr>
            <w:tcW w:type="dxa" w:w="1344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¥24.72億</w:t>
            </w:r>
          </w:p>
        </w:tc>
        <w:tc>
          <w:tcPr>
            <w:tcW w:type="dxa" w:w="1344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—</w:t>
            </w:r>
          </w:p>
        </w:tc>
        <w:tc>
          <w:tcPr>
            <w:tcW w:type="dxa" w:w="1344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¥39</w:t>
            </w:r>
          </w:p>
        </w:tc>
        <w:tc>
          <w:tcPr>
            <w:tcW w:type="dxa" w:w="1344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IR資料</w:t>
            </w:r>
          </w:p>
        </w:tc>
      </w:tr>
      <w:tr>
        <w:tc>
          <w:tcPr>
            <w:tcW w:type="dxa" w:w="1344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FY2026 3Q累計</w:t>
            </w:r>
          </w:p>
        </w:tc>
        <w:tc>
          <w:tcPr>
            <w:tcW w:type="dxa" w:w="1344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—</w:t>
            </w:r>
          </w:p>
        </w:tc>
        <w:tc>
          <w:tcPr>
            <w:tcW w:type="dxa" w:w="1344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¥27.51億(+47.2%)</w:t>
            </w:r>
          </w:p>
        </w:tc>
        <w:tc>
          <w:tcPr>
            <w:tcW w:type="dxa" w:w="1344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¥22.67億(+86.2%)</w:t>
            </w:r>
          </w:p>
        </w:tc>
        <w:tc>
          <w:tcPr>
            <w:tcW w:type="dxa" w:w="1344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—</w:t>
            </w:r>
          </w:p>
        </w:tc>
        <w:tc>
          <w:tcPr>
            <w:tcW w:type="dxa" w:w="1344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—</w:t>
            </w:r>
          </w:p>
        </w:tc>
        <w:tc>
          <w:tcPr>
            <w:tcW w:type="dxa" w:w="1344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決算短信3Q</w:t>
            </w:r>
          </w:p>
        </w:tc>
      </w:tr>
      <w:tr>
        <w:tc>
          <w:tcPr>
            <w:tcW w:type="dxa" w:w="1344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FY2026 3Q進捗率</w:t>
            </w:r>
          </w:p>
        </w:tc>
        <w:tc>
          <w:tcPr>
            <w:tcW w:type="dxa" w:w="1344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—</w:t>
            </w:r>
          </w:p>
        </w:tc>
        <w:tc>
          <w:tcPr>
            <w:tcW w:type="dxa" w:w="1344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91.7%</w:t>
            </w:r>
          </w:p>
        </w:tc>
        <w:tc>
          <w:tcPr>
            <w:tcW w:type="dxa" w:w="1344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91.7%</w:t>
            </w:r>
          </w:p>
        </w:tc>
        <w:tc>
          <w:tcPr>
            <w:tcW w:type="dxa" w:w="1344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—</w:t>
            </w:r>
          </w:p>
        </w:tc>
        <w:tc>
          <w:tcPr>
            <w:tcW w:type="dxa" w:w="1344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—</w:t>
            </w:r>
          </w:p>
        </w:tc>
        <w:tc>
          <w:tcPr>
            <w:tcW w:type="dxa" w:w="1344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深井算出</w:t>
            </w:r>
          </w:p>
        </w:tc>
      </w:tr>
    </w:tbl>
    <w:p/>
    <w:p/>
    <w:p>
      <w:pPr>
        <w:spacing w:after="40"/>
        <w:ind w:left="283"/>
      </w:pPr>
      <w:r>
        <w:rPr>
          <w:rFonts w:eastAsia="Yu Gothic"/>
          <w:rFonts w:ascii="Yu Gothic" w:hAnsi="Yu Gothic"/>
          <w:b w:val="0"/>
          <w:sz w:val="20"/>
        </w:rPr>
      </w:r>
      <w:r>
        <w:rPr>
          <w:rFonts w:eastAsia="Yu Gothic"/>
          <w:rFonts w:ascii="Yu Gothic" w:hAnsi="Yu Gothic"/>
          <w:b/>
          <w:sz w:val="20"/>
        </w:rPr>
        <w:t>FY2026は上振れ確実。ダイトの自社品約100規格+受託約300規格の約400規格体制は安定基盤。</w:t>
      </w:r>
      <w:r>
        <w:rPr>
          <w:rFonts w:eastAsia="Yu Gothic"/>
          <w:rFonts w:ascii="Yu Gothic" w:hAnsi="Yu Gothic"/>
          <w:b w:val="0"/>
          <w:sz w:val="20"/>
        </w:rPr>
      </w:r>
    </w:p>
    <w:p/>
    <w:p/>
    <w:p/>
    <w:p>
      <w:pPr>
        <w:spacing w:before="120" w:after="80"/>
        <w:jc w:val="left"/>
        <w:pBdr>
          <w:bottom w:val="single" w:sz="6" w:space="1" w:color="4472C4"/>
        </w:pBdr>
      </w:pPr>
      <w:r>
        <w:rPr>
          <w:rFonts w:eastAsia="Yu Gothic"/>
          <w:rFonts w:ascii="Yu Gothic" w:hAnsi="Yu Gothic"/>
          <w:b/>
          <w:color w:val="1F497D"/>
          <w:sz w:val="26"/>
        </w:rPr>
        <w:t>4. 構造的成長ドライバー</w:t>
      </w:r>
    </w:p>
    <w:p/>
    <w:p>
      <w:pPr>
        <w:spacing w:before="120" w:after="80"/>
        <w:jc w:val="left"/>
      </w:pPr>
      <w:r>
        <w:rPr>
          <w:rFonts w:eastAsia="Yu Gothic"/>
          <w:rFonts w:ascii="Yu Gothic" w:hAnsi="Yu Gothic"/>
          <w:b/>
          <w:color w:val="366092"/>
          <w:sz w:val="23"/>
        </w:rPr>
        <w:t>ドライバー①：3Q進捗91.7%による本決算上振れ</w:t>
      </w:r>
    </w:p>
    <w:p/>
    <w:p>
      <w:pPr>
        <w:spacing w:after="40"/>
      </w:pPr>
      <w:r>
        <w:rPr>
          <w:rFonts w:eastAsia="Yu Gothic"/>
          <w:rFonts w:ascii="Yu Gothic" w:hAnsi="Yu Gothic"/>
          <w:b w:val="0"/>
          <w:sz w:val="20"/>
        </w:rPr>
        <w:t>FY2026 3Q終了時点（2026年2月末）でOP目標の91.7%を達成。4Q（3〜5月）は通常の繁忙期。本決算（7月）での上振れは高確度。</w:t>
      </w:r>
    </w:p>
    <w:p/>
    <w:p>
      <w:pPr>
        <w:spacing w:before="120" w:after="80"/>
        <w:jc w:val="left"/>
      </w:pPr>
      <w:r>
        <w:rPr>
          <w:rFonts w:eastAsia="Yu Gothic"/>
          <w:rFonts w:ascii="Yu Gothic" w:hAnsi="Yu Gothic"/>
          <w:b/>
          <w:color w:val="366092"/>
          <w:sz w:val="23"/>
        </w:rPr>
        <w:t>ドライバー②：コンソーシアム既存品統合（FY2027へのブリッジ）</w:t>
      </w:r>
    </w:p>
    <w:p/>
    <w:p>
      <w:pPr>
        <w:spacing w:after="40"/>
      </w:pPr>
      <w:r>
        <w:rPr>
          <w:rFonts w:eastAsia="Yu Gothic"/>
          <w:rFonts w:ascii="Yu Gothic" w:hAnsi="Yu Gothic"/>
          <w:b w:val="0"/>
          <w:sz w:val="20"/>
        </w:rPr>
        <w:t>最大¥3〜5億/年の生産効率改善効果。小さいが</w:t>
      </w:r>
      <w:r>
        <w:rPr>
          <w:rFonts w:eastAsia="Yu Gothic"/>
          <w:rFonts w:ascii="Yu Gothic" w:hAnsi="Yu Gothic"/>
          <w:b/>
          <w:sz w:val="20"/>
        </w:rPr>
        <w:t>毎年積み上がるボトムライン貢献</w:t>
      </w:r>
      <w:r>
        <w:rPr>
          <w:rFonts w:eastAsia="Yu Gothic"/>
          <w:rFonts w:ascii="Yu Gothic" w:hAnsi="Yu Gothic"/>
          <w:b w:val="0"/>
          <w:sz w:val="20"/>
        </w:rPr>
        <w:t>。FY2026から漸増。</w:t>
      </w:r>
    </w:p>
    <w:p/>
    <w:p>
      <w:pPr>
        <w:spacing w:before="120" w:after="80"/>
        <w:jc w:val="left"/>
      </w:pPr>
      <w:r>
        <w:rPr>
          <w:rFonts w:eastAsia="Yu Gothic"/>
          <w:rFonts w:ascii="Yu Gothic" w:hAnsi="Yu Gothic"/>
          <w:b/>
          <w:color w:val="366092"/>
          <w:sz w:val="23"/>
        </w:rPr>
        <w:t>ドライバー③：コンソーシアム新規共同開発（FY2027-2028の本命）</w:t>
      </w:r>
    </w:p>
    <w:p/>
    <w:p>
      <w:pPr>
        <w:spacing w:after="40"/>
      </w:pPr>
      <w:r>
        <w:rPr>
          <w:rFonts w:eastAsia="Yu Gothic"/>
          <w:rFonts w:ascii="Yu Gothic" w:hAnsi="Yu Gothic"/>
          <w:b/>
          <w:sz w:val="20"/>
        </w:rPr>
        <w:t>【IR回答原文（高畠氏）】：「新規品目の共同開発化の方が、大きな利益影響を与える」</w:t>
      </w:r>
    </w:p>
    <w:p/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  <w:t>マル特申請品のピーク上市: FY2027/05〜FY2028/05</w:t>
      </w:r>
    </w:p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  <w:t>9社×各社のパイプライン = 新規開発効率が大幅向上</w:t>
      </w:r>
    </w:p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  <w:t>開発費シェアリング → 単独開発比でコスト▲50%以上の可能性</w:t>
      </w:r>
    </w:p>
    <w:p/>
    <w:p>
      <w:pPr>
        <w:spacing w:before="120" w:after="80"/>
        <w:jc w:val="left"/>
      </w:pPr>
      <w:r>
        <w:rPr>
          <w:rFonts w:eastAsia="Yu Gothic"/>
          <w:rFonts w:ascii="Yu Gothic" w:hAnsi="Yu Gothic"/>
          <w:b/>
          <w:color w:val="366092"/>
          <w:sz w:val="23"/>
        </w:rPr>
        <w:t>ドライバー④：薬事手続き短縮（厚労省）</w:t>
      </w:r>
    </w:p>
    <w:p/>
    <w:p>
      <w:pPr>
        <w:spacing w:after="40"/>
      </w:pPr>
      <w:r>
        <w:rPr>
          <w:rFonts w:eastAsia="Yu Gothic"/>
          <w:rFonts w:ascii="Yu Gothic" w:hAnsi="Yu Gothic"/>
          <w:b w:val="0"/>
          <w:sz w:val="20"/>
        </w:rPr>
        <w:t>コンソーシアム参加企業へのマル特制度（申請期間6ヶ月→1.5ヶ月短縮）が承認済み。これが上市ピークを2027-2028に設定する根拠。</w:t>
      </w:r>
    </w:p>
    <w:p/>
    <w:p>
      <w:pPr>
        <w:spacing w:before="120" w:after="80"/>
        <w:jc w:val="left"/>
      </w:pPr>
      <w:r>
        <w:rPr>
          <w:rFonts w:eastAsia="Yu Gothic"/>
          <w:rFonts w:ascii="Yu Gothic" w:hAnsi="Yu Gothic"/>
          <w:b/>
          <w:color w:val="366092"/>
          <w:sz w:val="23"/>
        </w:rPr>
        <w:t>ドライバー⑤：原薬内製×富山立地の構造的優位</w:t>
      </w:r>
    </w:p>
    <w:p/>
    <w:p>
      <w:pPr>
        <w:spacing w:after="40"/>
      </w:pPr>
      <w:r>
        <w:rPr>
          <w:rFonts w:eastAsia="Yu Gothic"/>
          <w:rFonts w:ascii="Yu Gothic" w:hAnsi="Yu Gothic"/>
          <w:b w:val="0"/>
          <w:sz w:val="20"/>
        </w:rPr>
        <w:t>後発薬業界の品質問題（2021年以降続くGMP違反）が「製造能力のある企業」への選別を加速。ダイトは原薬内製率が高く、富山のGMP人材基盤が厚い。業界再編の受益者ポジション。</w:t>
      </w:r>
    </w:p>
    <w:p/>
    <w:p/>
    <w:p/>
    <w:p>
      <w:pPr>
        <w:spacing w:before="120" w:after="80"/>
        <w:jc w:val="left"/>
        <w:pBdr>
          <w:bottom w:val="single" w:sz="6" w:space="1" w:color="4472C4"/>
        </w:pBdr>
      </w:pPr>
      <w:r>
        <w:rPr>
          <w:rFonts w:eastAsia="Yu Gothic"/>
          <w:rFonts w:ascii="Yu Gothic" w:hAnsi="Yu Gothic"/>
          <w:b/>
          <w:color w:val="1F497D"/>
          <w:sz w:val="26"/>
        </w:rPr>
        <w:t>5. Q-1からの定性変化（FY2025→FY2026）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2351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FY2025（前期）</w:t>
            </w:r>
          </w:p>
        </w:tc>
        <w:tc>
          <w:tcPr>
            <w:tcW w:type="dxa" w:w="2351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FY2026（今期）</w:t>
            </w:r>
          </w:p>
        </w:tc>
        <w:tc>
          <w:tcPr>
            <w:tcW w:type="dxa" w:w="2351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変化方向</w:t>
            </w:r>
          </w:p>
        </w:tc>
      </w:tr>
      <w:tr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コンソーシアム規格数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56規格（2025/10時点）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498規格（2026/03時点）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↑↑↑（9倍）</w:t>
            </w:r>
          </w:p>
        </w:tc>
      </w:tr>
      <w:tr>
        <w:tc>
          <w:tcPr>
            <w:tcW w:type="dxa" w:w="235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既存品統合コスト効果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なし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最大¥3〜5億/年（漸増中）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↑</w:t>
            </w:r>
          </w:p>
        </w:tc>
      </w:tr>
      <w:tr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新規共同開発品目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開発中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上市に向けて進行中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↑</w:t>
            </w:r>
          </w:p>
        </w:tc>
      </w:tr>
      <w:tr>
        <w:tc>
          <w:tcPr>
            <w:tcW w:type="dxa" w:w="235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3Q進捗率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参考値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91.7%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↑↑</w:t>
            </w:r>
          </w:p>
        </w:tc>
      </w:tr>
      <w:tr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参加企業数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数社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9社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↑</w:t>
            </w:r>
          </w:p>
        </w:tc>
      </w:tr>
      <w:tr>
        <w:tc>
          <w:tcPr>
            <w:tcW w:type="dxa" w:w="235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M&amp;A的展開可能性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非言及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松森CEO明言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↑</w:t>
            </w:r>
          </w:p>
        </w:tc>
      </w:tr>
    </w:tbl>
    <w:p/>
    <w:p/>
    <w:p/>
    <w:p/>
    <w:p>
      <w:pPr>
        <w:spacing w:before="120" w:after="80"/>
        <w:jc w:val="left"/>
        <w:pBdr>
          <w:bottom w:val="single" w:sz="6" w:space="1" w:color="4472C4"/>
        </w:pBdr>
      </w:pPr>
      <w:r>
        <w:rPr>
          <w:rFonts w:eastAsia="Yu Gothic"/>
          <w:rFonts w:ascii="Yu Gothic" w:hAnsi="Yu Gothic"/>
          <w:b/>
          <w:color w:val="1F497D"/>
          <w:sz w:val="26"/>
        </w:rPr>
        <w:t>6. ガイダンス考察</w:t>
      </w:r>
    </w:p>
    <w:p/>
    <w:p>
      <w:pPr>
        <w:spacing w:before="120" w:after="80"/>
        <w:jc w:val="left"/>
      </w:pPr>
      <w:r>
        <w:rPr>
          <w:rFonts w:eastAsia="Yu Gothic"/>
          <w:rFonts w:ascii="Yu Gothic" w:hAnsi="Yu Gothic"/>
          <w:b/>
          <w:color w:val="366092"/>
          <w:sz w:val="23"/>
        </w:rPr>
        <w:t>FY2026通期（本決算7月）の確度</w:t>
      </w:r>
    </w:p>
    <w:p/>
    <w:p>
      <w:pPr>
        <w:spacing w:after="40"/>
      </w:pPr>
      <w:r>
        <w:rPr>
          <w:rFonts w:eastAsia="Yu Gothic"/>
          <w:rFonts w:ascii="Yu Gothic" w:hAnsi="Yu Gothic"/>
          <w:b w:val="0"/>
          <w:sz w:val="20"/>
        </w:rPr>
        <w:t>3Q進捗91.7%から残4Q（3ヶ月）で9.3%を稼ぐ必要。建設業・製造業共通で4Qは完工・納品集中期。OP上振れ確実水準。コンソーシアム品目Aの小規模売上も漸増中。</w:t>
      </w:r>
    </w:p>
    <w:p/>
    <w:p>
      <w:pPr>
        <w:spacing w:before="120" w:after="80"/>
        <w:jc w:val="left"/>
      </w:pPr>
      <w:r>
        <w:rPr>
          <w:rFonts w:eastAsia="Yu Gothic"/>
          <w:rFonts w:ascii="Yu Gothic" w:hAnsi="Yu Gothic"/>
          <w:b/>
          <w:color w:val="366092"/>
          <w:sz w:val="23"/>
        </w:rPr>
        <w:t>FY2027（来期）への橋渡し</w:t>
      </w:r>
    </w:p>
    <w:p/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  <w:t>コンソーシアム既存品統合: +¥3〜5億/年（会社上限値）</w:t>
      </w:r>
    </w:p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  <w:t>新規共同開発品目の順次上市: 早期品目（品目B・Cクラス）が立ち上がり</w:t>
      </w:r>
    </w:p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  <w:t>薬価改定▲2〜4%/年のヘッドウィンド継続</w:t>
      </w:r>
    </w:p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</w:r>
      <w:r>
        <w:rPr>
          <w:rFonts w:eastAsia="Yu Gothic"/>
          <w:rFonts w:ascii="Yu Gothic" w:hAnsi="Yu Gothic"/>
          <w:b/>
          <w:sz w:val="20"/>
        </w:rPr>
        <w:t>DTP2027 EBITDA¥100億目標は据え置き</w:t>
      </w:r>
      <w:r>
        <w:rPr>
          <w:rFonts w:eastAsia="Yu Gothic"/>
          <w:rFonts w:ascii="Yu Gothic" w:hAnsi="Yu Gothic"/>
          <w:b w:val="0"/>
          <w:sz w:val="20"/>
        </w:rPr>
        <w:t>（会社公式。上方修正は非検討）</w:t>
      </w:r>
    </w:p>
    <w:p/>
    <w:p>
      <w:pPr>
        <w:spacing w:before="120" w:after="80"/>
        <w:jc w:val="left"/>
      </w:pPr>
      <w:r>
        <w:rPr>
          <w:rFonts w:eastAsia="Yu Gothic"/>
          <w:rFonts w:ascii="Yu Gothic" w:hAnsi="Yu Gothic"/>
          <w:b/>
          <w:color w:val="366092"/>
          <w:sz w:val="23"/>
        </w:rPr>
        <w:t>DTP2027の評価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2351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DTP2027目標</w:t>
            </w:r>
          </w:p>
        </w:tc>
        <w:tc>
          <w:tcPr>
            <w:tcW w:type="dxa" w:w="2351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FY2026現ペース</w:t>
            </w:r>
          </w:p>
        </w:tc>
        <w:tc>
          <w:tcPr>
            <w:tcW w:type="dxa" w:w="2351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進捗感</w:t>
            </w:r>
          </w:p>
        </w:tc>
      </w:tr>
      <w:tr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EBITDA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¥100億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¥30億前後（OP）＋D&amp;A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FY2027に向けて積み上げ中</w:t>
            </w:r>
          </w:p>
        </w:tc>
      </w:tr>
      <w:tr>
        <w:tc>
          <w:tcPr>
            <w:tcW w:type="dxa" w:w="235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評価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—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達成に向けた必要成長はFY2027が正念場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要継続監視</w:t>
            </w:r>
          </w:p>
        </w:tc>
      </w:tr>
    </w:tbl>
    <w:p/>
    <w:p/>
    <w:p/>
    <w:p/>
    <w:p>
      <w:pPr>
        <w:spacing w:before="120" w:after="80"/>
        <w:jc w:val="left"/>
        <w:pBdr>
          <w:bottom w:val="single" w:sz="6" w:space="1" w:color="4472C4"/>
        </w:pBdr>
      </w:pPr>
      <w:r>
        <w:rPr>
          <w:rFonts w:eastAsia="Yu Gothic"/>
          <w:rFonts w:ascii="Yu Gothic" w:hAnsi="Yu Gothic"/>
          <w:b/>
          <w:color w:val="1F497D"/>
          <w:sz w:val="26"/>
        </w:rPr>
        <w:t>7. FV算出（複数アプローチ — v2修正）</w:t>
      </w:r>
    </w:p>
    <w:p/>
    <w:p>
      <w:pPr>
        <w:spacing w:before="120" w:after="80"/>
        <w:jc w:val="left"/>
      </w:pPr>
      <w:r>
        <w:rPr>
          <w:rFonts w:eastAsia="Yu Gothic"/>
          <w:rFonts w:ascii="Yu Gothic" w:hAnsi="Yu Gothic"/>
          <w:b/>
          <w:color w:val="366092"/>
          <w:sz w:val="23"/>
        </w:rPr>
        <w:t>アプローチ①: BPS正常化（PBR 0.85〜1.0倍）</w:t>
      </w:r>
    </w:p>
    <w:p/>
    <w:p>
      <w:pPr>
        <w:shd w:val="clear" w:fill="F2F2F2"/>
        <w:spacing w:after="80"/>
        <w:ind w:left="283"/>
      </w:pPr>
      <w:r>
        <w:rPr>
          <w:rFonts w:eastAsia="Yu Gothic" w:ascii="Courier New" w:hAnsi="Courier New"/>
          <w:rFonts w:ascii="Yu Gothic" w:hAnsi="Yu Gothic"/>
          <w:b w:val="0"/>
          <w:sz w:val="18"/>
        </w:rPr>
        <w:t>BPS ¥1,792 × 0.85倍 = ¥1,523 ← 保守的</w:t>
        <w:br/>
        <w:t>BPS ¥1,792 × 1.00倍 = ¥1,792 ← 中立</w:t>
        <w:br/>
        <w:t>根拠: ROE改善継続（5.66%→DTP2027で7〜8%目標）でPBR正常化</w:t>
      </w:r>
    </w:p>
    <w:p/>
    <w:p>
      <w:pPr>
        <w:spacing w:before="120" w:after="80"/>
        <w:jc w:val="left"/>
      </w:pPr>
      <w:r>
        <w:rPr>
          <w:rFonts w:eastAsia="Yu Gothic"/>
          <w:rFonts w:ascii="Yu Gothic" w:hAnsi="Yu Gothic"/>
          <w:b/>
          <w:color w:val="366092"/>
          <w:sz w:val="23"/>
        </w:rPr>
        <w:t>アプローチ②: EPS × PE</w:t>
      </w:r>
    </w:p>
    <w:p/>
    <w:p>
      <w:pPr>
        <w:shd w:val="clear" w:fill="F2F2F2"/>
        <w:spacing w:after="80"/>
        <w:ind w:left="283"/>
      </w:pPr>
      <w:r>
        <w:rPr>
          <w:rFonts w:eastAsia="Yu Gothic" w:ascii="Courier New" w:hAnsi="Courier New"/>
          <w:rFonts w:ascii="Yu Gothic" w:hAnsi="Yu Gothic"/>
          <w:b w:val="0"/>
          <w:sz w:val="18"/>
        </w:rPr>
        <w:t>FY2026 EPS推計（純利益¥24〜25億 ÷ 2,914万株）≒ ¥82〜86</w:t>
        <w:br/>
        <w:t>適正PE: 後発薬メーカー中堅 13〜20倍</w:t>
        <w:br/>
        <w:br/>
        <w:t>FY2026 EPS¥84ベース:</w:t>
        <w:br/>
        <w:t xml:space="preserve">  PE 13倍 = ¥1,092（保守）</w:t>
        <w:br/>
        <w:t xml:space="preserve">  PE 15倍 = ¥1,260</w:t>
        <w:br/>
        <w:t xml:space="preserve">  PE 18倍 = ¥1,512</w:t>
        <w:br/>
        <w:t xml:space="preserve">  PE 20倍 = ¥1,680</w:t>
        <w:br/>
        <w:br/>
        <w:t>Forward EPS ¥215.8（yfinance コンセンサス）ベース:</w:t>
        <w:br/>
        <w:t xml:space="preserve">  PE 7倍  = ¥1,511</w:t>
        <w:br/>
        <w:t xml:space="preserve">  PE 8倍  = ¥1,726</w:t>
        <w:br/>
        <w:t xml:space="preserve">  PE 10倍 = ¥2,158</w:t>
      </w:r>
    </w:p>
    <w:p/>
    <w:p>
      <w:pPr>
        <w:spacing w:before="120" w:after="80"/>
        <w:jc w:val="left"/>
      </w:pPr>
      <w:r>
        <w:rPr>
          <w:rFonts w:eastAsia="Yu Gothic"/>
          <w:rFonts w:ascii="Yu Gothic" w:hAnsi="Yu Gothic"/>
          <w:b/>
          <w:color w:val="366092"/>
          <w:sz w:val="23"/>
        </w:rPr>
        <w:t>アプローチ③: DTP2027 EBITDA目標アプローチ</w:t>
      </w:r>
    </w:p>
    <w:p/>
    <w:p>
      <w:pPr>
        <w:shd w:val="clear" w:fill="F2F2F2"/>
        <w:spacing w:after="80"/>
        <w:ind w:left="283"/>
      </w:pPr>
      <w:r>
        <w:rPr>
          <w:rFonts w:eastAsia="Yu Gothic" w:ascii="Courier New" w:hAnsi="Courier New"/>
          <w:rFonts w:ascii="Yu Gothic" w:hAnsi="Yu Gothic"/>
          <w:b w:val="0"/>
          <w:sz w:val="18"/>
        </w:rPr>
        <w:t>DTP2027 EBITDA目標: ¥100億</w:t>
        <w:br/>
        <w:t>想定EV/EBITDA倍率: 7〜10倍（後発薬セクター）</w:t>
        <w:br/>
        <w:t>EV = ¥700〜¥1,000億</w:t>
        <w:br/>
        <w:t>純有利子負債控除（推計▲¥50億）:</w:t>
        <w:br/>
        <w:t xml:space="preserve">  株式価値 = ¥650〜¥950億</w:t>
        <w:br/>
        <w:t xml:space="preserve">  株式価値/株（2,914万株）= ¥2,230〜¥3,260（FY2027時の目標株価）</w:t>
        <w:br/>
        <w:t xml:space="preserve">  </w:t>
        <w:br/>
        <w:t>→ 12ヶ月FVとしては現時点でPV換算（割引率10%）:</w:t>
        <w:br/>
        <w:t xml:space="preserve">  ¥2,230 × 0.91 = ¥2,029（強気シナリオ）</w:t>
      </w:r>
    </w:p>
    <w:p/>
    <w:p>
      <w:pPr>
        <w:spacing w:before="120" w:after="80"/>
        <w:jc w:val="left"/>
      </w:pPr>
      <w:r>
        <w:rPr>
          <w:rFonts w:eastAsia="Yu Gothic"/>
          <w:rFonts w:ascii="Yu Gothic" w:hAnsi="Yu Gothic"/>
          <w:b/>
          <w:color w:val="366092"/>
          <w:sz w:val="23"/>
        </w:rPr>
        <w:t>TP決定（v2）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アプローチ</w:t>
            </w:r>
          </w:p>
        </w:tc>
        <w:tc>
          <w:tcPr>
            <w:tcW w:type="dxa" w:w="2351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FV</w:t>
            </w:r>
          </w:p>
        </w:tc>
        <w:tc>
          <w:tcPr>
            <w:tcW w:type="dxa" w:w="2351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ウェイト</w:t>
            </w:r>
          </w:p>
        </w:tc>
        <w:tc>
          <w:tcPr>
            <w:tcW w:type="dxa" w:w="2351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加重後</w:t>
            </w:r>
          </w:p>
        </w:tc>
      </w:tr>
      <w:tr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BPS PBR0.90倍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¥1,613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30%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¥484</w:t>
            </w:r>
          </w:p>
        </w:tc>
      </w:tr>
      <w:tr>
        <w:tc>
          <w:tcPr>
            <w:tcW w:type="dxa" w:w="235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EPS PE18倍（FY2026）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¥1,512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40%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¥605</w:t>
            </w:r>
          </w:p>
        </w:tc>
      </w:tr>
      <w:tr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DTP2027 PV（保守）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¥1,800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30%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¥540</w:t>
            </w:r>
          </w:p>
        </w:tc>
      </w:tr>
      <w:tr>
        <w:tc>
          <w:tcPr>
            <w:tcW w:type="dxa" w:w="235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加重平均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100%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¥1,629</w:t>
            </w:r>
          </w:p>
        </w:tc>
      </w:tr>
    </w:tbl>
    <w:p/>
    <w:p/>
    <w:p>
      <w:pPr>
        <w:spacing w:after="40"/>
      </w:pPr>
      <w:r>
        <w:rPr>
          <w:rFonts w:eastAsia="Yu Gothic"/>
          <w:rFonts w:ascii="Yu Gothic" w:hAnsi="Yu Gothic"/>
          <w:b/>
          <w:sz w:val="20"/>
        </w:rPr>
        <w:t>→ TP ¥1,700（切り上げ。現値+30.7%）</w:t>
      </w:r>
    </w:p>
    <w:p/>
    <w:p>
      <w:pPr>
        <w:spacing w:after="40"/>
        <w:ind w:left="283"/>
      </w:pPr>
      <w:r>
        <w:rPr>
          <w:rFonts w:eastAsia="Yu Gothic"/>
          <w:rFonts w:ascii="Yu Gothic" w:hAnsi="Yu Gothic"/>
          <w:b w:val="0"/>
          <w:sz w:val="20"/>
        </w:rPr>
        <w:t>v1の¥1,900からTP▲¥200修正。コンソーシアム近期効果が「最大¥3〜5億/年」に確定したため、過度な成長プレミアムを剥落。FY2028以降のM&amp;A・共同開発本格化で¥2,000〜¥2,500のアップサイドシナリオは維持。</w:t>
      </w:r>
    </w:p>
    <w:p/>
    <w:p/>
    <w:p/>
    <w:p>
      <w:pPr>
        <w:spacing w:before="120" w:after="80"/>
        <w:jc w:val="left"/>
        <w:pBdr>
          <w:bottom w:val="single" w:sz="6" w:space="1" w:color="4472C4"/>
        </w:pBdr>
      </w:pPr>
      <w:r>
        <w:rPr>
          <w:rFonts w:eastAsia="Yu Gothic"/>
          <w:rFonts w:ascii="Yu Gothic" w:hAnsi="Yu Gothic"/>
          <w:b/>
          <w:color w:val="1F497D"/>
          <w:sz w:val="26"/>
        </w:rPr>
        <w:t>8. 不動産・含み益考察</w:t>
      </w:r>
    </w:p>
    <w:p/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  <w:t>本社: 富山市八日町326（富山県）</w:t>
      </w:r>
    </w:p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  <w:t>製造工場: 富山県内複数拠点（生産設備主体）</w:t>
      </w:r>
    </w:p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</w:r>
      <w:r>
        <w:rPr>
          <w:rFonts w:eastAsia="Yu Gothic"/>
          <w:rFonts w:ascii="Yu Gothic" w:hAnsi="Yu Gothic"/>
          <w:b/>
          <w:sz w:val="20"/>
        </w:rPr>
        <w:t>結論:</w:t>
      </w:r>
      <w:r>
        <w:rPr>
          <w:rFonts w:eastAsia="Yu Gothic"/>
          <w:rFonts w:ascii="Yu Gothic" w:hAnsi="Yu Gothic"/>
          <w:b w:val="0"/>
          <w:sz w:val="20"/>
        </w:rPr>
        <w:t xml:space="preserve"> 製造業の固定資産は設備・機械主体。不動産含み益は限定的。むしろ</w:t>
      </w:r>
      <w:r>
        <w:rPr>
          <w:rFonts w:eastAsia="Yu Gothic"/>
          <w:rFonts w:ascii="Yu Gothic" w:hAnsi="Yu Gothic"/>
          <w:b/>
          <w:sz w:val="20"/>
        </w:rPr>
        <w:t>製造許可・GMP認証・治験データ等の無形資産</w:t>
      </w:r>
      <w:r>
        <w:rPr>
          <w:rFonts w:eastAsia="Yu Gothic"/>
          <w:rFonts w:ascii="Yu Gothic" w:hAnsi="Yu Gothic"/>
          <w:b w:val="0"/>
          <w:sz w:val="20"/>
        </w:rPr>
        <w:t>が実質的な参入障壁。</w:t>
      </w:r>
    </w:p>
    <w:p/>
    <w:p/>
    <w:p/>
    <w:p>
      <w:pPr>
        <w:spacing w:before="120" w:after="80"/>
        <w:jc w:val="left"/>
        <w:pBdr>
          <w:bottom w:val="single" w:sz="6" w:space="1" w:color="4472C4"/>
        </w:pBdr>
      </w:pPr>
      <w:r>
        <w:rPr>
          <w:rFonts w:eastAsia="Yu Gothic"/>
          <w:rFonts w:ascii="Yu Gothic" w:hAnsi="Yu Gothic"/>
          <w:b/>
          <w:color w:val="1F497D"/>
          <w:sz w:val="26"/>
        </w:rPr>
        <w:t>9. 競合比較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会社</w:t>
            </w:r>
          </w:p>
        </w:tc>
        <w:tc>
          <w:tcPr>
            <w:tcW w:type="dxa" w:w="1881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時価総額</w:t>
            </w:r>
          </w:p>
        </w:tc>
        <w:tc>
          <w:tcPr>
            <w:tcW w:type="dxa" w:w="1881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PBR</w:t>
            </w:r>
          </w:p>
        </w:tc>
        <w:tc>
          <w:tcPr>
            <w:tcW w:type="dxa" w:w="1881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主力分野</w:t>
            </w:r>
          </w:p>
        </w:tc>
        <w:tc>
          <w:tcPr>
            <w:tcW w:type="dxa" w:w="1881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評価</w:t>
            </w:r>
          </w:p>
        </w:tc>
      </w:tr>
      <w:tr>
        <w:tc>
          <w:tcPr>
            <w:tcW w:type="dxa" w:w="188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ダイト 4577</w:t>
            </w:r>
          </w:p>
        </w:tc>
        <w:tc>
          <w:tcPr>
            <w:tcW w:type="dxa" w:w="188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¥379億</w:t>
            </w:r>
          </w:p>
        </w:tc>
        <w:tc>
          <w:tcPr>
            <w:tcW w:type="dxa" w:w="188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0.726</w:t>
            </w:r>
          </w:p>
        </w:tc>
        <w:tc>
          <w:tcPr>
            <w:tcW w:type="dxa" w:w="188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後発薬+CMO+原薬内製</w:t>
            </w:r>
          </w:p>
        </w:tc>
        <w:tc>
          <w:tcPr>
            <w:tcW w:type="dxa" w:w="188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BUY +80</w:t>
            </w:r>
          </w:p>
        </w:tc>
      </w:tr>
      <w:tr>
        <w:tc>
          <w:tcPr>
            <w:tcW w:type="dxa" w:w="188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東和薬品 4553</w:t>
            </w:r>
          </w:p>
        </w:tc>
        <w:tc>
          <w:tcPr>
            <w:tcW w:type="dxa" w:w="188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大型</w:t>
            </w:r>
          </w:p>
        </w:tc>
        <w:tc>
          <w:tcPr>
            <w:tcW w:type="dxa" w:w="188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1.0〜1.5</w:t>
            </w:r>
          </w:p>
        </w:tc>
        <w:tc>
          <w:tcPr>
            <w:tcW w:type="dxa" w:w="188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後発薬大手</w:t>
            </w:r>
          </w:p>
        </w:tc>
        <w:tc>
          <w:tcPr>
            <w:tcW w:type="dxa" w:w="188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—</w:t>
            </w:r>
          </w:p>
        </w:tc>
      </w:tr>
      <w:tr>
        <w:tc>
          <w:tcPr>
            <w:tcW w:type="dxa" w:w="188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日医工 4541</w:t>
            </w:r>
          </w:p>
        </w:tc>
        <w:tc>
          <w:tcPr>
            <w:tcW w:type="dxa" w:w="188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再建中</w:t>
            </w:r>
          </w:p>
        </w:tc>
        <w:tc>
          <w:tcPr>
            <w:tcW w:type="dxa" w:w="188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—</w:t>
            </w:r>
          </w:p>
        </w:tc>
        <w:tc>
          <w:tcPr>
            <w:tcW w:type="dxa" w:w="188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後発薬（経営再建）</w:t>
            </w:r>
          </w:p>
        </w:tc>
        <w:tc>
          <w:tcPr>
            <w:tcW w:type="dxa" w:w="188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—</w:t>
            </w:r>
          </w:p>
        </w:tc>
      </w:tr>
      <w:tr>
        <w:tc>
          <w:tcPr>
            <w:tcW w:type="dxa" w:w="188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共和薬品工業 4500</w:t>
            </w:r>
          </w:p>
        </w:tc>
        <w:tc>
          <w:tcPr>
            <w:tcW w:type="dxa" w:w="188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中型</w:t>
            </w:r>
          </w:p>
        </w:tc>
        <w:tc>
          <w:tcPr>
            <w:tcW w:type="dxa" w:w="188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0.8〜1.0</w:t>
            </w:r>
          </w:p>
        </w:tc>
        <w:tc>
          <w:tcPr>
            <w:tcW w:type="dxa" w:w="188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後発薬</w:t>
            </w:r>
          </w:p>
        </w:tc>
        <w:tc>
          <w:tcPr>
            <w:tcW w:type="dxa" w:w="188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—</w:t>
            </w:r>
          </w:p>
        </w:tc>
      </w:tr>
    </w:tbl>
    <w:p/>
    <w:p/>
    <w:p>
      <w:pPr>
        <w:spacing w:after="40"/>
        <w:ind w:left="283"/>
      </w:pPr>
      <w:r>
        <w:rPr>
          <w:rFonts w:eastAsia="Yu Gothic"/>
          <w:rFonts w:ascii="Yu Gothic" w:hAnsi="Yu Gothic"/>
          <w:b w:val="0"/>
          <w:sz w:val="20"/>
        </w:rPr>
        <w:t>業界品質問題で淘汰が進む中、原薬内製+富山立地+コンソーシアム旗振り役という3点セットはダイト固有の優位。PBR0.73は割安水準。</w:t>
      </w:r>
    </w:p>
    <w:p/>
    <w:p/>
    <w:p/>
    <w:p>
      <w:pPr>
        <w:spacing w:before="120" w:after="80"/>
        <w:jc w:val="left"/>
        <w:pBdr>
          <w:bottom w:val="single" w:sz="6" w:space="1" w:color="4472C4"/>
        </w:pBdr>
      </w:pPr>
      <w:r>
        <w:rPr>
          <w:rFonts w:eastAsia="Yu Gothic"/>
          <w:rFonts w:ascii="Yu Gothic" w:hAnsi="Yu Gothic"/>
          <w:b/>
          <w:color w:val="1F497D"/>
          <w:sz w:val="26"/>
        </w:rPr>
        <w:t>10. リスクシナリオ（定量）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シナリオ</w:t>
            </w:r>
          </w:p>
        </w:tc>
        <w:tc>
          <w:tcPr>
            <w:tcW w:type="dxa" w:w="2351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確率</w:t>
            </w:r>
          </w:p>
        </w:tc>
        <w:tc>
          <w:tcPr>
            <w:tcW w:type="dxa" w:w="2351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業績インパクト</w:t>
            </w:r>
          </w:p>
        </w:tc>
        <w:tc>
          <w:tcPr>
            <w:tcW w:type="dxa" w:w="2351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株価インパクト</w:t>
            </w:r>
          </w:p>
        </w:tc>
      </w:tr>
      <w:tr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メイン: FY2026上振れ+FY2027コンソーシアム順次寄与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45%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TP¥1,700達成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+31%</w:t>
            </w:r>
          </w:p>
        </w:tc>
      </w:tr>
      <w:tr>
        <w:tc>
          <w:tcPr>
            <w:tcW w:type="dxa" w:w="235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強気: FY2027-2028共同開発+M&amp;A的展開が加速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20%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DTP2027超過達成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+65〜+100%</w:t>
            </w:r>
          </w:p>
        </w:tc>
      </w:tr>
      <w:tr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中立: DTP2027¥100億達成だが成長ゆるやか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25%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EPS¥150〜180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±0〜+15%</w:t>
            </w:r>
          </w:p>
        </w:tc>
      </w:tr>
      <w:tr>
        <w:tc>
          <w:tcPr>
            <w:tcW w:type="dxa" w:w="235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弱気: 薬価改定深刻化+コンソーシアム協議決裂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10%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EPS¥60台低迷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▲25〜▲40%</w:t>
            </w:r>
          </w:p>
        </w:tc>
      </w:tr>
    </w:tbl>
    <w:p/>
    <w:p/>
    <w:p>
      <w:pPr>
        <w:spacing w:after="40"/>
      </w:pPr>
      <w:r>
        <w:rPr>
          <w:rFonts w:eastAsia="Yu Gothic"/>
          <w:rFonts w:ascii="Yu Gothic" w:hAnsi="Yu Gothic"/>
          <w:b/>
          <w:sz w:val="20"/>
        </w:rPr>
        <w:t>期待値 = 0.45×(+31%) + 0.20×(+80%) + 0.25×(+7%) + 0.10×(▲32%)</w:t>
      </w:r>
    </w:p>
    <w:p>
      <w:pPr>
        <w:spacing w:after="40"/>
      </w:pPr>
      <w:r>
        <w:rPr>
          <w:rFonts w:eastAsia="Yu Gothic"/>
          <w:rFonts w:ascii="Yu Gothic" w:hAnsi="Yu Gothic"/>
          <w:b/>
          <w:sz w:val="20"/>
        </w:rPr>
        <w:t>= +13.95% + 16.0% + 1.75% − 3.2% = +28.5%</w:t>
      </w:r>
    </w:p>
    <w:p/>
    <w:p>
      <w:pPr>
        <w:spacing w:after="40"/>
        <w:ind w:left="283"/>
      </w:pPr>
      <w:r>
        <w:rPr>
          <w:rFonts w:eastAsia="Yu Gothic"/>
          <w:rFonts w:ascii="Yu Gothic" w:hAnsi="Yu Gothic"/>
          <w:b w:val="0"/>
          <w:sz w:val="20"/>
        </w:rPr>
        <w:t>期待値+28.5%はTP+30.7%とほぼ整合。BUYの結論を支持。</w:t>
      </w:r>
    </w:p>
    <w:p/>
    <w:p/>
    <w:p/>
    <w:p>
      <w:pPr>
        <w:spacing w:before="120" w:after="80"/>
        <w:jc w:val="left"/>
        <w:pBdr>
          <w:bottom w:val="single" w:sz="6" w:space="1" w:color="4472C4"/>
        </w:pBdr>
      </w:pPr>
      <w:r>
        <w:rPr>
          <w:rFonts w:eastAsia="Yu Gothic"/>
          <w:rFonts w:ascii="Yu Gothic" w:hAnsi="Yu Gothic"/>
          <w:b/>
          <w:color w:val="1F497D"/>
          <w:sz w:val="26"/>
        </w:rPr>
        <w:t>11. テクニカル・需給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3135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値</w:t>
            </w:r>
          </w:p>
        </w:tc>
        <w:tc>
          <w:tcPr>
            <w:tcW w:type="dxa" w:w="3135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コメント</w:t>
            </w:r>
          </w:p>
        </w:tc>
      </w:tr>
      <w:tr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52週レンジ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¥970〜¥1,521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現値¥1,301 = レンジ中央〜やや下</w:t>
            </w:r>
          </w:p>
        </w:tc>
      </w:tr>
      <w:tr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短期レジスタンス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¥1,400（心理的節目）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抜ければ¥1,521（52週高値）が次の関門</w:t>
            </w:r>
          </w:p>
        </w:tc>
      </w:tr>
      <w:tr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支持線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¥1,180（BPS▲34%水準、損切りライン）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ここを割ると弱気シナリオ</w:t>
            </w:r>
          </w:p>
        </w:tc>
      </w:tr>
      <w:tr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時価総額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¥379億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小型株。機関投資家の対象外 → 個人+家族オフィス向け</w:t>
            </w:r>
          </w:p>
        </w:tc>
      </w:tr>
    </w:tbl>
    <w:p/>
    <w:p/>
    <w:p/>
    <w:p/>
    <w:p>
      <w:pPr>
        <w:spacing w:before="120" w:after="80"/>
        <w:jc w:val="left"/>
        <w:pBdr>
          <w:bottom w:val="single" w:sz="6" w:space="1" w:color="4472C4"/>
        </w:pBdr>
      </w:pPr>
      <w:r>
        <w:rPr>
          <w:rFonts w:eastAsia="Yu Gothic"/>
          <w:rFonts w:ascii="Yu Gothic" w:hAnsi="Yu Gothic"/>
          <w:b/>
          <w:color w:val="1F497D"/>
          <w:sz w:val="26"/>
        </w:rPr>
        <w:t>12. IR回答サマリー（2026-04-23 竹村→ダイト取材）</w:t>
      </w:r>
    </w:p>
    <w:p/>
    <w:p>
      <w:pPr>
        <w:spacing w:after="40"/>
        <w:ind w:left="283"/>
      </w:pPr>
      <w:r>
        <w:rPr>
          <w:rFonts w:eastAsia="Yu Gothic"/>
          <w:rFonts w:ascii="Yu Gothic" w:hAnsi="Yu Gothic"/>
          <w:b w:val="0"/>
          <w:sz w:val="20"/>
        </w:rPr>
        <w:t>従来の「質問状」から「取材済み回答」セクションに変更。高畠浩一 経営企画部（TEL: 076-421-8755）より正式回答受領。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質問</w:t>
            </w:r>
          </w:p>
        </w:tc>
        <w:tc>
          <w:tcPr>
            <w:tcW w:type="dxa" w:w="3135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ダイトの公式回答要旨</w:t>
            </w:r>
          </w:p>
        </w:tc>
        <w:tc>
          <w:tcPr>
            <w:tcW w:type="dxa" w:w="3135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投資判断への影響</w:t>
            </w:r>
          </w:p>
        </w:tc>
      </w:tr>
      <w:tr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Q1: 受け入れ品目数・収益純効果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全社Win-Win（±0）。最大¥3〜5億/年のコスト効果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弱材料（予想より小さい）</w:t>
            </w:r>
          </w:p>
        </w:tc>
      </w:tr>
      <w:tr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Q2: CMO受託余力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中止代替のライン占有率低く短期寄与は軽微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弱材料（余力は小さい）</w:t>
            </w:r>
          </w:p>
        </w:tc>
      </w:tr>
      <w:tr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Q3: 収益寄与タイミング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ピーク上市はFY2027/05〜FY2028/05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中立（想定通り遅い）</w:t>
            </w:r>
          </w:p>
        </w:tc>
      </w:tr>
      <w:tr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Q4: DTP2027修正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現時点で見直し非検討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中立（上方修正なし確認）</w:t>
            </w:r>
          </w:p>
        </w:tc>
      </w:tr>
      <w:tr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Q5: 第2フェーズ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M&amp;A的展開も松森CEO想定。参加企業増加見込み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中長期ポジティブ</w:t>
            </w:r>
          </w:p>
        </w:tc>
      </w:tr>
    </w:tbl>
    <w:p/>
    <w:p/>
    <w:p>
      <w:pPr>
        <w:spacing w:after="40"/>
      </w:pPr>
      <w:r>
        <w:rPr>
          <w:rFonts w:eastAsia="Yu Gothic"/>
          <w:rFonts w:ascii="Yu Gothic" w:hAnsi="Yu Gothic"/>
          <w:b/>
          <w:sz w:val="20"/>
        </w:rPr>
        <w:t>取材の総括（深井）：</w:t>
      </w:r>
    </w:p>
    <w:p>
      <w:pPr>
        <w:spacing w:after="40"/>
        <w:ind w:left="283"/>
      </w:pPr>
      <w:r>
        <w:rPr>
          <w:rFonts w:eastAsia="Yu Gothic"/>
          <w:rFonts w:ascii="Yu Gothic" w:hAnsi="Yu Gothic"/>
          <w:b w:val="0"/>
          <w:sz w:val="20"/>
        </w:rPr>
        <w:t>ダイトIRは非常に透明性が高く、「言えること・言えないこと」を明確に分けた丁寧な回答だった。近期業績へのブースト期待を修正する必要があるが、</w:t>
      </w:r>
      <w:r>
        <w:rPr>
          <w:rFonts w:eastAsia="Yu Gothic"/>
          <w:rFonts w:ascii="Yu Gothic" w:hAnsi="Yu Gothic"/>
          <w:b/>
          <w:sz w:val="20"/>
        </w:rPr>
        <w:t>FY2027-2028に向けた成長の蓋然性は否定されていない</w:t>
      </w:r>
      <w:r>
        <w:rPr>
          <w:rFonts w:eastAsia="Yu Gothic"/>
          <w:rFonts w:ascii="Yu Gothic" w:hAnsi="Yu Gothic"/>
          <w:b w:val="0"/>
          <w:sz w:val="20"/>
        </w:rPr>
        <w:t>。「コンソーシアム≠近期収益カタリスト」「コンソーシアム≒FY2028への仕込み材料」への見方の修正が今回のv2の骨子。</w:t>
      </w:r>
    </w:p>
    <w:p/>
    <w:p/>
    <w:p/>
    <w:p>
      <w:pPr>
        <w:spacing w:before="120" w:after="80"/>
        <w:jc w:val="left"/>
        <w:pBdr>
          <w:bottom w:val="single" w:sz="6" w:space="1" w:color="4472C4"/>
        </w:pBdr>
      </w:pPr>
      <w:r>
        <w:rPr>
          <w:rFonts w:eastAsia="Yu Gothic"/>
          <w:rFonts w:ascii="Yu Gothic" w:hAnsi="Yu Gothic"/>
          <w:b/>
          <w:color w:val="1F497D"/>
          <w:sz w:val="26"/>
        </w:rPr>
        <w:t>13. 総合判断</w:t>
      </w:r>
    </w:p>
    <w:p/>
    <w:p>
      <w:pPr>
        <w:spacing w:after="40"/>
      </w:pPr>
      <w:r>
        <w:rPr>
          <w:rFonts w:eastAsia="Yu Gothic"/>
          <w:rFonts w:ascii="Yu Gothic" w:hAnsi="Yu Gothic"/>
          <w:b w:val="0"/>
          <w:sz w:val="20"/>
        </w:rPr>
      </w:r>
      <w:r>
        <w:rPr>
          <w:rFonts w:eastAsia="Yu Gothic"/>
          <w:rFonts w:ascii="Yu Gothic" w:hAnsi="Yu Gothic"/>
          <w:b/>
          <w:sz w:val="20"/>
        </w:rPr>
        <w:t>スコア: +80 BUY</w:t>
      </w:r>
      <w:r>
        <w:rPr>
          <w:rFonts w:eastAsia="Yu Gothic"/>
          <w:rFonts w:ascii="Yu Gothic" w:hAnsi="Yu Gothic"/>
          <w:b w:val="0"/>
          <w:sz w:val="20"/>
        </w:rPr>
        <w:t>（v1 +94から▲14pt改訂）</w:t>
      </w:r>
    </w:p>
    <w:p/>
    <w:p>
      <w:pPr>
        <w:spacing w:before="120" w:after="80"/>
        <w:jc w:val="left"/>
      </w:pPr>
      <w:r>
        <w:rPr>
          <w:rFonts w:eastAsia="Yu Gothic"/>
          <w:rFonts w:ascii="Yu Gothic" w:hAnsi="Yu Gothic"/>
          <w:b/>
          <w:color w:val="366092"/>
          <w:sz w:val="23"/>
        </w:rPr>
        <w:t>判断根拠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要因</w:t>
            </w:r>
          </w:p>
        </w:tc>
        <w:tc>
          <w:tcPr>
            <w:tcW w:type="dxa" w:w="3135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評価</w:t>
            </w:r>
          </w:p>
        </w:tc>
        <w:tc>
          <w:tcPr>
            <w:tcW w:type="dxa" w:w="3135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v1比変化</w:t>
            </w:r>
          </w:p>
        </w:tc>
      </w:tr>
      <w:tr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FY2026 3Q進捗91.7%（上振れ確実）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◎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変化なし</w:t>
            </w:r>
          </w:p>
        </w:tc>
      </w:tr>
      <w:tr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コンソーシアム近期効果（最大¥3〜5億/年）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△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大幅下方修正</w:t>
            </w:r>
          </w:p>
        </w:tc>
      </w:tr>
      <w:tr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コンソーシアム FY2027-2028本命シナリオ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○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再評価・構造維持</w:t>
            </w:r>
          </w:p>
        </w:tc>
      </w:tr>
      <w:tr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DTP2027 EBITDA¥100億（据え置き）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△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上方修正なしを確認</w:t>
            </w:r>
          </w:p>
        </w:tc>
      </w:tr>
      <w:tr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PBR 0.726（割安）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○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変化なし</w:t>
            </w:r>
          </w:p>
        </w:tc>
      </w:tr>
      <w:tr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Forward PE 6.03（極めて割安）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◎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変化なし</w:t>
            </w:r>
          </w:p>
        </w:tc>
      </w:tr>
      <w:tr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M&amp;A的化学変化オプション（松森CEO発言）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○（長期）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v2新規追加</w:t>
            </w:r>
          </w:p>
        </w:tc>
      </w:tr>
      <w:tr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配当利回り3.01%（安定）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○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変化なし</w:t>
            </w:r>
          </w:p>
        </w:tc>
      </w:tr>
    </w:tbl>
    <w:p/>
    <w:p/>
    <w:p>
      <w:pPr>
        <w:spacing w:before="120" w:after="80"/>
        <w:jc w:val="left"/>
      </w:pPr>
      <w:r>
        <w:rPr>
          <w:rFonts w:eastAsia="Yu Gothic"/>
          <w:rFonts w:ascii="Yu Gothic" w:hAnsi="Yu Gothic"/>
          <w:b/>
          <w:color w:val="366092"/>
          <w:sz w:val="23"/>
        </w:rPr>
        <w:t>エントリー戦略</w:t>
      </w:r>
    </w:p>
    <w:p/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</w:r>
      <w:r>
        <w:rPr>
          <w:rFonts w:eastAsia="Yu Gothic"/>
          <w:rFonts w:ascii="Yu Gothic" w:hAnsi="Yu Gothic"/>
          <w:b/>
          <w:sz w:val="20"/>
        </w:rPr>
        <w:t>エントリー</w:t>
      </w:r>
      <w:r>
        <w:rPr>
          <w:rFonts w:eastAsia="Yu Gothic"/>
          <w:rFonts w:ascii="Yu Gothic" w:hAnsi="Yu Gothic"/>
          <w:b w:val="0"/>
          <w:sz w:val="20"/>
        </w:rPr>
        <w:t>: ¥1,250〜¥1,310（現値±4%水準）</w:t>
      </w:r>
    </w:p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</w:r>
      <w:r>
        <w:rPr>
          <w:rFonts w:eastAsia="Yu Gothic"/>
          <w:rFonts w:ascii="Yu Gothic" w:hAnsi="Yu Gothic"/>
          <w:b/>
          <w:sz w:val="20"/>
        </w:rPr>
        <w:t>損切り</w:t>
      </w:r>
      <w:r>
        <w:rPr>
          <w:rFonts w:eastAsia="Yu Gothic"/>
          <w:rFonts w:ascii="Yu Gothic" w:hAnsi="Yu Gothic"/>
          <w:b w:val="0"/>
          <w:sz w:val="20"/>
        </w:rPr>
        <w:t>: ¥1,100（BPS比▲38.6%）</w:t>
      </w:r>
    </w:p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</w:r>
      <w:r>
        <w:rPr>
          <w:rFonts w:eastAsia="Yu Gothic"/>
          <w:rFonts w:ascii="Yu Gothic" w:hAnsi="Yu Gothic"/>
          <w:b/>
          <w:sz w:val="20"/>
        </w:rPr>
        <w:t>TP①</w:t>
      </w:r>
      <w:r>
        <w:rPr>
          <w:rFonts w:eastAsia="Yu Gothic"/>
          <w:rFonts w:ascii="Yu Gothic" w:hAnsi="Yu Gothic"/>
          <w:b w:val="0"/>
          <w:sz w:val="20"/>
        </w:rPr>
        <w:t>: ¥1,500（+15%。3Qの上振れ確認後の利確ライン）</w:t>
      </w:r>
    </w:p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</w:r>
      <w:r>
        <w:rPr>
          <w:rFonts w:eastAsia="Yu Gothic"/>
          <w:rFonts w:ascii="Yu Gothic" w:hAnsi="Yu Gothic"/>
          <w:b/>
          <w:sz w:val="20"/>
        </w:rPr>
        <w:t>TP②</w:t>
      </w:r>
      <w:r>
        <w:rPr>
          <w:rFonts w:eastAsia="Yu Gothic"/>
          <w:rFonts w:ascii="Yu Gothic" w:hAnsi="Yu Gothic"/>
          <w:b w:val="0"/>
          <w:sz w:val="20"/>
        </w:rPr>
        <w:t>: ¥1,700（+31%。メインTP。FY2027ガイダンス確認後）</w:t>
      </w:r>
    </w:p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</w:r>
      <w:r>
        <w:rPr>
          <w:rFonts w:eastAsia="Yu Gothic"/>
          <w:rFonts w:ascii="Yu Gothic" w:hAnsi="Yu Gothic"/>
          <w:b/>
          <w:sz w:val="20"/>
        </w:rPr>
        <w:t>TP③</w:t>
      </w:r>
      <w:r>
        <w:rPr>
          <w:rFonts w:eastAsia="Yu Gothic"/>
          <w:rFonts w:ascii="Yu Gothic" w:hAnsi="Yu Gothic"/>
          <w:b w:val="0"/>
          <w:sz w:val="20"/>
        </w:rPr>
        <w:t>: ¥2,200+（FY2028共同開発本格化＋M&amp;A的展開時の上振れシナリオ）</w:t>
      </w:r>
    </w:p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</w:r>
      <w:r>
        <w:rPr>
          <w:rFonts w:eastAsia="Yu Gothic"/>
          <w:rFonts w:ascii="Yu Gothic" w:hAnsi="Yu Gothic"/>
          <w:b/>
          <w:sz w:val="20"/>
        </w:rPr>
        <w:t>スコア引き上げ条件</w:t>
      </w:r>
      <w:r>
        <w:rPr>
          <w:rFonts w:eastAsia="Yu Gothic"/>
          <w:rFonts w:ascii="Yu Gothic" w:hAnsi="Yu Gothic"/>
          <w:b w:val="0"/>
          <w:sz w:val="20"/>
        </w:rPr>
        <w:t>: FY2027初期ガイダンスが共同開発品目の具体的収益計上見込みを示す → +88以上</w:t>
      </w:r>
    </w:p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</w:r>
      <w:r>
        <w:rPr>
          <w:rFonts w:eastAsia="Yu Gothic"/>
          <w:rFonts w:ascii="Yu Gothic" w:hAnsi="Yu Gothic"/>
          <w:b/>
          <w:sz w:val="20"/>
        </w:rPr>
        <w:t>スコア引き下げ条件</w:t>
      </w:r>
      <w:r>
        <w:rPr>
          <w:rFonts w:eastAsia="Yu Gothic"/>
          <w:rFonts w:ascii="Yu Gothic" w:hAnsi="Yu Gothic"/>
          <w:b w:val="0"/>
          <w:sz w:val="20"/>
        </w:rPr>
        <w:t>: 薬価改定▲4%超 or コンソーシアム協議大規模決裂 → Hold検討</w:t>
      </w:r>
    </w:p>
    <w:p/>
    <w:p/>
    <w:p/>
    <w:p>
      <w:pPr>
        <w:spacing w:after="40"/>
      </w:pPr>
      <w:r>
        <w:rPr>
          <w:rFonts w:eastAsia="Yu Gothic"/>
          <w:rFonts w:ascii="Yu Gothic" w:hAnsi="Yu Gothic"/>
          <w:b w:val="0"/>
          <w:sz w:val="20"/>
        </w:rPr>
        <w:t>*Sources: ダイト株式会社IR（https://www.daitonet.co.jp/ir/）/ 高畠浩一 経営企画部 直接取材回答（2026-04-23）/ コンソーシアム説明資料p17（https://ssl4.eir-parts.net/doc/4577/tdnet/2740567/00.pdf）/ FY2026 3Q決算短信 / yfinance実測（2026-04-23）*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