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4577 ダイト Deep Research</w:t>
      </w:r>
    </w:p>
    <w:p/>
    <w:p/>
    <w:p>
      <w:pPr>
        <w:jc w:val="center"/>
      </w:pPr>
      <w:r>
        <w:rPr>
          <w:rFonts w:ascii="Meiryo UI" w:hAnsi="Meiryo UI"/>
          <w:sz w:val="24"/>
        </w:rPr>
        <w:t>アナリスト：深井</w:t>
      </w:r>
    </w:p>
    <w:p>
      <w:pPr>
        <w:jc w:val="center"/>
      </w:pPr>
      <w:r>
        <w:rPr>
          <w:rFonts w:ascii="Meiryo UI" w:hAnsi="Meiryo UI"/>
          <w:sz w:val="24"/>
        </w:rPr>
        <w:t>分析日：2026年04月10日</w:t>
      </w:r>
    </w:p>
    <w:p>
      <w:r>
        <w:br w:type="page"/>
      </w:r>
    </w:p>
    <w:p>
      <w:pPr>
        <w:pStyle w:val="Heading1"/>
      </w:pPr>
      <w:r>
        <w:rPr>
          <w:rFonts w:ascii="Meiryo UI" w:hAnsi="Meiryo UI"/>
          <w:color w:val="1F3864"/>
        </w:rPr>
        <w:t>4577 ダイト Deep Research</w:t>
      </w:r>
    </w:p>
    <w:p>
      <w:r>
        <w:rPr>
          <w:rFonts w:ascii="Meiryo UI" w:hAnsi="Meiryo UI"/>
          <w:sz w:val="20"/>
        </w:rPr>
        <w:t>作成日: 2026-04-10  担当: 深井  優先度: 4</w:t>
      </w:r>
    </w:p>
    <w:p>
      <w:r>
        <w:rPr>
          <w:rFonts w:ascii="Meiryo UI" w:hAnsi="Meiryo UI"/>
          <w:sz w:val="20"/>
        </w:rPr>
        <w:t>注記: ユーザー指定コード4507は塩野義製薬。URLの daitonet.co.jp が指す 4577 ダイト株式会社 として作成。</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判定</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¥1,700（BPS×0.96x相当、+9.8% from PTS¥1,548）</w:t>
            </w:r>
          </w:p>
        </w:tc>
      </w:tr>
      <w:tr>
        <w:tc>
          <w:tcPr>
            <w:tcW w:type="dxa" w:w="4703"/>
          </w:tcPr>
          <w:p>
            <w:r>
              <w:rPr>
                <w:rFonts w:ascii="Meiryo UI" w:hAnsi="Meiryo UI"/>
                <w:sz w:val="18"/>
              </w:rPr>
              <w:t>ストップロス</w:t>
            </w:r>
          </w:p>
        </w:tc>
        <w:tc>
          <w:tcPr>
            <w:tcW w:type="dxa" w:w="4703"/>
          </w:tcPr>
          <w:p>
            <w:r>
              <w:rPr>
                <w:rFonts w:ascii="Meiryo UI" w:hAnsi="Meiryo UI"/>
                <w:sz w:val="18"/>
              </w:rPr>
              <w:t>¥1,250（52週安値¥955から上方・直近サポート）</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¥1,402（終値▲2.09%）/ PTS ¥1,548（推定+10.4%）</w:t>
            </w:r>
          </w:p>
        </w:tc>
      </w:tr>
      <w:tr>
        <w:tc>
          <w:tcPr>
            <w:tcW w:type="dxa" w:w="4703"/>
          </w:tcPr>
          <w:p>
            <w:r>
              <w:rPr>
                <w:rFonts w:ascii="Meiryo UI" w:hAnsi="Meiryo UI"/>
                <w:sz w:val="18"/>
              </w:rPr>
              <w:t>浅井スコア</w:t>
            </w:r>
          </w:p>
        </w:tc>
        <w:tc>
          <w:tcPr>
            <w:tcW w:type="dxa" w:w="4703"/>
          </w:tcPr>
          <w:p>
            <w:r>
              <w:rPr>
                <w:rFonts w:ascii="Meiryo UI" w:hAnsi="Meiryo UI"/>
                <w:sz w:val="18"/>
              </w:rPr>
              <w:t>+72</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Q3 OPM9.7%（8四半期最高）×Q4ハードル低・通期超過確実</w:t>
            </w:r>
          </w:p>
        </w:tc>
      </w:tr>
      <w:tr>
        <w:tc>
          <w:tcPr>
            <w:tcW w:type="dxa" w:w="4703"/>
          </w:tcPr>
          <w:p>
            <w:r>
              <w:rPr>
                <w:rFonts w:ascii="Meiryo UI" w:hAnsi="Meiryo UI"/>
                <w:sz w:val="18"/>
              </w:rPr>
              <w:t>追加材料</w:t>
            </w:r>
          </w:p>
        </w:tc>
        <w:tc>
          <w:tcPr>
            <w:tcW w:type="dxa" w:w="4703"/>
          </w:tcPr>
          <w:p>
            <w:r>
              <w:rPr>
                <w:rFonts w:ascii="Meiryo UI" w:hAnsi="Meiryo UI"/>
                <w:sz w:val="18"/>
              </w:rPr>
              <w:t>トーヨーケムとの医薬品提携締結（本日）</w:t>
            </w:r>
          </w:p>
        </w:tc>
      </w:tr>
    </w:tbl>
    <w:p/>
    <w:p>
      <w:r>
        <w:t>──────────────────────────────────────────────────</w:t>
      </w:r>
    </w:p>
    <w:p/>
    <w:p>
      <w:pPr>
        <w:pStyle w:val="Heading2"/>
      </w:pPr>
      <w:r>
        <w:rPr>
          <w:rFonts w:ascii="Meiryo UI" w:hAnsi="Meiryo UI"/>
          <w:color w:val="2E74B5"/>
        </w:rPr>
        <w:t>1. 本日決算（2026-04-10）核心サマリー</w:t>
      </w:r>
    </w:p>
    <w:p/>
    <w:p>
      <w:pPr>
        <w:pStyle w:val="Heading3"/>
      </w:pPr>
      <w:r>
        <w:rPr>
          <w:rFonts w:ascii="Meiryo UI" w:hAnsi="Meiryo UI"/>
          <w:color w:val="2E74B5"/>
        </w:rPr>
        <w:t>第3四半期累計実績（FY2026.05 Q1-Q3: 2025年6月〜2026年2月）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Q3累計実績</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通期修正後予想</w:t>
            </w:r>
          </w:p>
        </w:tc>
        <w:tc>
          <w:tcPr>
            <w:tcW w:type="dxa" w:w="1881"/>
            <w:shd w:val="clear" w:color="auto" w:fill="2E74B5"/>
          </w:tcPr>
          <w:p>
            <w:r>
              <w:rPr>
                <w:rFonts w:ascii="Meiryo UI" w:hAnsi="Meiryo UI"/>
                <w:b/>
                <w:color w:val="FFFFFF"/>
                <w:sz w:val="18"/>
              </w:rPr>
              <w:t>進捗率</w:t>
            </w:r>
          </w:p>
        </w:tc>
      </w:tr>
      <w:tr>
        <w:tc>
          <w:tcPr>
            <w:tcW w:type="dxa" w:w="1881"/>
          </w:tcPr>
          <w:p>
            <w:r>
              <w:rPr>
                <w:rFonts w:ascii="Meiryo UI" w:hAnsi="Meiryo UI"/>
                <w:sz w:val="18"/>
              </w:rPr>
              <w:t>売上高</w:t>
            </w:r>
          </w:p>
        </w:tc>
        <w:tc>
          <w:tcPr>
            <w:tcW w:type="dxa" w:w="1881"/>
          </w:tcPr>
          <w:p>
            <w:r>
              <w:rPr>
                <w:rFonts w:ascii="Meiryo UI" w:hAnsi="Meiryo UI"/>
                <w:sz w:val="18"/>
              </w:rPr>
              <w:t>¥36,732M</w:t>
            </w:r>
          </w:p>
        </w:tc>
        <w:tc>
          <w:tcPr>
            <w:tcW w:type="dxa" w:w="1881"/>
          </w:tcPr>
          <w:p>
            <w:r>
              <w:rPr>
                <w:rFonts w:ascii="Meiryo UI" w:hAnsi="Meiryo UI"/>
                <w:sz w:val="18"/>
              </w:rPr>
              <w:t>—</w:t>
            </w:r>
          </w:p>
        </w:tc>
        <w:tc>
          <w:tcPr>
            <w:tcW w:type="dxa" w:w="1881"/>
          </w:tcPr>
          <w:p>
            <w:r>
              <w:rPr>
                <w:rFonts w:ascii="Meiryo UI" w:hAnsi="Meiryo UI"/>
                <w:sz w:val="18"/>
              </w:rPr>
              <w:t>¥51,000M</w:t>
            </w:r>
          </w:p>
        </w:tc>
        <w:tc>
          <w:tcPr>
            <w:tcW w:type="dxa" w:w="1881"/>
          </w:tcPr>
          <w:p>
            <w:r>
              <w:rPr>
                <w:rFonts w:ascii="Meiryo UI" w:hAnsi="Meiryo UI"/>
                <w:sz w:val="18"/>
              </w:rPr>
              <w:t>72.0%</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¥2,751M</w:t>
            </w:r>
          </w:p>
        </w:tc>
        <w:tc>
          <w:tcPr>
            <w:tcW w:type="dxa" w:w="1881"/>
            <w:shd w:val="clear" w:color="auto" w:fill="DDEBF7"/>
          </w:tcPr>
          <w:p>
            <w:r>
              <w:rPr>
                <w:rFonts w:ascii="Meiryo UI" w:hAnsi="Meiryo UI"/>
                <w:sz w:val="18"/>
              </w:rPr>
              <w:t>+47.2%</w:t>
            </w:r>
          </w:p>
        </w:tc>
        <w:tc>
          <w:tcPr>
            <w:tcW w:type="dxa" w:w="1881"/>
            <w:shd w:val="clear" w:color="auto" w:fill="DDEBF7"/>
          </w:tcPr>
          <w:p>
            <w:r>
              <w:rPr>
                <w:rFonts w:ascii="Meiryo UI" w:hAnsi="Meiryo UI"/>
                <w:sz w:val="18"/>
              </w:rPr>
              <w:t>¥3,300M</w:t>
            </w:r>
          </w:p>
        </w:tc>
        <w:tc>
          <w:tcPr>
            <w:tcW w:type="dxa" w:w="1881"/>
            <w:shd w:val="clear" w:color="auto" w:fill="DDEBF7"/>
          </w:tcPr>
          <w:p>
            <w:r>
              <w:rPr>
                <w:rFonts w:ascii="Meiryo UI" w:hAnsi="Meiryo UI"/>
                <w:sz w:val="18"/>
              </w:rPr>
              <w:t>83.4%</w:t>
            </w:r>
          </w:p>
        </w:tc>
      </w:tr>
      <w:tr>
        <w:tc>
          <w:tcPr>
            <w:tcW w:type="dxa" w:w="1881"/>
          </w:tcPr>
          <w:p>
            <w:r>
              <w:rPr>
                <w:rFonts w:ascii="Meiryo UI" w:hAnsi="Meiryo UI"/>
                <w:sz w:val="18"/>
              </w:rPr>
              <w:t>経常利益</w:t>
            </w:r>
          </w:p>
        </w:tc>
        <w:tc>
          <w:tcPr>
            <w:tcW w:type="dxa" w:w="1881"/>
          </w:tcPr>
          <w:p>
            <w:r>
              <w:rPr>
                <w:rFonts w:ascii="Meiryo UI" w:hAnsi="Meiryo UI"/>
                <w:sz w:val="18"/>
              </w:rPr>
              <w:t>¥2,974M</w:t>
            </w:r>
          </w:p>
        </w:tc>
        <w:tc>
          <w:tcPr>
            <w:tcW w:type="dxa" w:w="1881"/>
          </w:tcPr>
          <w:p>
            <w:r>
              <w:rPr>
                <w:rFonts w:ascii="Meiryo UI" w:hAnsi="Meiryo UI"/>
                <w:sz w:val="18"/>
              </w:rPr>
              <w:t>—</w:t>
            </w:r>
          </w:p>
        </w:tc>
        <w:tc>
          <w:tcPr>
            <w:tcW w:type="dxa" w:w="1881"/>
          </w:tcPr>
          <w:p>
            <w:r>
              <w:rPr>
                <w:rFonts w:ascii="Meiryo UI" w:hAnsi="Meiryo UI"/>
                <w:sz w:val="18"/>
              </w:rPr>
              <w:t>¥3,500M</w:t>
            </w:r>
          </w:p>
        </w:tc>
        <w:tc>
          <w:tcPr>
            <w:tcW w:type="dxa" w:w="1881"/>
          </w:tcPr>
          <w:p>
            <w:r>
              <w:rPr>
                <w:rFonts w:ascii="Meiryo UI" w:hAnsi="Meiryo UI"/>
                <w:sz w:val="18"/>
              </w:rPr>
              <w:t>84.9%</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¥2,267M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¥2,500M</w:t>
            </w:r>
          </w:p>
        </w:tc>
        <w:tc>
          <w:tcPr>
            <w:tcW w:type="dxa" w:w="1881"/>
            <w:shd w:val="clear" w:color="auto" w:fill="DDEBF7"/>
          </w:tcPr>
          <w:p>
            <w:r>
              <w:rPr>
                <w:rFonts w:ascii="Meiryo UI" w:hAnsi="Meiryo UI"/>
                <w:sz w:val="18"/>
              </w:rPr>
              <w:t>90.7%</w:t>
            </w:r>
          </w:p>
        </w:tc>
      </w:tr>
      <w:tr>
        <w:tc>
          <w:tcPr>
            <w:tcW w:type="dxa" w:w="1881"/>
          </w:tcPr>
          <w:p>
            <w:r>
              <w:rPr>
                <w:rFonts w:ascii="Meiryo UI" w:hAnsi="Meiryo UI"/>
                <w:sz w:val="18"/>
              </w:rPr>
              <w:t>EPS</w:t>
            </w:r>
          </w:p>
        </w:tc>
        <w:tc>
          <w:tcPr>
            <w:tcW w:type="dxa" w:w="1881"/>
          </w:tcPr>
          <w:p>
            <w:r>
              <w:rPr>
                <w:rFonts w:ascii="Meiryo UI" w:hAnsi="Meiryo UI"/>
                <w:sz w:val="18"/>
              </w:rPr>
              <w:t>¥76.5</w:t>
            </w:r>
          </w:p>
        </w:tc>
        <w:tc>
          <w:tcPr>
            <w:tcW w:type="dxa" w:w="1881"/>
          </w:tcPr>
          <w:p>
            <w:r>
              <w:rPr>
                <w:rFonts w:ascii="Meiryo UI" w:hAnsi="Meiryo UI"/>
                <w:sz w:val="18"/>
              </w:rPr>
              <w:t>—</w:t>
            </w:r>
          </w:p>
        </w:tc>
        <w:tc>
          <w:tcPr>
            <w:tcW w:type="dxa" w:w="1881"/>
          </w:tcPr>
          <w:p>
            <w:r>
              <w:rPr>
                <w:rFonts w:ascii="Meiryo UI" w:hAnsi="Meiryo UI"/>
                <w:sz w:val="18"/>
              </w:rPr>
              <w:t>¥86.3</w:t>
            </w:r>
          </w:p>
        </w:tc>
        <w:tc>
          <w:tcPr>
            <w:tcW w:type="dxa" w:w="1881"/>
          </w:tcPr>
          <w:p>
            <w:r>
              <w:rPr>
                <w:rFonts w:ascii="Meiryo UI" w:hAnsi="Meiryo UI"/>
                <w:sz w:val="18"/>
              </w:rPr>
              <w:t>—</w:t>
            </w:r>
          </w:p>
        </w:tc>
      </w:tr>
    </w:tbl>
    <w:p/>
    <w:p>
      <w:pPr>
        <w:pStyle w:val="Heading3"/>
      </w:pPr>
      <w:r>
        <w:rPr>
          <w:rFonts w:ascii="Meiryo UI" w:hAnsi="Meiryo UI"/>
          <w:color w:val="2E74B5"/>
        </w:rPr>
        <w:t>通期業績修正（本日発表）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修正前</w:t>
            </w:r>
          </w:p>
        </w:tc>
        <w:tc>
          <w:tcPr>
            <w:tcW w:type="dxa" w:w="2351"/>
            <w:shd w:val="clear" w:color="auto" w:fill="2E74B5"/>
          </w:tcPr>
          <w:p>
            <w:r>
              <w:rPr>
                <w:rFonts w:ascii="Meiryo UI" w:hAnsi="Meiryo UI"/>
                <w:b/>
                <w:color w:val="FFFFFF"/>
                <w:sz w:val="18"/>
              </w:rPr>
              <w:t>修正後</w:t>
            </w:r>
          </w:p>
        </w:tc>
        <w:tc>
          <w:tcPr>
            <w:tcW w:type="dxa" w:w="2351"/>
            <w:shd w:val="clear" w:color="auto" w:fill="2E74B5"/>
          </w:tcPr>
          <w:p>
            <w:r>
              <w:rPr>
                <w:rFonts w:ascii="Meiryo UI" w:hAnsi="Meiryo UI"/>
                <w:b/>
                <w:color w:val="FFFFFF"/>
                <w:sz w:val="18"/>
              </w:rPr>
              <w:t>変化率</w:t>
            </w:r>
          </w:p>
        </w:tc>
      </w:tr>
      <w:tr>
        <w:tc>
          <w:tcPr>
            <w:tcW w:type="dxa" w:w="2351"/>
          </w:tcPr>
          <w:p>
            <w:r>
              <w:rPr>
                <w:rFonts w:ascii="Meiryo UI" w:hAnsi="Meiryo UI"/>
                <w:sz w:val="18"/>
              </w:rPr>
              <w:t>営業利益</w:t>
            </w:r>
          </w:p>
        </w:tc>
        <w:tc>
          <w:tcPr>
            <w:tcW w:type="dxa" w:w="2351"/>
          </w:tcPr>
          <w:p>
            <w:r>
              <w:rPr>
                <w:rFonts w:ascii="Meiryo UI" w:hAnsi="Meiryo UI"/>
                <w:sz w:val="18"/>
              </w:rPr>
              <w:t>¥3,000M</w:t>
            </w:r>
          </w:p>
        </w:tc>
        <w:tc>
          <w:tcPr>
            <w:tcW w:type="dxa" w:w="2351"/>
          </w:tcPr>
          <w:p>
            <w:r>
              <w:rPr>
                <w:rFonts w:ascii="Meiryo UI" w:hAnsi="Meiryo UI"/>
                <w:sz w:val="18"/>
              </w:rPr>
              <w:t>¥3,300M</w:t>
            </w:r>
          </w:p>
        </w:tc>
        <w:tc>
          <w:tcPr>
            <w:tcW w:type="dxa" w:w="2351"/>
          </w:tcPr>
          <w:p>
            <w:r>
              <w:rPr>
                <w:rFonts w:ascii="Meiryo UI" w:hAnsi="Meiryo UI"/>
                <w:sz w:val="18"/>
              </w:rPr>
              <w:t>+10.0%</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¥40（+¥5増配）</w:t>
            </w:r>
          </w:p>
        </w:tc>
        <w:tc>
          <w:tcPr>
            <w:tcW w:type="dxa" w:w="2351"/>
            <w:shd w:val="clear" w:color="auto" w:fill="DDEBF7"/>
          </w:tcPr>
          <w:p>
            <w:r>
              <w:rPr>
                <w:rFonts w:ascii="Meiryo UI" w:hAnsi="Meiryo UI"/>
                <w:sz w:val="18"/>
              </w:rPr>
              <w:t>+14.3%</w:t>
            </w:r>
          </w:p>
        </w:tc>
      </w:tr>
    </w:tbl>
    <w:p/>
    <w:p>
      <w:r>
        <w:t>──────────────────────────────────────────────────</w:t>
      </w:r>
    </w:p>
    <w:p/>
    <w:p>
      <w:pPr>
        <w:pStyle w:val="Heading2"/>
      </w:pPr>
      <w:r>
        <w:rPr>
          <w:rFonts w:ascii="Meiryo UI" w:hAnsi="Meiryo UI"/>
          <w:color w:val="2E74B5"/>
        </w:rPr>
        <w:t>2. 四半期業績トレンド（核心発見）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四半期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OPマージン</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FY2025 Q1 (24.06-08)</w:t>
            </w:r>
          </w:p>
        </w:tc>
        <w:tc>
          <w:tcPr>
            <w:tcW w:type="dxa" w:w="1881"/>
          </w:tcPr>
          <w:p>
            <w:r>
              <w:rPr>
                <w:rFonts w:ascii="Meiryo UI" w:hAnsi="Meiryo UI"/>
                <w:sz w:val="18"/>
              </w:rPr>
              <w:t>¥12,678M</w:t>
            </w:r>
          </w:p>
        </w:tc>
        <w:tc>
          <w:tcPr>
            <w:tcW w:type="dxa" w:w="1881"/>
          </w:tcPr>
          <w:p>
            <w:r>
              <w:rPr>
                <w:rFonts w:ascii="Meiryo UI" w:hAnsi="Meiryo UI"/>
                <w:sz w:val="18"/>
              </w:rPr>
              <w:t>¥849M</w:t>
            </w:r>
          </w:p>
        </w:tc>
        <w:tc>
          <w:tcPr>
            <w:tcW w:type="dxa" w:w="1881"/>
          </w:tcPr>
          <w:p>
            <w:r>
              <w:rPr>
                <w:rFonts w:ascii="Meiryo UI" w:hAnsi="Meiryo UI"/>
                <w:sz w:val="18"/>
              </w:rPr>
              <w:t>6.7%</w:t>
            </w:r>
          </w:p>
        </w:tc>
        <w:tc>
          <w:tcPr>
            <w:tcW w:type="dxa" w:w="1881"/>
          </w:tcPr>
          <w:p>
            <w:r>
              <w:rPr>
                <w:rFonts w:ascii="Meiryo UI" w:hAnsi="Meiryo UI"/>
                <w:sz w:val="18"/>
              </w:rPr>
              <w:t>+4.1%</w:t>
            </w:r>
          </w:p>
        </w:tc>
      </w:tr>
      <w:tr>
        <w:tc>
          <w:tcPr>
            <w:tcW w:type="dxa" w:w="1881"/>
            <w:shd w:val="clear" w:color="auto" w:fill="DDEBF7"/>
          </w:tcPr>
          <w:p>
            <w:r>
              <w:rPr>
                <w:rFonts w:ascii="Meiryo UI" w:hAnsi="Meiryo UI"/>
                <w:sz w:val="18"/>
              </w:rPr>
              <w:t>FY2025 Q2 (24.09-11)</w:t>
            </w:r>
          </w:p>
        </w:tc>
        <w:tc>
          <w:tcPr>
            <w:tcW w:type="dxa" w:w="1881"/>
            <w:shd w:val="clear" w:color="auto" w:fill="DDEBF7"/>
          </w:tcPr>
          <w:p>
            <w:r>
              <w:rPr>
                <w:rFonts w:ascii="Meiryo UI" w:hAnsi="Meiryo UI"/>
                <w:sz w:val="18"/>
              </w:rPr>
              <w:t>¥11,906M</w:t>
            </w:r>
          </w:p>
        </w:tc>
        <w:tc>
          <w:tcPr>
            <w:tcW w:type="dxa" w:w="1881"/>
            <w:shd w:val="clear" w:color="auto" w:fill="DDEBF7"/>
          </w:tcPr>
          <w:p>
            <w:r>
              <w:rPr>
                <w:rFonts w:ascii="Meiryo UI" w:hAnsi="Meiryo UI"/>
                <w:sz w:val="18"/>
              </w:rPr>
              <w:t>¥622M</w:t>
            </w:r>
          </w:p>
        </w:tc>
        <w:tc>
          <w:tcPr>
            <w:tcW w:type="dxa" w:w="1881"/>
            <w:shd w:val="clear" w:color="auto" w:fill="DDEBF7"/>
          </w:tcPr>
          <w:p>
            <w:r>
              <w:rPr>
                <w:rFonts w:ascii="Meiryo UI" w:hAnsi="Meiryo UI"/>
                <w:sz w:val="18"/>
              </w:rPr>
              <w:t>5.2%</w:t>
            </w:r>
          </w:p>
        </w:tc>
        <w:tc>
          <w:tcPr>
            <w:tcW w:type="dxa" w:w="1881"/>
            <w:shd w:val="clear" w:color="auto" w:fill="DDEBF7"/>
          </w:tcPr>
          <w:p>
            <w:r>
              <w:rPr>
                <w:rFonts w:ascii="Meiryo UI" w:hAnsi="Meiryo UI"/>
                <w:sz w:val="18"/>
              </w:rPr>
              <w:t>▲0.2%</w:t>
            </w:r>
          </w:p>
        </w:tc>
      </w:tr>
      <w:tr>
        <w:tc>
          <w:tcPr>
            <w:tcW w:type="dxa" w:w="1881"/>
          </w:tcPr>
          <w:p>
            <w:r>
              <w:rPr>
                <w:rFonts w:ascii="Meiryo UI" w:hAnsi="Meiryo UI"/>
                <w:sz w:val="18"/>
              </w:rPr>
              <w:t>FY2025 Q3 (24.12-02)</w:t>
            </w:r>
          </w:p>
        </w:tc>
        <w:tc>
          <w:tcPr>
            <w:tcW w:type="dxa" w:w="1881"/>
          </w:tcPr>
          <w:p>
            <w:r>
              <w:rPr>
                <w:rFonts w:ascii="Meiryo UI" w:hAnsi="Meiryo UI"/>
                <w:sz w:val="18"/>
              </w:rPr>
              <w:t>¥12,025M</w:t>
            </w:r>
          </w:p>
        </w:tc>
        <w:tc>
          <w:tcPr>
            <w:tcW w:type="dxa" w:w="1881"/>
          </w:tcPr>
          <w:p>
            <w:r>
              <w:rPr>
                <w:rFonts w:ascii="Meiryo UI" w:hAnsi="Meiryo UI"/>
                <w:sz w:val="18"/>
              </w:rPr>
              <w:t>¥398M</w:t>
            </w:r>
          </w:p>
        </w:tc>
        <w:tc>
          <w:tcPr>
            <w:tcW w:type="dxa" w:w="1881"/>
          </w:tcPr>
          <w:p>
            <w:r>
              <w:rPr>
                <w:rFonts w:ascii="Meiryo UI" w:hAnsi="Meiryo UI"/>
                <w:sz w:val="18"/>
              </w:rPr>
              <w:t>3.3%</w:t>
            </w:r>
          </w:p>
        </w:tc>
        <w:tc>
          <w:tcPr>
            <w:tcW w:type="dxa" w:w="1881"/>
          </w:tcPr>
          <w:p>
            <w:r>
              <w:rPr>
                <w:rFonts w:ascii="Meiryo UI" w:hAnsi="Meiryo UI"/>
                <w:sz w:val="18"/>
              </w:rPr>
              <w:t>+14.0%</w:t>
            </w:r>
          </w:p>
        </w:tc>
      </w:tr>
      <w:tr>
        <w:tc>
          <w:tcPr>
            <w:tcW w:type="dxa" w:w="1881"/>
            <w:shd w:val="clear" w:color="auto" w:fill="DDEBF7"/>
          </w:tcPr>
          <w:p>
            <w:r>
              <w:rPr>
                <w:rFonts w:ascii="Meiryo UI" w:hAnsi="Meiryo UI"/>
                <w:sz w:val="18"/>
              </w:rPr>
              <w:t>FY2025 Q4 (25.03-05)</w:t>
            </w:r>
          </w:p>
        </w:tc>
        <w:tc>
          <w:tcPr>
            <w:tcW w:type="dxa" w:w="1881"/>
            <w:shd w:val="clear" w:color="auto" w:fill="DDEBF7"/>
          </w:tcPr>
          <w:p>
            <w:r>
              <w:rPr>
                <w:rFonts w:ascii="Meiryo UI" w:hAnsi="Meiryo UI"/>
                <w:sz w:val="18"/>
              </w:rPr>
              <w:t>¥14,034M</w:t>
            </w:r>
          </w:p>
        </w:tc>
        <w:tc>
          <w:tcPr>
            <w:tcW w:type="dxa" w:w="1881"/>
            <w:shd w:val="clear" w:color="auto" w:fill="DDEBF7"/>
          </w:tcPr>
          <w:p>
            <w:r>
              <w:rPr>
                <w:rFonts w:ascii="Meiryo UI" w:hAnsi="Meiryo UI"/>
                <w:sz w:val="18"/>
              </w:rPr>
              <w:t>¥750M</w:t>
            </w:r>
          </w:p>
        </w:tc>
        <w:tc>
          <w:tcPr>
            <w:tcW w:type="dxa" w:w="1881"/>
            <w:shd w:val="clear" w:color="auto" w:fill="DDEBF7"/>
          </w:tcPr>
          <w:p>
            <w:r>
              <w:rPr>
                <w:rFonts w:ascii="Meiryo UI" w:hAnsi="Meiryo UI"/>
                <w:sz w:val="18"/>
              </w:rPr>
              <w:t>5.3%</w:t>
            </w:r>
          </w:p>
        </w:tc>
        <w:tc>
          <w:tcPr>
            <w:tcW w:type="dxa" w:w="1881"/>
            <w:shd w:val="clear" w:color="auto" w:fill="DDEBF7"/>
          </w:tcPr>
          <w:p>
            <w:r>
              <w:rPr>
                <w:rFonts w:ascii="Meiryo UI" w:hAnsi="Meiryo UI"/>
                <w:sz w:val="18"/>
              </w:rPr>
              <w:t>+14.7%</w:t>
            </w:r>
          </w:p>
        </w:tc>
      </w:tr>
      <w:tr>
        <w:tc>
          <w:tcPr>
            <w:tcW w:type="dxa" w:w="1881"/>
          </w:tcPr>
          <w:p>
            <w:r>
              <w:rPr>
                <w:rFonts w:ascii="Meiryo UI" w:hAnsi="Meiryo UI"/>
                <w:sz w:val="18"/>
              </w:rPr>
              <w:t>FY2026 Q1 (25.06-08)</w:t>
            </w:r>
          </w:p>
        </w:tc>
        <w:tc>
          <w:tcPr>
            <w:tcW w:type="dxa" w:w="1881"/>
          </w:tcPr>
          <w:p>
            <w:r>
              <w:rPr>
                <w:rFonts w:ascii="Meiryo UI" w:hAnsi="Meiryo UI"/>
                <w:sz w:val="18"/>
              </w:rPr>
              <w:t>¥13,011M</w:t>
            </w:r>
          </w:p>
        </w:tc>
        <w:tc>
          <w:tcPr>
            <w:tcW w:type="dxa" w:w="1881"/>
          </w:tcPr>
          <w:p>
            <w:r>
              <w:rPr>
                <w:rFonts w:ascii="Meiryo UI" w:hAnsi="Meiryo UI"/>
                <w:sz w:val="18"/>
              </w:rPr>
              <w:t>¥998M</w:t>
            </w:r>
          </w:p>
        </w:tc>
        <w:tc>
          <w:tcPr>
            <w:tcW w:type="dxa" w:w="1881"/>
          </w:tcPr>
          <w:p>
            <w:r>
              <w:rPr>
                <w:rFonts w:ascii="Meiryo UI" w:hAnsi="Meiryo UI"/>
                <w:sz w:val="18"/>
              </w:rPr>
              <w:t>7.7%</w:t>
            </w:r>
          </w:p>
        </w:tc>
        <w:tc>
          <w:tcPr>
            <w:tcW w:type="dxa" w:w="1881"/>
          </w:tcPr>
          <w:p>
            <w:r>
              <w:rPr>
                <w:rFonts w:ascii="Meiryo UI" w:hAnsi="Meiryo UI"/>
                <w:sz w:val="18"/>
              </w:rPr>
              <w:t>+17.6%</w:t>
            </w:r>
          </w:p>
        </w:tc>
      </w:tr>
      <w:tr>
        <w:tc>
          <w:tcPr>
            <w:tcW w:type="dxa" w:w="1881"/>
            <w:shd w:val="clear" w:color="auto" w:fill="DDEBF7"/>
          </w:tcPr>
          <w:p>
            <w:r>
              <w:rPr>
                <w:rFonts w:ascii="Meiryo UI" w:hAnsi="Meiryo UI"/>
                <w:sz w:val="18"/>
              </w:rPr>
              <w:t>FY2026 Q2 (25.09-11)</w:t>
            </w:r>
          </w:p>
        </w:tc>
        <w:tc>
          <w:tcPr>
            <w:tcW w:type="dxa" w:w="1881"/>
            <w:shd w:val="clear" w:color="auto" w:fill="DDEBF7"/>
          </w:tcPr>
          <w:p>
            <w:r>
              <w:rPr>
                <w:rFonts w:ascii="Meiryo UI" w:hAnsi="Meiryo UI"/>
                <w:sz w:val="18"/>
              </w:rPr>
              <w:t>¥12,130M</w:t>
            </w:r>
          </w:p>
        </w:tc>
        <w:tc>
          <w:tcPr>
            <w:tcW w:type="dxa" w:w="1881"/>
            <w:shd w:val="clear" w:color="auto" w:fill="DDEBF7"/>
          </w:tcPr>
          <w:p>
            <w:r>
              <w:rPr>
                <w:rFonts w:ascii="Meiryo UI" w:hAnsi="Meiryo UI"/>
                <w:sz w:val="18"/>
              </w:rPr>
              <w:t>¥629M</w:t>
            </w:r>
          </w:p>
        </w:tc>
        <w:tc>
          <w:tcPr>
            <w:tcW w:type="dxa" w:w="1881"/>
            <w:shd w:val="clear" w:color="auto" w:fill="DDEBF7"/>
          </w:tcPr>
          <w:p>
            <w:r>
              <w:rPr>
                <w:rFonts w:ascii="Meiryo UI" w:hAnsi="Meiryo UI"/>
                <w:sz w:val="18"/>
              </w:rPr>
              <w:t>5.2%</w:t>
            </w:r>
          </w:p>
        </w:tc>
        <w:tc>
          <w:tcPr>
            <w:tcW w:type="dxa" w:w="1881"/>
            <w:shd w:val="clear" w:color="auto" w:fill="DDEBF7"/>
          </w:tcPr>
          <w:p>
            <w:r>
              <w:rPr>
                <w:rFonts w:ascii="Meiryo UI" w:hAnsi="Meiryo UI"/>
                <w:sz w:val="18"/>
              </w:rPr>
              <w:t>+1.1%</w:t>
            </w:r>
          </w:p>
        </w:tc>
      </w:tr>
      <w:tr>
        <w:tc>
          <w:tcPr>
            <w:tcW w:type="dxa" w:w="1881"/>
          </w:tcPr>
          <w:p>
            <w:r>
              <w:rPr>
                <w:rFonts w:ascii="Meiryo UI" w:hAnsi="Meiryo UI"/>
                <w:sz w:val="18"/>
              </w:rPr>
              <w:t>FY2026 Q3 (25.12-02)</w:t>
            </w:r>
          </w:p>
        </w:tc>
        <w:tc>
          <w:tcPr>
            <w:tcW w:type="dxa" w:w="1881"/>
          </w:tcPr>
          <w:p>
            <w:r>
              <w:rPr>
                <w:rFonts w:ascii="Meiryo UI" w:hAnsi="Meiryo UI"/>
                <w:sz w:val="18"/>
              </w:rPr>
              <w:t>¥11,591M</w:t>
            </w:r>
          </w:p>
        </w:tc>
        <w:tc>
          <w:tcPr>
            <w:tcW w:type="dxa" w:w="1881"/>
          </w:tcPr>
          <w:p>
            <w:r>
              <w:rPr>
                <w:rFonts w:ascii="Meiryo UI" w:hAnsi="Meiryo UI"/>
                <w:sz w:val="18"/>
              </w:rPr>
              <w:t>¥1,124M</w:t>
            </w:r>
          </w:p>
        </w:tc>
        <w:tc>
          <w:tcPr>
            <w:tcW w:type="dxa" w:w="1881"/>
          </w:tcPr>
          <w:p>
            <w:r>
              <w:rPr>
                <w:rFonts w:ascii="Meiryo UI" w:hAnsi="Meiryo UI"/>
                <w:sz w:val="18"/>
              </w:rPr>
              <w:t>9.7%</w:t>
            </w:r>
          </w:p>
        </w:tc>
        <w:tc>
          <w:tcPr>
            <w:tcW w:type="dxa" w:w="1881"/>
          </w:tcPr>
          <w:p>
            <w:r>
              <w:rPr>
                <w:rFonts w:ascii="Meiryo UI" w:hAnsi="Meiryo UI"/>
                <w:sz w:val="18"/>
              </w:rPr>
              <w:t>+182.4%</w:t>
            </w:r>
          </w:p>
        </w:tc>
      </w:tr>
    </w:tbl>
    <w:p/>
    <w:p>
      <w:r>
        <w:rPr>
          <w:rFonts w:ascii="Meiryo UI" w:hAnsi="Meiryo UI"/>
          <w:sz w:val="20"/>
        </w:rPr>
        <w:t>Q3 OPマージン9.7%は8四半期中の最高水準。Q3（12〜2月）は通常低マージン期だが、製剤比率向上と在庫評価損改善により一気に業界トップクラスに改善。</w:t>
      </w:r>
    </w:p>
    <w:p/>
    <w:p>
      <w:pPr>
        <w:pStyle w:val="Heading3"/>
      </w:pPr>
      <w:r>
        <w:rPr>
          <w:rFonts w:ascii="Meiryo UI" w:hAnsi="Meiryo UI"/>
          <w:color w:val="2E74B5"/>
        </w:rPr>
        <w:t>決定的な数字：Q4のハードルが非常に低い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通期修正後OP予想</w:t>
            </w:r>
          </w:p>
        </w:tc>
        <w:tc>
          <w:tcPr>
            <w:tcW w:type="dxa" w:w="4703"/>
          </w:tcPr>
          <w:p>
            <w:r>
              <w:rPr>
                <w:rFonts w:ascii="Meiryo UI" w:hAnsi="Meiryo UI"/>
                <w:sz w:val="18"/>
              </w:rPr>
              <w:t>¥3,300M</w:t>
            </w:r>
          </w:p>
        </w:tc>
      </w:tr>
      <w:tr>
        <w:tc>
          <w:tcPr>
            <w:tcW w:type="dxa" w:w="4703"/>
            <w:shd w:val="clear" w:color="auto" w:fill="DDEBF7"/>
          </w:tcPr>
          <w:p>
            <w:r>
              <w:rPr>
                <w:rFonts w:ascii="Meiryo UI" w:hAnsi="Meiryo UI"/>
                <w:sz w:val="18"/>
              </w:rPr>
              <w:t>Q1-Q3累計実績</w:t>
            </w:r>
          </w:p>
        </w:tc>
        <w:tc>
          <w:tcPr>
            <w:tcW w:type="dxa" w:w="4703"/>
            <w:shd w:val="clear" w:color="auto" w:fill="DDEBF7"/>
          </w:tcPr>
          <w:p>
            <w:r>
              <w:rPr>
                <w:rFonts w:ascii="Meiryo UI" w:hAnsi="Meiryo UI"/>
                <w:sz w:val="18"/>
              </w:rPr>
              <w:t>¥2,751M</w:t>
            </w:r>
          </w:p>
        </w:tc>
      </w:tr>
      <w:tr>
        <w:tc>
          <w:tcPr>
            <w:tcW w:type="dxa" w:w="4703"/>
          </w:tcPr>
          <w:p>
            <w:r>
              <w:rPr>
                <w:rFonts w:ascii="Meiryo UI" w:hAnsi="Meiryo UI"/>
                <w:sz w:val="18"/>
              </w:rPr>
              <w:t>Q4必要OP</w:t>
            </w:r>
          </w:p>
        </w:tc>
        <w:tc>
          <w:tcPr>
            <w:tcW w:type="dxa" w:w="4703"/>
          </w:tcPr>
          <w:p>
            <w:r>
              <w:rPr>
                <w:rFonts w:ascii="Meiryo UI" w:hAnsi="Meiryo UI"/>
                <w:sz w:val="18"/>
              </w:rPr>
              <w:t>¥549M</w:t>
            </w:r>
          </w:p>
        </w:tc>
      </w:tr>
      <w:tr>
        <w:tc>
          <w:tcPr>
            <w:tcW w:type="dxa" w:w="4703"/>
            <w:shd w:val="clear" w:color="auto" w:fill="DDEBF7"/>
          </w:tcPr>
          <w:p>
            <w:r>
              <w:rPr>
                <w:rFonts w:ascii="Meiryo UI" w:hAnsi="Meiryo UI"/>
                <w:sz w:val="18"/>
              </w:rPr>
              <w:t>FY2025 Q4実績</w:t>
            </w:r>
          </w:p>
        </w:tc>
        <w:tc>
          <w:tcPr>
            <w:tcW w:type="dxa" w:w="4703"/>
            <w:shd w:val="clear" w:color="auto" w:fill="DDEBF7"/>
          </w:tcPr>
          <w:p>
            <w:r>
              <w:rPr>
                <w:rFonts w:ascii="Meiryo UI" w:hAnsi="Meiryo UI"/>
                <w:sz w:val="18"/>
              </w:rPr>
              <w:t>¥750M</w:t>
            </w:r>
          </w:p>
        </w:tc>
      </w:tr>
      <w:tr>
        <w:tc>
          <w:tcPr>
            <w:tcW w:type="dxa" w:w="4703"/>
          </w:tcPr>
          <w:p>
            <w:r>
              <w:rPr>
                <w:rFonts w:ascii="Meiryo UI" w:hAnsi="Meiryo UI"/>
                <w:sz w:val="18"/>
              </w:rPr>
              <w:t>必要÷前年</w:t>
            </w:r>
          </w:p>
        </w:tc>
        <w:tc>
          <w:tcPr>
            <w:tcW w:type="dxa" w:w="4703"/>
          </w:tcPr>
          <w:p>
            <w:r>
              <w:rPr>
                <w:rFonts w:ascii="Meiryo UI" w:hAnsi="Meiryo UI"/>
                <w:sz w:val="18"/>
              </w:rPr>
              <w:t>▲26.8%でOK</w:t>
            </w:r>
          </w:p>
        </w:tc>
      </w:tr>
    </w:tbl>
    <w:p/>
    <w:p>
      <w:r>
        <w:rPr>
          <w:rFonts w:ascii="Meiryo UI" w:hAnsi="Meiryo UI"/>
          <w:sz w:val="20"/>
        </w:rPr>
        <w:t>→ Q4が前年比▲26.8%の低調でも通期達成。Q4大幅未達でも超過の可能性すら残す圧倒的な上積み余地。</w:t>
      </w:r>
    </w:p>
    <w:p/>
    <w:p>
      <w:r>
        <w:t>──────────────────────────────────────────────────</w:t>
      </w:r>
    </w:p>
    <w:p/>
    <w:p>
      <w:pPr>
        <w:pStyle w:val="Heading2"/>
      </w:pPr>
      <w:r>
        <w:rPr>
          <w:rFonts w:ascii="Meiryo UI" w:hAnsi="Meiryo UI"/>
          <w:color w:val="2E74B5"/>
        </w:rPr>
        <w:t>3. ビジネスモデルと改善要因の構造的理解</w:t>
      </w:r>
    </w:p>
    <w:p/>
    <w:p>
      <w:pPr>
        <w:pStyle w:val="Heading3"/>
      </w:pPr>
      <w:r>
        <w:rPr>
          <w:rFonts w:ascii="Meiryo UI" w:hAnsi="Meiryo UI"/>
          <w:color w:val="2E74B5"/>
        </w:rPr>
        <w:t>事業概要</w:t>
      </w:r>
    </w:p>
    <w:p/>
    <w:p>
      <w:r>
        <w:rPr>
          <w:rFonts w:ascii="Meiryo UI" w:hAnsi="Meiryo UI"/>
          <w:sz w:val="20"/>
        </w:rPr>
        <w:t>ダイトは富山県拠点の医薬品受託製造（CDMO）企業。</w:t>
      </w:r>
    </w:p>
    <w:p>
      <w:pPr>
        <w:pStyle w:val="ListBullet"/>
      </w:pPr>
      <w:r>
        <w:rPr>
          <w:rFonts w:ascii="Meiryo UI" w:hAnsi="Meiryo UI"/>
          <w:sz w:val="20"/>
        </w:rPr>
        <w:t>原薬（API）製造: 医薬品有効成分の化学合成</w:t>
      </w:r>
    </w:p>
    <w:p>
      <w:pPr>
        <w:pStyle w:val="ListBullet"/>
      </w:pPr>
      <w:r>
        <w:rPr>
          <w:rFonts w:ascii="Meiryo UI" w:hAnsi="Meiryo UI"/>
          <w:sz w:val="20"/>
        </w:rPr>
        <w:t>製剤製造: 錠剤・カプセルの受託製造</w:t>
      </w:r>
    </w:p>
    <w:p>
      <w:pPr>
        <w:pStyle w:val="ListBullet"/>
      </w:pPr>
      <w:r>
        <w:rPr>
          <w:rFonts w:ascii="Meiryo UI" w:hAnsi="Meiryo UI"/>
          <w:sz w:val="20"/>
        </w:rPr>
        <w:t>主要顧客: 国内ジェネリック医薬品メーカー・新薬メーカー（B2Bビジネス）</w:t>
      </w:r>
    </w:p>
    <w:p/>
    <w:p>
      <w:pPr>
        <w:pStyle w:val="Heading3"/>
      </w:pPr>
      <w:r>
        <w:rPr>
          <w:rFonts w:ascii="Meiryo UI" w:hAnsi="Meiryo UI"/>
          <w:color w:val="2E74B5"/>
        </w:rPr>
        <w:t>今期改善要因の3本柱（企業固有）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製剤比率の上昇</w:t>
            </w:r>
          </w:p>
        </w:tc>
        <w:tc>
          <w:tcPr>
            <w:tcW w:type="dxa" w:w="3135"/>
          </w:tcPr>
          <w:p>
            <w:r>
              <w:rPr>
                <w:rFonts w:ascii="Meiryo UI" w:hAnsi="Meiryo UI"/>
                <w:sz w:val="18"/>
              </w:rPr>
              <w:t>原薬より製剤のほうが高マージン。受注ミックス改善が顕在化</w:t>
            </w:r>
          </w:p>
        </w:tc>
        <w:tc>
          <w:tcPr>
            <w:tcW w:type="dxa" w:w="3135"/>
          </w:tcPr>
          <w:p>
            <w:r>
              <w:rPr>
                <w:rFonts w:ascii="Meiryo UI" w:hAnsi="Meiryo UI"/>
                <w:sz w:val="18"/>
              </w:rPr>
              <w:t>中高（設備投資済み）</w:t>
            </w:r>
          </w:p>
        </w:tc>
      </w:tr>
      <w:tr>
        <w:tc>
          <w:tcPr>
            <w:tcW w:type="dxa" w:w="3135"/>
            <w:shd w:val="clear" w:color="auto" w:fill="DDEBF7"/>
          </w:tcPr>
          <w:p>
            <w:r>
              <w:rPr>
                <w:rFonts w:ascii="Meiryo UI" w:hAnsi="Meiryo UI"/>
                <w:sz w:val="18"/>
              </w:rPr>
              <w:t>長期滞留在庫の評価損改善</w:t>
            </w:r>
          </w:p>
        </w:tc>
        <w:tc>
          <w:tcPr>
            <w:tcW w:type="dxa" w:w="3135"/>
            <w:shd w:val="clear" w:color="auto" w:fill="DDEBF7"/>
          </w:tcPr>
          <w:p>
            <w:r>
              <w:rPr>
                <w:rFonts w:ascii="Meiryo UI" w:hAnsi="Meiryo UI"/>
                <w:sz w:val="18"/>
              </w:rPr>
              <w:t>過去の余剰在庫が消化・改善。評価損が縮小</w:t>
            </w:r>
          </w:p>
        </w:tc>
        <w:tc>
          <w:tcPr>
            <w:tcW w:type="dxa" w:w="3135"/>
            <w:shd w:val="clear" w:color="auto" w:fill="DDEBF7"/>
          </w:tcPr>
          <w:p>
            <w:r>
              <w:rPr>
                <w:rFonts w:ascii="Meiryo UI" w:hAnsi="Meiryo UI"/>
                <w:sz w:val="18"/>
              </w:rPr>
              <w:t>高（一度改善すると元に戻りにくい）</w:t>
            </w:r>
          </w:p>
        </w:tc>
      </w:tr>
      <w:tr>
        <w:tc>
          <w:tcPr>
            <w:tcW w:type="dxa" w:w="3135"/>
          </w:tcPr>
          <w:p>
            <w:r>
              <w:rPr>
                <w:rFonts w:ascii="Meiryo UI" w:hAnsi="Meiryo UI"/>
                <w:sz w:val="18"/>
              </w:rPr>
              <w:t>販管費の抑制</w:t>
            </w:r>
          </w:p>
        </w:tc>
        <w:tc>
          <w:tcPr>
            <w:tcW w:type="dxa" w:w="3135"/>
          </w:tcPr>
          <w:p>
            <w:r>
              <w:rPr>
                <w:rFonts w:ascii="Meiryo UI" w:hAnsi="Meiryo UI"/>
                <w:sz w:val="18"/>
              </w:rPr>
              <w:t>固定費管理強化。売上規模は大きく変わらずOPが大幅改善</w:t>
            </w:r>
          </w:p>
        </w:tc>
        <w:tc>
          <w:tcPr>
            <w:tcW w:type="dxa" w:w="3135"/>
          </w:tcPr>
          <w:p>
            <w:r>
              <w:rPr>
                <w:rFonts w:ascii="Meiryo UI" w:hAnsi="Meiryo UI"/>
                <w:sz w:val="18"/>
              </w:rPr>
              <w:t>中（競合拡大局面では再投資必要）</w:t>
            </w:r>
          </w:p>
        </w:tc>
      </w:tr>
    </w:tbl>
    <w:p/>
    <w:p>
      <w:pPr>
        <w:pStyle w:val="Heading3"/>
      </w:pPr>
      <w:r>
        <w:rPr>
          <w:rFonts w:ascii="Meiryo UI" w:hAnsi="Meiryo UI"/>
          <w:color w:val="2E74B5"/>
        </w:rPr>
        <w:t>本日の新規材料：トーヨーケムとの提携</w:t>
      </w:r>
    </w:p>
    <w:p/>
    <w:p>
      <w:pPr>
        <w:pStyle w:val="ListBullet"/>
      </w:pPr>
      <w:r>
        <w:rPr>
          <w:rFonts w:ascii="Meiryo UI" w:hAnsi="Meiryo UI"/>
          <w:sz w:val="20"/>
        </w:rPr>
        <w:t>内容: 子会社とトーヨーケム（東洋インキグループの化学材料）との医薬品関連協定締結</w:t>
      </w:r>
    </w:p>
    <w:p>
      <w:pPr>
        <w:pStyle w:val="ListBullet"/>
      </w:pPr>
      <w:r>
        <w:rPr>
          <w:rFonts w:ascii="Meiryo UI" w:hAnsi="Meiryo UI"/>
          <w:sz w:val="20"/>
        </w:rPr>
        <w:t>意義: 原材料安定調達・コスト削減 → 製造原価の改善に寄与</w:t>
      </w:r>
    </w:p>
    <w:p>
      <w:pPr>
        <w:pStyle w:val="ListBullet"/>
      </w:pPr>
      <w:r>
        <w:rPr>
          <w:rFonts w:ascii="Meiryo UI" w:hAnsi="Meiryo UI"/>
          <w:sz w:val="20"/>
        </w:rPr>
        <w:t>評価: 中長期的なOPマージン改善のインフラ整備</w:t>
      </w:r>
    </w:p>
    <w:p/>
    <w:p>
      <w:r>
        <w:t>──────────────────────────────────────────────────</w:t>
      </w:r>
    </w:p>
    <w:p/>
    <w:p>
      <w:pPr>
        <w:pStyle w:val="Heading2"/>
      </w:pPr>
      <w:r>
        <w:rPr>
          <w:rFonts w:ascii="Meiryo UI" w:hAnsi="Meiryo UI"/>
          <w:color w:val="2E74B5"/>
        </w:rPr>
        <w:t>4. バリュエーション分析</w:t>
      </w:r>
    </w:p>
    <w:p/>
    <w:p>
      <w:pPr>
        <w:pStyle w:val="Heading3"/>
      </w:pPr>
      <w:r>
        <w:rPr>
          <w:rFonts w:ascii="Meiryo UI" w:hAnsi="Meiryo UI"/>
          <w:color w:val="2E74B5"/>
        </w:rPr>
        <w:t>現在指標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終値基準</w:t>
            </w:r>
          </w:p>
        </w:tc>
        <w:tc>
          <w:tcPr>
            <w:tcW w:type="dxa" w:w="3135"/>
            <w:shd w:val="clear" w:color="auto" w:fill="2E74B5"/>
          </w:tcPr>
          <w:p>
            <w:r>
              <w:rPr>
                <w:rFonts w:ascii="Meiryo UI" w:hAnsi="Meiryo UI"/>
                <w:b/>
                <w:color w:val="FFFFFF"/>
                <w:sz w:val="18"/>
              </w:rPr>
              <w:t>PTS後（¥1,548推定）</w:t>
            </w:r>
          </w:p>
        </w:tc>
      </w:tr>
      <w:tr>
        <w:tc>
          <w:tcPr>
            <w:tcW w:type="dxa" w:w="3135"/>
          </w:tcPr>
          <w:p>
            <w:r>
              <w:rPr>
                <w:rFonts w:ascii="Meiryo UI" w:hAnsi="Meiryo UI"/>
                <w:sz w:val="18"/>
              </w:rPr>
              <w:t>株価</w:t>
            </w:r>
          </w:p>
        </w:tc>
        <w:tc>
          <w:tcPr>
            <w:tcW w:type="dxa" w:w="3135"/>
          </w:tcPr>
          <w:p>
            <w:r>
              <w:rPr>
                <w:rFonts w:ascii="Meiryo UI" w:hAnsi="Meiryo UI"/>
                <w:sz w:val="18"/>
              </w:rPr>
              <w:t>¥1,402</w:t>
            </w:r>
          </w:p>
        </w:tc>
        <w:tc>
          <w:tcPr>
            <w:tcW w:type="dxa" w:w="3135"/>
          </w:tcPr>
          <w:p>
            <w:r>
              <w:rPr>
                <w:rFonts w:ascii="Meiryo UI" w:hAnsi="Meiryo UI"/>
                <w:sz w:val="18"/>
              </w:rPr>
              <w:t>¥1,548</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¥422億</w:t>
            </w:r>
          </w:p>
        </w:tc>
        <w:tc>
          <w:tcPr>
            <w:tcW w:type="dxa" w:w="3135"/>
            <w:shd w:val="clear" w:color="auto" w:fill="DDEBF7"/>
          </w:tcPr>
          <w:p>
            <w:r>
              <w:rPr>
                <w:rFonts w:ascii="Meiryo UI" w:hAnsi="Meiryo UI"/>
                <w:sz w:val="18"/>
              </w:rPr>
              <w:t>¥466億</w:t>
            </w:r>
          </w:p>
        </w:tc>
      </w:tr>
      <w:tr>
        <w:tc>
          <w:tcPr>
            <w:tcW w:type="dxa" w:w="3135"/>
          </w:tcPr>
          <w:p>
            <w:r>
              <w:rPr>
                <w:rFonts w:ascii="Meiryo UI" w:hAnsi="Meiryo UI"/>
                <w:sz w:val="18"/>
              </w:rPr>
              <w:t>予想PER</w:t>
            </w:r>
          </w:p>
        </w:tc>
        <w:tc>
          <w:tcPr>
            <w:tcW w:type="dxa" w:w="3135"/>
          </w:tcPr>
          <w:p>
            <w:r>
              <w:rPr>
                <w:rFonts w:ascii="Meiryo UI" w:hAnsi="Meiryo UI"/>
                <w:sz w:val="18"/>
              </w:rPr>
              <w:t>16.2x</w:t>
            </w:r>
          </w:p>
        </w:tc>
        <w:tc>
          <w:tcPr>
            <w:tcW w:type="dxa" w:w="3135"/>
          </w:tcPr>
          <w:p>
            <w:r>
              <w:rPr>
                <w:rFonts w:ascii="Meiryo UI" w:hAnsi="Meiryo UI"/>
                <w:sz w:val="18"/>
              </w:rPr>
              <w:t>17.9x</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0.79x</w:t>
            </w:r>
          </w:p>
        </w:tc>
        <w:tc>
          <w:tcPr>
            <w:tcW w:type="dxa" w:w="3135"/>
            <w:shd w:val="clear" w:color="auto" w:fill="DDEBF7"/>
          </w:tcPr>
          <w:p>
            <w:r>
              <w:rPr>
                <w:rFonts w:ascii="Meiryo UI" w:hAnsi="Meiryo UI"/>
                <w:sz w:val="18"/>
              </w:rPr>
              <w:t>0.88x</w:t>
            </w:r>
          </w:p>
        </w:tc>
      </w:tr>
      <w:tr>
        <w:tc>
          <w:tcPr>
            <w:tcW w:type="dxa" w:w="3135"/>
          </w:tcPr>
          <w:p>
            <w:r>
              <w:rPr>
                <w:rFonts w:ascii="Meiryo UI" w:hAnsi="Meiryo UI"/>
                <w:sz w:val="18"/>
              </w:rPr>
              <w:t>配当利回り</w:t>
            </w:r>
          </w:p>
        </w:tc>
        <w:tc>
          <w:tcPr>
            <w:tcW w:type="dxa" w:w="3135"/>
          </w:tcPr>
          <w:p>
            <w:r>
              <w:rPr>
                <w:rFonts w:ascii="Meiryo UI" w:hAnsi="Meiryo UI"/>
                <w:sz w:val="18"/>
              </w:rPr>
              <w:t>2.85%</w:t>
            </w:r>
          </w:p>
        </w:tc>
        <w:tc>
          <w:tcPr>
            <w:tcW w:type="dxa" w:w="3135"/>
          </w:tcPr>
          <w:p>
            <w:r>
              <w:rPr>
                <w:rFonts w:ascii="Meiryo UI" w:hAnsi="Meiryo UI"/>
                <w:sz w:val="18"/>
              </w:rPr>
              <w:t>2.58%</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¥1,764</w:t>
            </w:r>
          </w:p>
        </w:tc>
        <w:tc>
          <w:tcPr>
            <w:tcW w:type="dxa" w:w="3135"/>
            <w:shd w:val="clear" w:color="auto" w:fill="DDEBF7"/>
          </w:tcPr>
          <w:p>
            <w:r>
              <w:rPr>
                <w:rFonts w:ascii="Meiryo UI" w:hAnsi="Meiryo UI"/>
                <w:sz w:val="18"/>
              </w:rPr>
              <w:t>¥1,764（不変）</w:t>
            </w:r>
          </w:p>
        </w:tc>
      </w:tr>
      <w:tr>
        <w:tc>
          <w:tcPr>
            <w:tcW w:type="dxa" w:w="3135"/>
          </w:tcPr>
          <w:p>
            <w:r>
              <w:rPr>
                <w:rFonts w:ascii="Meiryo UI" w:hAnsi="Meiryo UI"/>
                <w:sz w:val="18"/>
              </w:rPr>
              <w:t>ROE（FY2026予）</w:t>
            </w:r>
          </w:p>
        </w:tc>
        <w:tc>
          <w:tcPr>
            <w:tcW w:type="dxa" w:w="3135"/>
          </w:tcPr>
          <w:p>
            <w:r>
              <w:rPr>
                <w:rFonts w:ascii="Meiryo UI" w:hAnsi="Meiryo UI"/>
                <w:sz w:val="18"/>
              </w:rPr>
              <w:t>—</w:t>
            </w:r>
          </w:p>
        </w:tc>
        <w:tc>
          <w:tcPr>
            <w:tcW w:type="dxa" w:w="3135"/>
          </w:tcPr>
          <w:p>
            <w:r>
              <w:rPr>
                <w:rFonts w:ascii="Meiryo UI" w:hAnsi="Meiryo UI"/>
                <w:sz w:val="18"/>
              </w:rPr>
              <w:t>4.9%</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0.48倍（売り優勢）</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WACC・理論PBR</w:t>
      </w:r>
    </w:p>
    <w:p/>
    <w:p>
      <w:pPr>
        <w:pStyle w:val="ListBullet"/>
      </w:pPr>
      <w:r>
        <w:rPr>
          <w:rFonts w:ascii="Meiryo UI" w:hAnsi="Meiryo UI"/>
          <w:sz w:val="20"/>
        </w:rPr>
        <w:t>JGB10Y: 2.425%、β: 0.262（医薬品CDMOの極低ベータ）、ERP: 5.5%</w:t>
      </w:r>
    </w:p>
    <w:p>
      <w:pPr>
        <w:pStyle w:val="ListBullet"/>
      </w:pPr>
      <w:r>
        <w:rPr>
          <w:rFonts w:ascii="Meiryo UI" w:hAnsi="Meiryo UI"/>
          <w:sz w:val="20"/>
        </w:rPr>
        <w:t>WACC = 2.425% + 0.262 × 5.5% = 3.87% ≈ 4.0%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g前提</w:t>
            </w:r>
          </w:p>
        </w:tc>
        <w:tc>
          <w:tcPr>
            <w:tcW w:type="dxa" w:w="3135"/>
            <w:shd w:val="clear" w:color="auto" w:fill="2E74B5"/>
          </w:tcPr>
          <w:p>
            <w:r>
              <w:rPr>
                <w:rFonts w:ascii="Meiryo UI" w:hAnsi="Meiryo UI"/>
                <w:b/>
                <w:color w:val="FFFFFF"/>
                <w:sz w:val="18"/>
              </w:rPr>
              <w:t>理論PBR</w:t>
            </w:r>
          </w:p>
        </w:tc>
        <w:tc>
          <w:tcPr>
            <w:tcW w:type="dxa" w:w="3135"/>
            <w:shd w:val="clear" w:color="auto" w:fill="2E74B5"/>
          </w:tcPr>
          <w:p>
            <w:r>
              <w:rPr>
                <w:rFonts w:ascii="Meiryo UI" w:hAnsi="Meiryo UI"/>
                <w:b/>
                <w:color w:val="FFFFFF"/>
                <w:sz w:val="18"/>
              </w:rPr>
              <w:t>PTS後PBR 0.88x との乖離</w:t>
            </w:r>
          </w:p>
        </w:tc>
      </w:tr>
      <w:tr>
        <w:tc>
          <w:tcPr>
            <w:tcW w:type="dxa" w:w="3135"/>
          </w:tcPr>
          <w:p>
            <w:r>
              <w:rPr>
                <w:rFonts w:ascii="Meiryo UI" w:hAnsi="Meiryo UI"/>
                <w:sz w:val="18"/>
              </w:rPr>
              <w:t>g=0%</w:t>
            </w:r>
          </w:p>
        </w:tc>
        <w:tc>
          <w:tcPr>
            <w:tcW w:type="dxa" w:w="3135"/>
          </w:tcPr>
          <w:p>
            <w:r>
              <w:rPr>
                <w:rFonts w:ascii="Meiryo UI" w:hAnsi="Meiryo UI"/>
                <w:sz w:val="18"/>
              </w:rPr>
              <w:t>1.09x</w:t>
            </w:r>
          </w:p>
        </w:tc>
        <w:tc>
          <w:tcPr>
            <w:tcW w:type="dxa" w:w="3135"/>
          </w:tcPr>
          <w:p>
            <w:r>
              <w:rPr>
                <w:rFonts w:ascii="Meiryo UI" w:hAnsi="Meiryo UI"/>
                <w:sz w:val="18"/>
              </w:rPr>
              <w:t>割安（+24%余地）</w:t>
            </w:r>
          </w:p>
        </w:tc>
      </w:tr>
      <w:tr>
        <w:tc>
          <w:tcPr>
            <w:tcW w:type="dxa" w:w="3135"/>
            <w:shd w:val="clear" w:color="auto" w:fill="DDEBF7"/>
          </w:tcPr>
          <w:p>
            <w:r>
              <w:rPr>
                <w:rFonts w:ascii="Meiryo UI" w:hAnsi="Meiryo UI"/>
                <w:sz w:val="18"/>
              </w:rPr>
              <w:t>g=1%</w:t>
            </w:r>
          </w:p>
        </w:tc>
        <w:tc>
          <w:tcPr>
            <w:tcW w:type="dxa" w:w="3135"/>
            <w:shd w:val="clear" w:color="auto" w:fill="DDEBF7"/>
          </w:tcPr>
          <w:p>
            <w:r>
              <w:rPr>
                <w:rFonts w:ascii="Meiryo UI" w:hAnsi="Meiryo UI"/>
                <w:sz w:val="18"/>
              </w:rPr>
              <w:t>1.12x</w:t>
            </w:r>
          </w:p>
        </w:tc>
        <w:tc>
          <w:tcPr>
            <w:tcW w:type="dxa" w:w="3135"/>
            <w:shd w:val="clear" w:color="auto" w:fill="DDEBF7"/>
          </w:tcPr>
          <w:p>
            <w:r>
              <w:rPr>
                <w:rFonts w:ascii="Meiryo UI" w:hAnsi="Meiryo UI"/>
                <w:sz w:val="18"/>
              </w:rPr>
              <w:t>割安（+27%余地）</w:t>
            </w:r>
          </w:p>
        </w:tc>
      </w:tr>
      <w:tr>
        <w:tc>
          <w:tcPr>
            <w:tcW w:type="dxa" w:w="3135"/>
          </w:tcPr>
          <w:p>
            <w:r>
              <w:rPr>
                <w:rFonts w:ascii="Meiryo UI" w:hAnsi="Meiryo UI"/>
                <w:sz w:val="18"/>
              </w:rPr>
              <w:t>g=2%</w:t>
            </w:r>
          </w:p>
        </w:tc>
        <w:tc>
          <w:tcPr>
            <w:tcW w:type="dxa" w:w="3135"/>
          </w:tcPr>
          <w:p>
            <w:r>
              <w:rPr>
                <w:rFonts w:ascii="Meiryo UI" w:hAnsi="Meiryo UI"/>
                <w:sz w:val="18"/>
              </w:rPr>
              <w:t>1.16x</w:t>
            </w:r>
          </w:p>
        </w:tc>
        <w:tc>
          <w:tcPr>
            <w:tcW w:type="dxa" w:w="3135"/>
          </w:tcPr>
          <w:p>
            <w:r>
              <w:rPr>
                <w:rFonts w:ascii="Meiryo UI" w:hAnsi="Meiryo UI"/>
                <w:sz w:val="18"/>
              </w:rPr>
              <w:t>割安（+32%余地）</w:t>
            </w:r>
          </w:p>
        </w:tc>
      </w:tr>
    </w:tbl>
    <w:p/>
    <w:p>
      <w:r>
        <w:rPr>
          <w:rFonts w:ascii="Meiryo UI" w:hAnsi="Meiryo UI"/>
          <w:sz w:val="20"/>
        </w:rPr>
        <w:t>PTS後PBR 0.88x &lt; 理論値1.09〜1.16x → 割安圏維持</w:t>
      </w:r>
    </w:p>
    <w:p/>
    <w:p>
      <w:pPr>
        <w:pStyle w:val="Heading3"/>
      </w:pPr>
      <w:r>
        <w:rPr>
          <w:rFonts w:ascii="Meiryo UI" w:hAnsi="Meiryo UI"/>
          <w:color w:val="2E74B5"/>
        </w:rPr>
        <w:t>目標株価算定</w:t>
      </w:r>
    </w:p>
    <w:p/>
    <w:p>
      <w:r>
        <w:rPr>
          <w:rFonts w:ascii="Meiryo UI" w:hAnsi="Meiryo UI"/>
          <w:sz w:val="20"/>
        </w:rPr>
        <w:t>ベースケース: ¥1,700（BPS ×0.96x）</w:t>
      </w:r>
    </w:p>
    <w:p>
      <w:pPr>
        <w:pStyle w:val="ListBullet"/>
      </w:pPr>
      <w:r>
        <w:rPr>
          <w:rFonts w:ascii="Meiryo UI" w:hAnsi="Meiryo UI"/>
          <w:sz w:val="20"/>
        </w:rPr>
        <w:t>製剤比率向上によるROE5〜6%定着 → PBR1.0x（¥1,764）への収束過程で¥1,700到達</w:t>
      </w:r>
    </w:p>
    <w:p/>
    <w:p>
      <w:r>
        <w:rPr>
          <w:rFonts w:ascii="Meiryo UI" w:hAnsi="Meiryo UI"/>
          <w:sz w:val="20"/>
        </w:rPr>
        <w:t>強気: ¥1,900（EPS¥100以上 × 19x）</w:t>
      </w:r>
    </w:p>
    <w:p>
      <w:pPr>
        <w:pStyle w:val="ListBullet"/>
      </w:pPr>
      <w:r>
        <w:rPr>
          <w:rFonts w:ascii="Meiryo UI" w:hAnsi="Meiryo UI"/>
          <w:sz w:val="20"/>
        </w:rPr>
        <w:t>通期OP¥3,500M超達成 + 来期OP更改善確認</w:t>
      </w:r>
    </w:p>
    <w:p/>
    <w:p>
      <w:r>
        <w:rPr>
          <w:rFonts w:ascii="Meiryo UI" w:hAnsi="Meiryo UI"/>
          <w:sz w:val="20"/>
        </w:rPr>
        <w:t>弱気: ¥1,200（PBR0.68x水準）</w:t>
      </w:r>
    </w:p>
    <w:p>
      <w:pPr>
        <w:pStyle w:val="ListBullet"/>
      </w:pPr>
      <w:r>
        <w:rPr>
          <w:rFonts w:ascii="Meiryo UI" w:hAnsi="Meiryo UI"/>
          <w:sz w:val="20"/>
        </w:rPr>
        <w:t>製剤比率改善の一過性確認 / 在庫評価損の再発</w:t>
      </w:r>
    </w:p>
    <w:p/>
    <w:p>
      <w:r>
        <w:t>──────────────────────────────────────────────────</w:t>
      </w:r>
    </w:p>
    <w:p/>
    <w:p>
      <w:pPr>
        <w:pStyle w:val="Heading2"/>
      </w:pPr>
      <w:r>
        <w:rPr>
          <w:rFonts w:ascii="Meiryo UI" w:hAnsi="Meiryo UI"/>
          <w:color w:val="2E74B5"/>
        </w:rPr>
        <w:t>5. 不動産含み益考察（必須項目）</w:t>
      </w:r>
    </w:p>
    <w:p/>
    <w:p>
      <w:r>
        <w:rPr>
          <w:rFonts w:ascii="Meiryo UI" w:hAnsi="Meiryo UI"/>
          <w:sz w:val="20"/>
        </w:rPr>
        <w:t>ダイトは製造業（CDMO）であり、富山工場の土地・建物を一定保有。</w:t>
      </w:r>
    </w:p>
    <w:p>
      <w:pPr>
        <w:pStyle w:val="ListBullet"/>
      </w:pPr>
      <w:r>
        <w:rPr>
          <w:rFonts w:ascii="Meiryo UI" w:hAnsi="Meiryo UI"/>
          <w:sz w:val="20"/>
        </w:rPr>
        <w:t>工場・土地の帳簿価額: B/Sで有形固定資産として計上。土地の時価評価益が潜在的に存在</w:t>
      </w:r>
    </w:p>
    <w:p>
      <w:pPr>
        <w:pStyle w:val="ListBullet"/>
      </w:pPr>
      <w:r>
        <w:rPr>
          <w:rFonts w:ascii="Meiryo UI" w:hAnsi="Meiryo UI"/>
          <w:sz w:val="20"/>
        </w:rPr>
        <w:t>規模感: 富山県の工業地区での土地コストは相対的に低く、含み益は限定的（数十億円規模と推定）</w:t>
      </w:r>
    </w:p>
    <w:p>
      <w:pPr>
        <w:pStyle w:val="ListBullet"/>
      </w:pPr>
      <w:r>
        <w:rPr>
          <w:rFonts w:ascii="Meiryo UI" w:hAnsi="Meiryo UI"/>
          <w:sz w:val="20"/>
        </w:rPr>
        <w:t>評価: NAV観点よりも「製造能力・設備の質」がバリュードライバー。M&amp;A対象として見た場合のDCF価値のほうが重要</w:t>
      </w:r>
    </w:p>
    <w:p/>
    <w:p>
      <w:r>
        <w:t>──────────────────────────────────────────────────</w:t>
      </w:r>
    </w:p>
    <w:p/>
    <w:p>
      <w:pPr>
        <w:pStyle w:val="Heading2"/>
      </w:pPr>
      <w:r>
        <w:rPr>
          <w:rFonts w:ascii="Meiryo UI" w:hAnsi="Meiryo UI"/>
          <w:color w:val="2E74B5"/>
        </w:rPr>
        <w:t>6. Q-1定性変化考察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Q2 FY2026（Sep-Nov）</w:t>
            </w:r>
          </w:p>
        </w:tc>
        <w:tc>
          <w:tcPr>
            <w:tcW w:type="dxa" w:w="2351"/>
            <w:shd w:val="clear" w:color="auto" w:fill="2E74B5"/>
          </w:tcPr>
          <w:p>
            <w:r>
              <w:rPr>
                <w:rFonts w:ascii="Meiryo UI" w:hAnsi="Meiryo UI"/>
                <w:b/>
                <w:color w:val="FFFFFF"/>
                <w:sz w:val="18"/>
              </w:rPr>
              <w:t>Q3 FY2026（Dec-Feb）</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OPマージン</w:t>
            </w:r>
          </w:p>
        </w:tc>
        <w:tc>
          <w:tcPr>
            <w:tcW w:type="dxa" w:w="2351"/>
          </w:tcPr>
          <w:p>
            <w:r>
              <w:rPr>
                <w:rFonts w:ascii="Meiryo UI" w:hAnsi="Meiryo UI"/>
                <w:sz w:val="18"/>
              </w:rPr>
              <w:t>5.2%</w:t>
            </w:r>
          </w:p>
        </w:tc>
        <w:tc>
          <w:tcPr>
            <w:tcW w:type="dxa" w:w="2351"/>
          </w:tcPr>
          <w:p>
            <w:r>
              <w:rPr>
                <w:rFonts w:ascii="Meiryo UI" w:hAnsi="Meiryo UI"/>
                <w:sz w:val="18"/>
              </w:rPr>
              <w:t>9.7%</w:t>
            </w:r>
          </w:p>
        </w:tc>
        <w:tc>
          <w:tcPr>
            <w:tcW w:type="dxa" w:w="2351"/>
          </w:tcPr>
          <w:p>
            <w:r>
              <w:rPr>
                <w:rFonts w:ascii="Meiryo UI" w:hAnsi="Meiryo UI"/>
                <w:sz w:val="18"/>
              </w:rPr>
              <w:t>+4.5pt 急改善</w:t>
            </w:r>
          </w:p>
        </w:tc>
      </w:tr>
      <w:tr>
        <w:tc>
          <w:tcPr>
            <w:tcW w:type="dxa" w:w="2351"/>
            <w:shd w:val="clear" w:color="auto" w:fill="DDEBF7"/>
          </w:tcPr>
          <w:p>
            <w:r>
              <w:rPr>
                <w:rFonts w:ascii="Meiryo UI" w:hAnsi="Meiryo UI"/>
                <w:sz w:val="18"/>
              </w:rPr>
              <w:t>売上高</w:t>
            </w:r>
          </w:p>
        </w:tc>
        <w:tc>
          <w:tcPr>
            <w:tcW w:type="dxa" w:w="2351"/>
            <w:shd w:val="clear" w:color="auto" w:fill="DDEBF7"/>
          </w:tcPr>
          <w:p>
            <w:r>
              <w:rPr>
                <w:rFonts w:ascii="Meiryo UI" w:hAnsi="Meiryo UI"/>
                <w:sz w:val="18"/>
              </w:rPr>
              <w:t>¥12,130M</w:t>
            </w:r>
          </w:p>
        </w:tc>
        <w:tc>
          <w:tcPr>
            <w:tcW w:type="dxa" w:w="2351"/>
            <w:shd w:val="clear" w:color="auto" w:fill="DDEBF7"/>
          </w:tcPr>
          <w:p>
            <w:r>
              <w:rPr>
                <w:rFonts w:ascii="Meiryo UI" w:hAnsi="Meiryo UI"/>
                <w:sz w:val="18"/>
              </w:rPr>
              <w:t>¥11,591M</w:t>
            </w:r>
          </w:p>
        </w:tc>
        <w:tc>
          <w:tcPr>
            <w:tcW w:type="dxa" w:w="2351"/>
            <w:shd w:val="clear" w:color="auto" w:fill="DDEBF7"/>
          </w:tcPr>
          <w:p>
            <w:r>
              <w:rPr>
                <w:rFonts w:ascii="Meiryo UI" w:hAnsi="Meiryo UI"/>
                <w:sz w:val="18"/>
              </w:rPr>
              <w:t>▲4.4%（季節性）</w:t>
            </w:r>
          </w:p>
        </w:tc>
      </w:tr>
      <w:tr>
        <w:tc>
          <w:tcPr>
            <w:tcW w:type="dxa" w:w="2351"/>
          </w:tcPr>
          <w:p>
            <w:r>
              <w:rPr>
                <w:rFonts w:ascii="Meiryo UI" w:hAnsi="Meiryo UI"/>
                <w:sz w:val="18"/>
              </w:rPr>
              <w:t>製剤比率</w:t>
            </w:r>
          </w:p>
        </w:tc>
        <w:tc>
          <w:tcPr>
            <w:tcW w:type="dxa" w:w="2351"/>
          </w:tcPr>
          <w:p>
            <w:r>
              <w:rPr>
                <w:rFonts w:ascii="Meiryo UI" w:hAnsi="Meiryo UI"/>
                <w:sz w:val="18"/>
              </w:rPr>
              <w:t>改善中</w:t>
            </w:r>
          </w:p>
        </w:tc>
        <w:tc>
          <w:tcPr>
            <w:tcW w:type="dxa" w:w="2351"/>
          </w:tcPr>
          <w:p>
            <w:r>
              <w:rPr>
                <w:rFonts w:ascii="Meiryo UI" w:hAnsi="Meiryo UI"/>
                <w:sz w:val="18"/>
              </w:rPr>
              <w:t>効果顕在化</w:t>
            </w:r>
          </w:p>
        </w:tc>
        <w:tc>
          <w:tcPr>
            <w:tcW w:type="dxa" w:w="2351"/>
          </w:tcPr>
          <w:p>
            <w:r>
              <w:rPr>
                <w:rFonts w:ascii="Meiryo UI" w:hAnsi="Meiryo UI"/>
                <w:sz w:val="18"/>
              </w:rPr>
              <w:t>構造的改善確認</w:t>
            </w:r>
          </w:p>
        </w:tc>
      </w:tr>
    </w:tbl>
    <w:p/>
    <w:p>
      <w:r>
        <w:rPr>
          <w:rFonts w:ascii="Meiryo UI" w:hAnsi="Meiryo UI"/>
          <w:sz w:val="20"/>
        </w:rPr>
        <w:t>Narrative Change: 「ポジティブ方向に明確変化」</w:t>
      </w:r>
    </w:p>
    <w:p>
      <w:r>
        <w:rPr>
          <w:rFonts w:ascii="Meiryo UI" w:hAnsi="Meiryo UI"/>
          <w:sz w:val="20"/>
        </w:rPr>
        <w:t>旧: 原薬偏重・在庫リスク・低マージン体質</w:t>
      </w:r>
    </w:p>
    <w:p>
      <w:r>
        <w:rPr>
          <w:rFonts w:ascii="Meiryo UI" w:hAnsi="Meiryo UI"/>
          <w:sz w:val="20"/>
        </w:rPr>
        <w:t>新: 製剤高マージン化＋在庫正常化により、売上横ばいでもOP2倍の収益構造転換進行中</w:t>
      </w:r>
    </w:p>
    <w:p/>
    <w:p>
      <w:r>
        <w:t>──────────────────────────────────────────────────</w:t>
      </w:r>
    </w:p>
    <w:p/>
    <w:p>
      <w:pPr>
        <w:pStyle w:val="Heading2"/>
      </w:pPr>
      <w:r>
        <w:rPr>
          <w:rFonts w:ascii="Meiryo UI" w:hAnsi="Meiryo UI"/>
          <w:color w:val="2E74B5"/>
        </w:rPr>
        <w:t>7. ガイダンス保守的/積極的判定</w:t>
      </w:r>
    </w:p>
    <w:p/>
    <w:p>
      <w:r>
        <w:rPr>
          <w:rFonts w:ascii="Meiryo UI" w:hAnsi="Meiryo UI"/>
          <w:sz w:val="20"/>
        </w:rPr>
        <w:t>FY2026 OP¥3,300M（修正後）: 「保守的」判定</w:t>
      </w:r>
    </w:p>
    <w:p/>
    <w:p>
      <w:pPr>
        <w:pStyle w:val="ListBullet"/>
      </w:pPr>
      <w:r>
        <w:rPr>
          <w:rFonts w:ascii="Meiryo UI" w:hAnsi="Meiryo UI"/>
          <w:sz w:val="20"/>
        </w:rPr>
        <w:t>Q3累計進捗83.4%に対し、Q4必要OP¥549M = 前年比▲27%でよい</w:t>
      </w:r>
    </w:p>
    <w:p>
      <w:pPr>
        <w:pStyle w:val="ListBullet"/>
      </w:pPr>
      <w:r>
        <w:rPr>
          <w:rFonts w:ascii="Meiryo UI" w:hAnsi="Meiryo UI"/>
          <w:sz w:val="20"/>
        </w:rPr>
        <w:t>追加上方修正の余地が高い: Q4が前年並みなら通期OP¥3,501M→来期予想開示時に利上げ効果</w:t>
      </w:r>
    </w:p>
    <w:p>
      <w:pPr>
        <w:pStyle w:val="ListBullet"/>
      </w:pPr>
      <w:r>
        <w:rPr>
          <w:rFonts w:ascii="Meiryo UI" w:hAnsi="Meiryo UI"/>
          <w:sz w:val="20"/>
        </w:rPr>
        <w:t>→ 次回（5月本決算）で再度上方修正・増配発表の確度が高い</w:t>
      </w:r>
    </w:p>
    <w:p/>
    <w:p>
      <w:r>
        <w:t>──────────────────────────────────────────────────</w:t>
      </w:r>
    </w:p>
    <w:p/>
    <w:p>
      <w:pPr>
        <w:pStyle w:val="Heading2"/>
      </w:pPr>
      <w:r>
        <w:rPr>
          <w:rFonts w:ascii="Meiryo UI" w:hAnsi="Meiryo UI"/>
          <w:color w:val="2E74B5"/>
        </w:rPr>
        <w:t>8. リスクシナリオ（定量ストレステスト）</w:t>
      </w:r>
    </w:p>
    <w:p/>
    <w:p>
      <w:pPr>
        <w:pStyle w:val="Heading3"/>
      </w:pPr>
      <w:r>
        <w:rPr>
          <w:rFonts w:ascii="Meiryo UI" w:hAnsi="Meiryo UI"/>
          <w:color w:val="2E74B5"/>
        </w:rPr>
        <w:t>シナリオA: 製剤比率改善の一過性（確率25%）</w:t>
      </w:r>
    </w:p>
    <w:p>
      <w:pPr>
        <w:pStyle w:val="ListBullet"/>
      </w:pPr>
      <w:r>
        <w:rPr>
          <w:rFonts w:ascii="Meiryo UI" w:hAnsi="Meiryo UI"/>
          <w:sz w:val="20"/>
        </w:rPr>
        <w:t>Q3に特定の大口製剤案件が集中し、Q4以降は原薬偏重に逆戻り</w:t>
      </w:r>
    </w:p>
    <w:p>
      <w:pPr>
        <w:pStyle w:val="ListBullet"/>
      </w:pPr>
      <w:r>
        <w:rPr>
          <w:rFonts w:ascii="Meiryo UI" w:hAnsi="Meiryo UI"/>
          <w:sz w:val="20"/>
        </w:rPr>
        <w:t>OP¥3,100M着地 → EPS ¥72 × 16x = ¥1,152（現値▲17.8%）</w:t>
      </w:r>
    </w:p>
    <w:p>
      <w:pPr>
        <w:pStyle w:val="ListBullet"/>
      </w:pPr>
      <w:r>
        <w:rPr>
          <w:rFonts w:ascii="Meiryo UI" w:hAnsi="Meiryo UI"/>
          <w:sz w:val="20"/>
        </w:rPr>
        <w:t>SL ¥1,250で前段階に撤退</w:t>
      </w:r>
    </w:p>
    <w:p/>
    <w:p>
      <w:pPr>
        <w:pStyle w:val="Heading3"/>
      </w:pPr>
      <w:r>
        <w:rPr>
          <w:rFonts w:ascii="Meiryo UI" w:hAnsi="Meiryo UI"/>
          <w:color w:val="2E74B5"/>
        </w:rPr>
        <w:t>シナリオB: ジェネリック薬価引き下げ（確率20%）</w:t>
      </w:r>
    </w:p>
    <w:p>
      <w:pPr>
        <w:pStyle w:val="ListBullet"/>
      </w:pPr>
      <w:r>
        <w:rPr>
          <w:rFonts w:ascii="Meiryo UI" w:hAnsi="Meiryo UI"/>
          <w:sz w:val="20"/>
        </w:rPr>
        <w:t>2年ごとの薬価改定でジェネリック価格引下げ→受託製造費も値下げ圧力</w:t>
      </w:r>
    </w:p>
    <w:p>
      <w:pPr>
        <w:pStyle w:val="ListBullet"/>
      </w:pPr>
      <w:r>
        <w:rPr>
          <w:rFonts w:ascii="Meiryo UI" w:hAnsi="Meiryo UI"/>
          <w:sz w:val="20"/>
        </w:rPr>
        <w:t>OP▲10%インパクト → EPS ¥78 × 15x = ¥1,170（現値▲16.5%）</w:t>
      </w:r>
    </w:p>
    <w:p/>
    <w:p>
      <w:pPr>
        <w:pStyle w:val="Heading3"/>
      </w:pPr>
      <w:r>
        <w:rPr>
          <w:rFonts w:ascii="Meiryo UI" w:hAnsi="Meiryo UI"/>
          <w:color w:val="2E74B5"/>
        </w:rPr>
        <w:t>シナリオC: 原薬原料コスト急騰（確率15%）</w:t>
      </w:r>
    </w:p>
    <w:p>
      <w:pPr>
        <w:pStyle w:val="ListBullet"/>
      </w:pPr>
      <w:r>
        <w:rPr>
          <w:rFonts w:ascii="Meiryo UI" w:hAnsi="Meiryo UI"/>
          <w:sz w:val="20"/>
        </w:rPr>
        <w:t>中国・インド産API原料の供給不安（地政学）</w:t>
      </w:r>
    </w:p>
    <w:p>
      <w:pPr>
        <w:pStyle w:val="ListBullet"/>
      </w:pPr>
      <w:r>
        <w:rPr>
          <w:rFonts w:ascii="Meiryo UI" w:hAnsi="Meiryo UI"/>
          <w:sz w:val="20"/>
        </w:rPr>
        <w:t>在庫評価損の再発 → FY2024の悪化局面再現リスク</w:t>
      </w:r>
    </w:p>
    <w:p>
      <w:pPr>
        <w:pStyle w:val="ListBullet"/>
      </w:pPr>
      <w:r>
        <w:rPr>
          <w:rFonts w:ascii="Meiryo UI" w:hAnsi="Meiryo UI"/>
          <w:sz w:val="20"/>
        </w:rPr>
        <w:t>OP▲¥800M → EPS ¥60 → ¥900（SL遥か下、即撤退）</w:t>
      </w:r>
    </w:p>
    <w:p/>
    <w:p>
      <w:r>
        <w:t>──────────────────────────────────────────────────</w:t>
      </w:r>
    </w:p>
    <w:p/>
    <w:p>
      <w:pPr>
        <w:pStyle w:val="Heading2"/>
      </w:pPr>
      <w:r>
        <w:rPr>
          <w:rFonts w:ascii="Meiryo UI" w:hAnsi="Meiryo UI"/>
          <w:color w:val="2E74B5"/>
        </w:rPr>
        <w:t>9. 需給分析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情報源</w:t>
            </w:r>
          </w:p>
        </w:tc>
        <w:tc>
          <w:tcPr>
            <w:tcW w:type="dxa" w:w="3135"/>
            <w:shd w:val="clear" w:color="auto" w:fill="2E74B5"/>
          </w:tcPr>
          <w:p>
            <w:r>
              <w:rPr>
                <w:rFonts w:ascii="Meiryo UI" w:hAnsi="Meiryo UI"/>
                <w:b/>
                <w:color w:val="FFFFFF"/>
                <w:sz w:val="18"/>
              </w:rPr>
              <w:t>シグナル</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PTS</w:t>
            </w:r>
          </w:p>
        </w:tc>
        <w:tc>
          <w:tcPr>
            <w:tcW w:type="dxa" w:w="3135"/>
          </w:tcPr>
          <w:p>
            <w:r>
              <w:rPr>
                <w:rFonts w:ascii="Meiryo UI" w:hAnsi="Meiryo UI"/>
                <w:sz w:val="18"/>
              </w:rPr>
              <w:t>+10.4%（¥1,548推定）</w:t>
            </w:r>
          </w:p>
        </w:tc>
        <w:tc>
          <w:tcPr>
            <w:tcW w:type="dxa" w:w="3135"/>
          </w:tcPr>
          <w:p>
            <w:r>
              <w:rPr>
                <w:rFonts w:ascii="Meiryo UI" w:hAnsi="Meiryo UI"/>
                <w:sz w:val="18"/>
              </w:rPr>
              <w:t>好決算サプライズへの素直な反応</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0.48倍（売り優勢）</w:t>
            </w:r>
          </w:p>
        </w:tc>
        <w:tc>
          <w:tcPr>
            <w:tcW w:type="dxa" w:w="3135"/>
            <w:shd w:val="clear" w:color="auto" w:fill="DDEBF7"/>
          </w:tcPr>
          <w:p>
            <w:r>
              <w:rPr>
                <w:rFonts w:ascii="Meiryo UI" w:hAnsi="Meiryo UI"/>
                <w:sz w:val="18"/>
              </w:rPr>
              <w:t>好決算で空売り踏み上げ発生の可能性</w:t>
            </w:r>
          </w:p>
        </w:tc>
      </w:tr>
      <w:tr>
        <w:tc>
          <w:tcPr>
            <w:tcW w:type="dxa" w:w="3135"/>
          </w:tcPr>
          <w:p>
            <w:r>
              <w:rPr>
                <w:rFonts w:ascii="Meiryo UI" w:hAnsi="Meiryo UI"/>
                <w:sz w:val="18"/>
              </w:rPr>
              <w:t>出来高</w:t>
            </w:r>
          </w:p>
        </w:tc>
        <w:tc>
          <w:tcPr>
            <w:tcW w:type="dxa" w:w="3135"/>
          </w:tcPr>
          <w:p>
            <w:r>
              <w:rPr>
                <w:rFonts w:ascii="Meiryo UI" w:hAnsi="Meiryo UI"/>
                <w:sz w:val="18"/>
              </w:rPr>
              <w:t>114,100株（平均の約2倍）</w:t>
            </w:r>
          </w:p>
        </w:tc>
        <w:tc>
          <w:tcPr>
            <w:tcW w:type="dxa" w:w="3135"/>
          </w:tcPr>
          <w:p>
            <w:r>
              <w:rPr>
                <w:rFonts w:ascii="Meiryo UI" w:hAnsi="Meiryo UI"/>
                <w:sz w:val="18"/>
              </w:rPr>
              <w:t>本日既に機関の動きあり</w:t>
            </w:r>
          </w:p>
        </w:tc>
      </w:tr>
      <w:tr>
        <w:tc>
          <w:tcPr>
            <w:tcW w:type="dxa" w:w="3135"/>
            <w:shd w:val="clear" w:color="auto" w:fill="DDEBF7"/>
          </w:tcPr>
          <w:p>
            <w:r>
              <w:rPr>
                <w:rFonts w:ascii="Meiryo UI" w:hAnsi="Meiryo UI"/>
                <w:sz w:val="18"/>
              </w:rPr>
              <w:t>レーティング</w:t>
            </w:r>
          </w:p>
        </w:tc>
        <w:tc>
          <w:tcPr>
            <w:tcW w:type="dxa" w:w="3135"/>
            <w:shd w:val="clear" w:color="auto" w:fill="DDEBF7"/>
          </w:tcPr>
          <w:p>
            <w:r>
              <w:rPr>
                <w:rFonts w:ascii="Meiryo UI" w:hAnsi="Meiryo UI"/>
                <w:sz w:val="18"/>
              </w:rPr>
              <w:t>4/10: SBI防衛3社等は関係ないが医薬品関連注目</w:t>
            </w:r>
          </w:p>
        </w:tc>
        <w:tc>
          <w:tcPr>
            <w:tcW w:type="dxa" w:w="3135"/>
            <w:shd w:val="clear" w:color="auto" w:fill="DDEBF7"/>
          </w:tcPr>
          <w:p>
            <w:r>
              <w:rPr>
                <w:rFonts w:ascii="Meiryo UI" w:hAnsi="Meiryo UI"/>
                <w:sz w:val="18"/>
              </w:rPr>
              <w:t>フォロー確認要</w:t>
            </w:r>
          </w:p>
        </w:tc>
      </w:tr>
    </w:tbl>
    <w:p/>
    <w:p>
      <w:r>
        <w:rPr>
          <w:rFonts w:ascii="Meiryo UI" w:hAnsi="Meiryo UI"/>
          <w:sz w:val="20"/>
        </w:rPr>
        <w:t>信用倍率0.48倍が最重要需給シグナル: 信用売りが信用買いを上回る状態で好決算→踏み上げ圧力。PTS翌日の寄付きギャップアップ後の継続性を確認。</w:t>
      </w:r>
    </w:p>
    <w:p/>
    <w:p>
      <w:r>
        <w:t>──────────────────────────────────────────────────</w:t>
      </w:r>
    </w:p>
    <w:p/>
    <w:p>
      <w:pPr>
        <w:pStyle w:val="Heading2"/>
      </w:pPr>
      <w:r>
        <w:rPr>
          <w:rFonts w:ascii="Meiryo UI" w:hAnsi="Meiryo UI"/>
          <w:color w:val="2E74B5"/>
        </w:rPr>
        <w:t>10. モニタリングトリガー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判断変更基準</w:t>
            </w:r>
          </w:p>
        </w:tc>
      </w:tr>
      <w:tr>
        <w:tc>
          <w:tcPr>
            <w:tcW w:type="dxa" w:w="3135"/>
          </w:tcPr>
          <w:p>
            <w:r>
              <w:rPr>
                <w:rFonts w:ascii="Meiryo UI" w:hAnsi="Meiryo UI"/>
                <w:sz w:val="18"/>
              </w:rPr>
              <w:t>FY2026通期決算（5月末）</w:t>
            </w:r>
          </w:p>
        </w:tc>
        <w:tc>
          <w:tcPr>
            <w:tcW w:type="dxa" w:w="3135"/>
          </w:tcPr>
          <w:p>
            <w:r>
              <w:rPr>
                <w:rFonts w:ascii="Meiryo UI" w:hAnsi="Meiryo UI"/>
                <w:sz w:val="18"/>
              </w:rPr>
              <w:t>2026年7月</w:t>
            </w:r>
          </w:p>
        </w:tc>
        <w:tc>
          <w:tcPr>
            <w:tcW w:type="dxa" w:w="3135"/>
          </w:tcPr>
          <w:p>
            <w:r>
              <w:rPr>
                <w:rFonts w:ascii="Meiryo UI" w:hAnsi="Meiryo UI"/>
                <w:sz w:val="18"/>
              </w:rPr>
              <w:t>OP¥3,500M以上→BUY強化 / ¥2,800M以下→WATCH格下げ</w:t>
            </w:r>
          </w:p>
        </w:tc>
      </w:tr>
      <w:tr>
        <w:tc>
          <w:tcPr>
            <w:tcW w:type="dxa" w:w="3135"/>
            <w:shd w:val="clear" w:color="auto" w:fill="DDEBF7"/>
          </w:tcPr>
          <w:p>
            <w:r>
              <w:rPr>
                <w:rFonts w:ascii="Meiryo UI" w:hAnsi="Meiryo UI"/>
                <w:sz w:val="18"/>
              </w:rPr>
              <w:t>薬価改定動向</w:t>
            </w:r>
          </w:p>
        </w:tc>
        <w:tc>
          <w:tcPr>
            <w:tcW w:type="dxa" w:w="3135"/>
            <w:shd w:val="clear" w:color="auto" w:fill="DDEBF7"/>
          </w:tcPr>
          <w:p>
            <w:r>
              <w:rPr>
                <w:rFonts w:ascii="Meiryo UI" w:hAnsi="Meiryo UI"/>
                <w:sz w:val="18"/>
              </w:rPr>
              <w:t>2026年度</w:t>
            </w:r>
          </w:p>
        </w:tc>
        <w:tc>
          <w:tcPr>
            <w:tcW w:type="dxa" w:w="3135"/>
            <w:shd w:val="clear" w:color="auto" w:fill="DDEBF7"/>
          </w:tcPr>
          <w:p>
            <w:r>
              <w:rPr>
                <w:rFonts w:ascii="Meiryo UI" w:hAnsi="Meiryo UI"/>
                <w:sz w:val="18"/>
              </w:rPr>
              <w:t>引下げ幅5%以上→リスク評価</w:t>
            </w:r>
          </w:p>
        </w:tc>
      </w:tr>
      <w:tr>
        <w:tc>
          <w:tcPr>
            <w:tcW w:type="dxa" w:w="3135"/>
          </w:tcPr>
          <w:p>
            <w:r>
              <w:rPr>
                <w:rFonts w:ascii="Meiryo UI" w:hAnsi="Meiryo UI"/>
                <w:sz w:val="18"/>
              </w:rPr>
              <w:t>製剤受注継続確認</w:t>
            </w:r>
          </w:p>
        </w:tc>
        <w:tc>
          <w:tcPr>
            <w:tcW w:type="dxa" w:w="3135"/>
          </w:tcPr>
          <w:p>
            <w:r>
              <w:rPr>
                <w:rFonts w:ascii="Meiryo UI" w:hAnsi="Meiryo UI"/>
                <w:sz w:val="18"/>
              </w:rPr>
              <w:t>Q4月次（IR）</w:t>
            </w:r>
          </w:p>
        </w:tc>
        <w:tc>
          <w:tcPr>
            <w:tcW w:type="dxa" w:w="3135"/>
          </w:tcPr>
          <w:p>
            <w:r>
              <w:rPr>
                <w:rFonts w:ascii="Meiryo UI" w:hAnsi="Meiryo UI"/>
                <w:sz w:val="18"/>
              </w:rPr>
              <w:t>製剤比率维持→構造改善継続確認</w:t>
            </w:r>
          </w:p>
        </w:tc>
      </w:tr>
      <w:tr>
        <w:tc>
          <w:tcPr>
            <w:tcW w:type="dxa" w:w="3135"/>
            <w:shd w:val="clear" w:color="auto" w:fill="DDEBF7"/>
          </w:tcPr>
          <w:p>
            <w:r>
              <w:rPr>
                <w:rFonts w:ascii="Meiryo UI" w:hAnsi="Meiryo UI"/>
                <w:sz w:val="18"/>
              </w:rPr>
              <w:t>トーヨーケム提携効果</w:t>
            </w:r>
          </w:p>
        </w:tc>
        <w:tc>
          <w:tcPr>
            <w:tcW w:type="dxa" w:w="3135"/>
            <w:shd w:val="clear" w:color="auto" w:fill="DDEBF7"/>
          </w:tcPr>
          <w:p>
            <w:r>
              <w:rPr>
                <w:rFonts w:ascii="Meiryo UI" w:hAnsi="Meiryo UI"/>
                <w:sz w:val="18"/>
              </w:rPr>
              <w:t>来期以降</w:t>
            </w:r>
          </w:p>
        </w:tc>
        <w:tc>
          <w:tcPr>
            <w:tcW w:type="dxa" w:w="3135"/>
            <w:shd w:val="clear" w:color="auto" w:fill="DDEBF7"/>
          </w:tcPr>
          <w:p>
            <w:r>
              <w:rPr>
                <w:rFonts w:ascii="Meiryo UI" w:hAnsi="Meiryo UI"/>
                <w:sz w:val="18"/>
              </w:rPr>
              <w:t>原料調達コスト▲3%以上→BUY強化</w:t>
            </w:r>
          </w:p>
        </w:tc>
      </w:tr>
    </w:tbl>
    <w:p/>
    <w:p>
      <w:r>
        <w:t>──────────────────────────────────────────────────</w:t>
      </w:r>
    </w:p>
    <w:p/>
    <w:p>
      <w:pPr>
        <w:pStyle w:val="Heading2"/>
      </w:pPr>
      <w:r>
        <w:rPr>
          <w:rFonts w:ascii="Meiryo UI" w:hAnsi="Meiryo UI"/>
          <w:color w:val="2E74B5"/>
        </w:rPr>
        <w:t>11. 浅井スコア詳細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+25</w:t>
            </w:r>
          </w:p>
        </w:tc>
        <w:tc>
          <w:tcPr>
            <w:tcW w:type="dxa" w:w="3135"/>
          </w:tcPr>
          <w:p>
            <w:r>
              <w:rPr>
                <w:rFonts w:ascii="Meiryo UI" w:hAnsi="Meiryo UI"/>
                <w:sz w:val="18"/>
              </w:rPr>
              <w:t>OP+47.2%・Q3 OPM9.7%最高・Q4ハードル低</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PTS+10.4%・52週高値圏</w:t>
            </w:r>
          </w:p>
        </w:tc>
      </w:tr>
      <w:tr>
        <w:tc>
          <w:tcPr>
            <w:tcW w:type="dxa" w:w="3135"/>
          </w:tcPr>
          <w:p>
            <w:r>
              <w:rPr>
                <w:rFonts w:ascii="Meiryo UI" w:hAnsi="Meiryo UI"/>
                <w:sz w:val="18"/>
              </w:rPr>
              <w:t>需給フロー</w:t>
            </w:r>
          </w:p>
        </w:tc>
        <w:tc>
          <w:tcPr>
            <w:tcW w:type="dxa" w:w="3135"/>
          </w:tcPr>
          <w:p>
            <w:r>
              <w:rPr>
                <w:rFonts w:ascii="Meiryo UI" w:hAnsi="Meiryo UI"/>
                <w:sz w:val="18"/>
              </w:rPr>
              <w:t>+18</w:t>
            </w:r>
          </w:p>
        </w:tc>
        <w:tc>
          <w:tcPr>
            <w:tcW w:type="dxa" w:w="3135"/>
          </w:tcPr>
          <w:p>
            <w:r>
              <w:rPr>
                <w:rFonts w:ascii="Meiryo UI" w:hAnsi="Meiryo UI"/>
                <w:sz w:val="18"/>
              </w:rPr>
              <w:t>信用倍率0.48倍→踏み上げ期待・出来高急増</w:t>
            </w:r>
          </w:p>
        </w:tc>
      </w:tr>
      <w:tr>
        <w:tc>
          <w:tcPr>
            <w:tcW w:type="dxa" w:w="3135"/>
            <w:shd w:val="clear" w:color="auto" w:fill="DDEBF7"/>
          </w:tcPr>
          <w:p>
            <w:r>
              <w:rPr>
                <w:rFonts w:ascii="Meiryo UI" w:hAnsi="Meiryo UI"/>
                <w:sz w:val="18"/>
              </w:rPr>
              <w:t>地政学・マクロ</w:t>
            </w:r>
          </w:p>
        </w:tc>
        <w:tc>
          <w:tcPr>
            <w:tcW w:type="dxa" w:w="3135"/>
            <w:shd w:val="clear" w:color="auto" w:fill="DDEBF7"/>
          </w:tcPr>
          <w:p>
            <w:r>
              <w:rPr>
                <w:rFonts w:ascii="Meiryo UI" w:hAnsi="Meiryo UI"/>
                <w:sz w:val="18"/>
              </w:rPr>
              <w:t>+11</w:t>
            </w:r>
          </w:p>
        </w:tc>
        <w:tc>
          <w:tcPr>
            <w:tcW w:type="dxa" w:w="3135"/>
            <w:shd w:val="clear" w:color="auto" w:fill="DDEBF7"/>
          </w:tcPr>
          <w:p>
            <w:r>
              <w:rPr>
                <w:rFonts w:ascii="Meiryo UI" w:hAnsi="Meiryo UI"/>
                <w:sz w:val="18"/>
              </w:rPr>
              <w:t>医薬品CDMO＝内需ディフェンシブ・原料コスト安定</w:t>
            </w:r>
          </w:p>
        </w:tc>
      </w:tr>
      <w:tr>
        <w:tc>
          <w:tcPr>
            <w:tcW w:type="dxa" w:w="3135"/>
          </w:tcPr>
          <w:p>
            <w:r>
              <w:rPr>
                <w:rFonts w:ascii="Meiryo UI" w:hAnsi="Meiryo UI"/>
                <w:sz w:val="18"/>
              </w:rPr>
              <w:t>リスク控除</w:t>
            </w:r>
          </w:p>
        </w:tc>
        <w:tc>
          <w:tcPr>
            <w:tcW w:type="dxa" w:w="3135"/>
          </w:tcPr>
          <w:p>
            <w:r>
              <w:rPr>
                <w:rFonts w:ascii="Meiryo UI" w:hAnsi="Meiryo UI"/>
                <w:sz w:val="18"/>
              </w:rPr>
              <w:t>▲0</w:t>
            </w:r>
          </w:p>
        </w:tc>
        <w:tc>
          <w:tcPr>
            <w:tcW w:type="dxa" w:w="3135"/>
          </w:tcPr>
          <w:p>
            <w:r>
              <w:rPr>
                <w:rFonts w:ascii="Meiryo UI" w:hAnsi="Meiryo UI"/>
                <w:sz w:val="18"/>
              </w:rPr>
              <w:t>薬価改定リスク・製剤案件一過性リスクを織込み済み</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BUY</w:t>
            </w:r>
          </w:p>
        </w:tc>
      </w:tr>
    </w:tbl>
    <w:p/>
    <w:p>
      <w:r>
        <w:t>──────────────────────────────────────────────────</w:t>
      </w:r>
    </w:p>
    <w:p/>
    <w:p>
      <w:r>
        <w:rPr>
          <w:rFonts w:ascii="Meiryo UI" w:hAnsi="Meiryo UI"/>
          <w:sz w:val="20"/>
        </w:rPr>
        <w:t>本レポートは2026年4月10日発表の決算データに基づく。株価はリアルタイム取得（Yahoo Finance）、財務指標はkabutanより取得。</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