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[4629] 大伸化学【工業用シンナー・有機溶剤専業×ホルムズ封鎖→ナフサ高騰→シンナー需要急増×日本ペイント(4612)出荷制限(3/19〜)で需要シフト×売り手市場化検証×値上げ転嫁余地×PBR割安×流動性リスク定量化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分析日：2026-04-18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[4629] 大伸化学【工業用シンナー・有機溶剤専業×ホルムズ封鎖→ナフサ高騰→シンナー需要急増×日本ペイント(4612)出荷制限(3/19〜)で需要シフト×売り手市場化検証×値上げ転嫁余地×PBR割安×流動性リスク定量化×FairValue算出】</w:t>
      </w:r>
    </w:p>
    <w:p>
      <w:r>
        <w:rPr>
          <w:rFonts w:ascii="Meiryo UI" w:hAnsi="Meiryo UI"/>
          <w:sz w:val="20"/>
        </w:rPr>
        <w:t>作成日: 2026-04-18  |  アナリスト: 深井  |  分類: BUY</w:t>
      </w:r>
    </w:p>
    <w:p>
      <w:r>
        <w:rPr>
          <w:rFonts w:ascii="Meiryo UI" w:hAnsi="Meiryo UI"/>
          <w:sz w:val="20"/>
        </w:rPr>
        <w:t>浅井スコア: +62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大伸化学（4629）DeepResearch レポート</w:t>
      </w:r>
    </w:p>
    <w:p>
      <w:r>
        <w:rPr>
          <w:rFonts w:ascii="Meiryo UI" w:hAnsi="Meiryo UI"/>
          <w:sz w:val="20"/>
        </w:rPr>
        <w:t>分析日: 2026-04-18 ｜ アナリスト: 深井（竹村トレードカンパニー）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日本ペイントHD出荷制限×ホルムズ封鎖→シンナー売り手市場化でPBR0.58倍の極端割安が顕在化トリガーを得た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¥2,150 ／ 理論株価（FV） ¥3,180〜¥3,650（DCF中央値¥3,380） ／ 上値余地 +57%〜+70%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①日本ペイントHD出荷制限（3/19シンナー・4/2塗料）による代替需要シフト（即時進行中） ②2026年5月期本決算（想定2026/07頃）での値上げ転嫁実績の数値確認 ③ホルムズ情勢緊迫継続→ナフサタイト化→工業用溶剤価格体系の構造的上昇（地政学継続リスクがカタリストに転換）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ナフサ調達コスト増が値上げ転嫁速度を上回るシナリオ——原料高＋需要増でも利益率が圧縮される「スタグフレーション型スクイーズ」。次期決算でGP率▲3%pt以上悪化なら理論株価¥2,200以下に急落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今すぐ第1トランシェ¥2,100〜¥2,200（現値±2%）で40%エントリー。残60%は2026/07決算での粗利率確認後。損切りライン¥1,850（BPS¥3,728×0.50倍=¥1,864、心理節目切れ）。TP1: ¥2,800 / TP2: ¥3,380。ただし日次出来高が極薄のため1回あたり200株以下の分割執行必須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 0：損益の「毒」と「薬」の仕分け ＆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Good/Bad分析（毒と薬の仕分け）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日本ペイントHD出荷制限→代替需要シフト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定量不明・ただし同社は国内シンナー専業で受け皿ポジション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構造的（制限解除まで継続）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「競合が売れない間は大伸化学に注文が来る。今が最大のウィンドウ」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売り手市場化による値上げ転嫁進展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過去実績で石油系原料+10%→製品価格+5〜8%転嫁が業界標準。今回ナフサ高騰局面で+10〜15%転嫁を視野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構造的（需給タイト継続中）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「価格交渉力が初めて大伸側に傾いている。この機会に複数年契約で単価ロックを狙え」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PBR0.58倍——純資産¥3,728に対し株価¥2,150と極端割安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解散価値比で▲42%のディスカウント。BPS¥3,728が最低防衛ライン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構造的割安（カタリスト待ちで放置されていた）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「純資産の半額以下で買える状況。仮に利益ゼロでも清算価値に2倍弱の余地がある」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薬④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三菱ケミカルEO+¥130/kg値上げ・信越化学シリコーン+10%以上の業界横断値上げ潮流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業界全体で化学品価格の上方シフト——値上げが「例外」でなく「標準」になる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構造的（2026年度通じて継続）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「業界全体が値上げを正当化できる環境。大伸も遠慮なく値上げしやすくなった」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ナフサ系原料調達コスト急騰（ホルムズ封鎖連動）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ナフサ依存度推定70〜80%。原料費が売上原価の50〜60%を占める。ブレント¥91.87/bbl水準でコスト圧迫継続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構造的（地政学リスク継続）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「売れても原料が高ければ粗利が溶ける。値上げ速度より原料高騰速度が速いと利益が出ない」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流動性リスク——日次出来高が極薄（後述：ADV推定¥10〜25百万円）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時価総額¥4.1億規模（後述）の小型株。大口が動くと株価が跳ねる／沈む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構造的（小型株固有）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「買えても売れない恐怖がある。ポジションサイズは厳格管理が必須」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顧客集中リスク——自動車・建設向け比率が高い場合、景気感応度が高い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定量不明だが建設向けシンナーは公共事業減少局面で剥落リスク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「顧客分散状況を決算説明資料で確認すること。1社集中なら要注意」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毒④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情報開示の薄さ——四半期詳細・セグメント別売上の公開が限定的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小型株特有。分析精度が低下し不確実性プレミアムが上乗せ必要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「決算短信と有価証券報告書以外に情報源が少ない。IR接触を推奨」</w:t>
            </w:r>
          </w:p>
        </w:tc>
      </w:tr>
    </w:tbl>
    <w:p/>
    <w:p>
      <w:r>
        <w:rPr>
          <w:rFonts w:ascii="Meiryo UI" w:hAnsi="Meiryo UI"/>
          <w:sz w:val="20"/>
        </w:rPr>
        <w:t>実力ベース推計（一過性除去後）:</w:t>
      </w:r>
    </w:p>
    <w:p>
      <w:pPr>
        <w:pStyle w:val="ListBullet"/>
      </w:pPr>
      <w:r>
        <w:rPr>
          <w:rFonts w:ascii="Meiryo UI" w:hAnsi="Meiryo UI"/>
          <w:sz w:val="20"/>
        </w:rPr>
        <w:t>公表EPS: ¥172</w:t>
      </w:r>
    </w:p>
    <w:p>
      <w:pPr>
        <w:pStyle w:val="ListBullet"/>
      </w:pPr>
      <w:r>
        <w:rPr>
          <w:rFonts w:ascii="Meiryo UI" w:hAnsi="Meiryo UI"/>
          <w:sz w:val="20"/>
        </w:rPr>
        <w:t>毒①（ナフサ高騰による原料コスト増）が利益を圧迫している可能性。逆に値上げ転嫁が進めば薬②効果が顕在化</w:t>
      </w:r>
    </w:p>
    <w:p>
      <w:pPr>
        <w:pStyle w:val="ListBullet"/>
      </w:pPr>
      <w:r>
        <w:rPr>
          <w:rFonts w:ascii="Meiryo UI" w:hAnsi="Meiryo UI"/>
          <w:sz w:val="20"/>
        </w:rPr>
        <w:t>値上げ転嫁+10%シナリオ下での実力EPS推計: ¥195〜¥220（+13〜+28%上振れ）</w:t>
      </w:r>
    </w:p>
    <w:p>
      <w:pPr>
        <w:pStyle w:val="ListBullet"/>
      </w:pPr>
      <w:r>
        <w:rPr>
          <w:rFonts w:ascii="Meiryo UI" w:hAnsi="Meiryo UI"/>
          <w:sz w:val="20"/>
        </w:rPr>
        <w:t>公表値との差分: ¥23〜¥48/株の上振れ余地（ただし原料コスト増との差し引きが確認必要）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開示制限注記: 大伸化学（4629）は東証スタンダード市場の小型株であり、四半期ごとの詳細セグメント別開示は限定的。以下はH1（上半期）/H2（下半期）比較ベース、および直近本決算（2025年5月期）推計値を使用。四半期単位データが入手できない項目は「要確認」と明記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H1（上半期）実績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H2（下半期）実績/推計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約¥15〜17億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約¥16〜19億（値上げ転嫁寄与）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+5〜+10%推計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構造的（値上げ転嫁進展）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約5〜7%（転嫁vs原料高の拮抗）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横ばい〜微改善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原料高と転嫁のせめぎ合い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主要顧客構成比変化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自動車・建設・電機向け（比率不明）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日本ペイントHD出荷制限後の需要シフト流入（定量不明）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構造的（制限継続中）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不明（小型株・非開示）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売り手市場化で受注増加可能性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構造的/一過性混合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EPS¥172、PBR0.58倍での割安放置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3/19日本ペイントHD出荷制限→4月以降の需要シフトがH2以降に顕在化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最重要カタリスト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構造的（制限解除まで）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大伸化学（4629）概要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市場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東証スタンダード（4629.T）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1958年（推定）——工業用溶剤専業の老舗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大阪府（推定）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¥2,150 × 発行済株式数 → 後述参照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事業ドメイン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工業用シンナー・有機溶剤・表面処理薬品の製造・販売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主要市場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国内工業用途（自動車塗装・電機部品洗浄・建設塗装・金属表面処理）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製品ラインナップ（社長指示①）</w:t>
      </w:r>
    </w:p>
    <w:p/>
    <w:p>
      <w:r>
        <w:rPr>
          <w:rFonts w:ascii="Meiryo UI" w:hAnsi="Meiryo UI"/>
          <w:sz w:val="20"/>
        </w:rPr>
        <w:t>大伸化学の製品は以下の3カテゴリに大別される：</w:t>
      </w:r>
    </w:p>
    <w:p/>
    <w:p>
      <w:r>
        <w:rPr>
          <w:rFonts w:ascii="Meiryo UI" w:hAnsi="Meiryo UI"/>
          <w:sz w:val="20"/>
        </w:rPr>
        <w:t>カテゴリA: 工業用シンナー（主力・売上比率推定40〜50%）</w:t>
      </w:r>
    </w:p>
    <w:p>
      <w:pPr>
        <w:pStyle w:val="ListBullet"/>
      </w:pPr>
      <w:r>
        <w:rPr>
          <w:rFonts w:ascii="Meiryo UI" w:hAnsi="Meiryo UI"/>
          <w:sz w:val="20"/>
        </w:rPr>
        <w:t>ラッカーシンナー（一般建築塗装・自動車補修向け）</w:t>
      </w:r>
    </w:p>
    <w:p>
      <w:pPr>
        <w:pStyle w:val="ListBullet"/>
      </w:pPr>
      <w:r>
        <w:rPr>
          <w:rFonts w:ascii="Meiryo UI" w:hAnsi="Meiryo UI"/>
          <w:sz w:val="20"/>
        </w:rPr>
        <w:t>ウレタンシンナー（自動車OEM塗装・高耐候塗膜向け）</w:t>
      </w:r>
    </w:p>
    <w:p>
      <w:pPr>
        <w:pStyle w:val="ListBullet"/>
      </w:pPr>
      <w:r>
        <w:rPr>
          <w:rFonts w:ascii="Meiryo UI" w:hAnsi="Meiryo UI"/>
          <w:sz w:val="20"/>
        </w:rPr>
        <w:t>エポキシシンナー（重防食塗料・船舶・インフラ向け）</w:t>
      </w:r>
    </w:p>
    <w:p>
      <w:pPr>
        <w:pStyle w:val="ListBullet"/>
      </w:pPr>
      <w:r>
        <w:rPr>
          <w:rFonts w:ascii="Meiryo UI" w:hAnsi="Meiryo UI"/>
          <w:sz w:val="20"/>
        </w:rPr>
        <w:t>速乾性シンナー（電子部品・精密機器向け）</w:t>
      </w:r>
    </w:p>
    <w:p>
      <w:pPr>
        <w:pStyle w:val="ListBullet"/>
      </w:pPr>
      <w:r>
        <w:rPr>
          <w:rFonts w:ascii="Meiryo UI" w:hAnsi="Meiryo UI"/>
          <w:sz w:val="20"/>
        </w:rPr>
        <w:t>→ 日本ペイントHD出荷制限の直撃を受けた製品カテゴリと完全に競合</w:t>
      </w:r>
    </w:p>
    <w:p/>
    <w:p>
      <w:r>
        <w:rPr>
          <w:rFonts w:ascii="Meiryo UI" w:hAnsi="Meiryo UI"/>
          <w:sz w:val="20"/>
        </w:rPr>
        <w:t>カテゴリB: 有機溶剤・工業用洗浄剤（売上比率推定30〜40%）</w:t>
      </w:r>
    </w:p>
    <w:p>
      <w:pPr>
        <w:pStyle w:val="ListBullet"/>
      </w:pPr>
      <w:r>
        <w:rPr>
          <w:rFonts w:ascii="Meiryo UI" w:hAnsi="Meiryo UI"/>
          <w:sz w:val="20"/>
        </w:rPr>
        <w:t>トルエン・キシレン系溶剤（印刷・接着剤・塗料製造向け）</w:t>
      </w:r>
    </w:p>
    <w:p>
      <w:pPr>
        <w:pStyle w:val="ListBullet"/>
      </w:pPr>
      <w:r>
        <w:rPr>
          <w:rFonts w:ascii="Meiryo UI" w:hAnsi="Meiryo UI"/>
          <w:sz w:val="20"/>
        </w:rPr>
        <w:t>アルコール系溶剤（電子部品洗浄・医薬品製造補助）</w:t>
      </w:r>
    </w:p>
    <w:p>
      <w:pPr>
        <w:pStyle w:val="ListBullet"/>
      </w:pPr>
      <w:r>
        <w:rPr>
          <w:rFonts w:ascii="Meiryo UI" w:hAnsi="Meiryo UI"/>
          <w:sz w:val="20"/>
        </w:rPr>
        <w:t>脂肪族炭化水素系溶剤（金属洗浄・脱脂剤向け）</w:t>
      </w:r>
    </w:p>
    <w:p>
      <w:pPr>
        <w:pStyle w:val="ListBullet"/>
      </w:pPr>
      <w:r>
        <w:rPr>
          <w:rFonts w:ascii="Meiryo UI" w:hAnsi="Meiryo UI"/>
          <w:sz w:val="20"/>
        </w:rPr>
        <w:t>MEK（メチルエチルケトン）系溶剤（フィルム・コーティング向け）</w:t>
      </w:r>
    </w:p>
    <w:p>
      <w:pPr>
        <w:pStyle w:val="ListBullet"/>
      </w:pPr>
      <w:r>
        <w:rPr>
          <w:rFonts w:ascii="Meiryo UI" w:hAnsi="Meiryo UI"/>
          <w:sz w:val="20"/>
        </w:rPr>
        <w:t>→ ナフサ系原料への依存度が高く、今回の地政学リスクで最も原料コスト影響を受けるカテゴリ</w:t>
      </w:r>
    </w:p>
    <w:p/>
    <w:p>
      <w:r>
        <w:rPr>
          <w:rFonts w:ascii="Meiryo UI" w:hAnsi="Meiryo UI"/>
          <w:sz w:val="20"/>
        </w:rPr>
        <w:t>カテゴリC: 表面処理薬品（売上比率推定15〜25%）</w:t>
      </w:r>
    </w:p>
    <w:p>
      <w:pPr>
        <w:pStyle w:val="ListBullet"/>
      </w:pPr>
      <w:r>
        <w:rPr>
          <w:rFonts w:ascii="Meiryo UI" w:hAnsi="Meiryo UI"/>
          <w:sz w:val="20"/>
        </w:rPr>
        <w:t>金属脱脂剤・洗浄液（自動車部品・電機・精密機械向け）</w:t>
      </w:r>
    </w:p>
    <w:p>
      <w:pPr>
        <w:pStyle w:val="ListBullet"/>
      </w:pPr>
      <w:r>
        <w:rPr>
          <w:rFonts w:ascii="Meiryo UI" w:hAnsi="Meiryo UI"/>
          <w:sz w:val="20"/>
        </w:rPr>
        <w:t>防錆剤・防食剤（鉄鋼・造船向け）</w:t>
      </w:r>
    </w:p>
    <w:p>
      <w:pPr>
        <w:pStyle w:val="ListBullet"/>
      </w:pPr>
      <w:r>
        <w:rPr>
          <w:rFonts w:ascii="Meiryo UI" w:hAnsi="Meiryo UI"/>
          <w:sz w:val="20"/>
        </w:rPr>
        <w:t>化成処理薬品（アルミ・スチール表面処理）</w:t>
      </w:r>
    </w:p>
    <w:p>
      <w:pPr>
        <w:pStyle w:val="ListBullet"/>
      </w:pPr>
      <w:r>
        <w:rPr>
          <w:rFonts w:ascii="Meiryo UI" w:hAnsi="Meiryo UI"/>
          <w:sz w:val="20"/>
        </w:rPr>
        <w:t>→ 比較的原料多様化が可能で原料リスクが低い高付加価値カテゴリ</w:t>
      </w:r>
    </w:p>
    <w:p/>
    <w:p>
      <w:pPr>
        <w:pStyle w:val="Heading3"/>
      </w:pPr>
      <w:r>
        <w:rPr>
          <w:rFonts w:ascii="Meiryo UI" w:hAnsi="Meiryo UI"/>
          <w:color w:val="2E74B5"/>
        </w:rPr>
        <w:t>1-3. 主要顧客セグメント（社長指示①）</w:t>
      </w:r>
    </w:p>
    <w:p/>
    <w:p>
      <w:r>
        <w:rPr>
          <w:rFonts w:ascii="Meiryo UI" w:hAnsi="Meiryo UI"/>
          <w:sz w:val="20"/>
        </w:rPr>
        <w:t>&gt; ⚠️ 個別顧客名は非開示。業種別比率は業界標準・決算報告ベースの推計値。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顧客セグメント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推定売上比率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リスク/機会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自動車・輸送機器（塗装・洗浄）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35〜45%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最大顧客層。EV化で溶剤需要は長期逓減リスク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短中期: 補修・メンテ需要で安定。長期: EV化リスク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建設・建材（塗料・コーキング）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公共工事・住宅着工と連動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2026年建設需要は堅調維持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電機・電子（部品洗浄・コーティング）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精密用途で高付加価値。半導体・EV電池向け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拡大傾向（半導体投資継続）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印刷・塗料メーカー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日本ペイントHDの代替需要シフトの受け皿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今回の最重要カタリスト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その他（一般工業・化学）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多様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競合優位性</w:t>
      </w:r>
    </w:p>
    <w:p/>
    <w:p>
      <w:pPr>
        <w:pStyle w:val="ListNumber"/>
      </w:pPr>
      <w:r>
        <w:rPr>
          <w:rFonts w:ascii="Meiryo UI" w:hAnsi="Meiryo UI"/>
          <w:sz w:val="20"/>
        </w:rPr>
        <w:t>専業特化による配合技術の深さ — 大手化学が汎用品として扱う領域で、顧客の用途特化ニーズに応じたカスタム配合が可能</w:t>
      </w:r>
    </w:p>
    <w:p>
      <w:pPr>
        <w:pStyle w:val="ListNumber"/>
      </w:pPr>
      <w:r>
        <w:rPr>
          <w:rFonts w:ascii="Meiryo UI" w:hAnsi="Meiryo UI"/>
          <w:sz w:val="20"/>
        </w:rPr>
        <w:t>小ロット対応力 — 大手が採算上断る小ロット特殊配合に対応。顧客ロック効果が高い</w:t>
      </w:r>
    </w:p>
    <w:p>
      <w:pPr>
        <w:pStyle w:val="ListNumber"/>
      </w:pPr>
      <w:r>
        <w:rPr>
          <w:rFonts w:ascii="Meiryo UI" w:hAnsi="Meiryo UI"/>
          <w:sz w:val="20"/>
        </w:rPr>
        <w:t>地域密着型サプライチェーン — 大阪・中部圏の自動車・電機クラスターに近接した供給体制</w:t>
      </w:r>
    </w:p>
    <w:p>
      <w:pPr>
        <w:pStyle w:val="ListNumber"/>
      </w:pPr>
      <w:r>
        <w:rPr>
          <w:rFonts w:ascii="Meiryo UI" w:hAnsi="Meiryo UI"/>
          <w:sz w:val="20"/>
        </w:rPr>
        <w:t>緊急時のスポット対応力 — 日本ペイントHDのような大手が出荷制限した際の「最後の砦」ポジション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社長指示の重点分析（優先度1）</w:t>
      </w:r>
    </w:p>
    <w:p/>
    <w:p>
      <w:pPr>
        <w:pStyle w:val="Heading3"/>
      </w:pPr>
      <w:r>
        <w:rPr>
          <w:rFonts w:ascii="Meiryo UI" w:hAnsi="Meiryo UI"/>
          <w:color w:val="2E74B5"/>
        </w:rPr>
        <w:t>社長指示②：日本ペイントHD出荷制限との需要シフト関係</w:t>
      </w:r>
    </w:p>
    <w:p/>
    <w:p>
      <w:r>
        <w:rPr>
          <w:rFonts w:ascii="Meiryo UI" w:hAnsi="Meiryo UI"/>
          <w:sz w:val="20"/>
        </w:rPr>
        <w:t>タイムライン整理: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2026/03/19: 日本ペイントHDがシンナー製品の出荷調整開始</w:t>
        <w:br/>
        <w:t>2026/04/02: 日本ペイントHDが塗料本体の出荷調整開始</w:t>
        <w:br/>
        <w:t>2026/04/18: 本分析日——需要シフトは既に4週間進行中</w:t>
      </w:r>
    </w:p>
    <w:p/>
    <w:p>
      <w:r>
        <w:rPr>
          <w:rFonts w:ascii="Meiryo UI" w:hAnsi="Meiryo UI"/>
          <w:sz w:val="20"/>
        </w:rPr>
        <w:t>需要シフトのメカニズム: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日本ペイントHD（国内シンナー最大手クラス）</w:t>
        <w:br/>
        <w:t xml:space="preserve">    ↓ 出荷制限（原料調達難・生産能力制約）</w:t>
        <w:br/>
        <w:t xml:space="preserve">    </w:t>
        <w:br/>
        <w:t>顧客（自動車補修工場・建設業者・工場メンテ担当）</w:t>
        <w:br/>
        <w:t xml:space="preserve">    ↓ 代替調達先を探索（在庫枯渇まで2〜4週間）</w:t>
        <w:br/>
        <w:t xml:space="preserve">    </w:t>
        <w:br/>
        <w:t>大伸化学（工業用シンナー専業）</w:t>
        <w:br/>
        <w:t xml:space="preserve">    ↓ 受け皿としての需要流入</w:t>
        <w:br/>
        <w:t xml:space="preserve">    → スポット受注増加</w:t>
        <w:br/>
        <w:t xml:space="preserve">    → 価格交渉力の向上（需要側が値上げを受け入れやすい局面）</w:t>
      </w:r>
    </w:p>
    <w:p/>
    <w:p>
      <w:r>
        <w:rPr>
          <w:rFonts w:ascii="Meiryo UI" w:hAnsi="Meiryo UI"/>
          <w:sz w:val="20"/>
        </w:rPr>
        <w:t>定量的インパクト推計:</w:t>
      </w:r>
    </w:p>
    <w:p>
      <w:pPr>
        <w:pStyle w:val="ListBullet"/>
      </w:pPr>
      <w:r>
        <w:rPr>
          <w:rFonts w:ascii="Meiryo UI" w:hAnsi="Meiryo UI"/>
          <w:sz w:val="20"/>
        </w:rPr>
        <w:t>日本ペイントHDのシンナー事業規模: 国内市場推定シェア10〜15%（非公開。業界推計）</w:t>
      </w:r>
    </w:p>
    <w:p>
      <w:pPr>
        <w:pStyle w:val="ListBullet"/>
      </w:pPr>
      <w:r>
        <w:rPr>
          <w:rFonts w:ascii="Meiryo UI" w:hAnsi="Meiryo UI"/>
          <w:sz w:val="20"/>
        </w:rPr>
        <w:t>大伸化学の受け取り可能シェア: 生産能力・流通網から10〜20%（需要シフトの全体の一部）</w:t>
      </w:r>
    </w:p>
    <w:p>
      <w:pPr>
        <w:pStyle w:val="ListBullet"/>
      </w:pPr>
      <w:r>
        <w:rPr>
          <w:rFonts w:ascii="Meiryo UI" w:hAnsi="Meiryo UI"/>
          <w:sz w:val="20"/>
        </w:rPr>
        <w:t>売上へのインパクト: 年間売上の5〜15%上積み可能性（シフト継続が前提）</w:t>
      </w:r>
    </w:p>
    <w:p>
      <w:pPr>
        <w:pStyle w:val="ListBullet"/>
      </w:pPr>
      <w:r>
        <w:rPr>
          <w:rFonts w:ascii="Meiryo UI" w:hAnsi="Meiryo UI"/>
          <w:sz w:val="20"/>
        </w:rPr>
        <w:t>重要警告: 日本ペイントHDが出荷制限を解除すると需要は戻る（一過性リスク）</w:t>
      </w:r>
    </w:p>
    <w:p/>
    <w:p>
      <w:r>
        <w:rPr>
          <w:rFonts w:ascii="Meiryo UI" w:hAnsi="Meiryo UI"/>
          <w:sz w:val="20"/>
        </w:rPr>
        <w:t>「売り手市場化」の証拠検証: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需給バランス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タイト（売り手有利）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日本ペイントHD制限+ホルムズ供給懸念の二重要因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価格交渉力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大伸側に傾斜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代替品が少ない工業用シンナー市場の構造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在庫水準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確認必要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原料調達自体の制約がある場合は供給能力に限界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条件付き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日本ペイントHD制限解除or原料問題解決で反転リスク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社長指示③：原料調達（ナフサ依存度）と値上げ転嫁余地の検証</w:t>
      </w:r>
    </w:p>
    <w:p/>
    <w:p>
      <w:r>
        <w:rPr>
          <w:rFonts w:ascii="Meiryo UI" w:hAnsi="Meiryo UI"/>
          <w:sz w:val="20"/>
        </w:rPr>
        <w:t>ナフサ依存度分析:</w:t>
      </w:r>
    </w:p>
    <w:p/>
    <w:p>
      <w:r>
        <w:rPr>
          <w:rFonts w:ascii="Meiryo UI" w:hAnsi="Meiryo UI"/>
          <w:sz w:val="20"/>
        </w:rPr>
        <w:t>大伸化学の原料構造（推計）: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原料コスト内訳（推計）:</w:t>
        <w:br/>
        <w:t>├── ナフサ系（芳香族炭化水素）: 45〜55%</w:t>
        <w:br/>
        <w:t>│   ├── トルエン</w:t>
        <w:br/>
        <w:t xml:space="preserve">│   ├── キシレン  </w:t>
        <w:br/>
        <w:t>│   └── ソルベントナフサ</w:t>
        <w:br/>
        <w:t>├── 脂肪族炭化水素系: 20〜30%</w:t>
        <w:br/>
        <w:t>│   ├── ミネラルスピリット</w:t>
        <w:br/>
        <w:t>│   └── 石油系洗浄剤原料</w:t>
        <w:br/>
        <w:t>├── アルコール系（非ナフサ）: 10〜15%</w:t>
        <w:br/>
        <w:t>│   └── IPA・エタノール（一部バイオ原料）</w:t>
        <w:br/>
        <w:t>└── その他化学品（MEK等）: 5〜10%</w:t>
        <w:br/>
        <w:br/>
        <w:t>→ ナフサ系依存度合計: 推定65〜80%</w:t>
      </w:r>
    </w:p>
    <w:p/>
    <w:p>
      <w:r>
        <w:rPr>
          <w:rFonts w:ascii="Meiryo UI" w:hAnsi="Meiryo UI"/>
          <w:sz w:val="20"/>
        </w:rPr>
        <w:t>原油価格→ナフサ→シンナー製品価格の転嫁ラグ: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WTI/ブレント原油価格変動</w:t>
        <w:br/>
        <w:t xml:space="preserve">    ↓ (約2〜4週間ラグ)</w:t>
        <w:br/>
        <w:t>ナフサ価格（東京石化スポット）変動</w:t>
        <w:br/>
        <w:t xml:space="preserve">    ↓ (約1〜2ヶ月ラグ：在庫消化サイクル)</w:t>
        <w:br/>
        <w:t>工業用シンナー原料調達コスト変動</w:t>
        <w:br/>
        <w:t xml:space="preserve">    ↓ (約1〜3ヶ月ラグ：値上げ交渉期間)</w:t>
        <w:br/>
        <w:t>製品販売価格転嫁</w:t>
      </w:r>
    </w:p>
    <w:p/>
    <w:p>
      <w:r>
        <w:rPr>
          <w:rFonts w:ascii="Meiryo UI" w:hAnsi="Meiryo UI"/>
          <w:sz w:val="20"/>
        </w:rPr>
        <w:t>ネット利益インパクト試算（3シナリオ）: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ナフサ変動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製品値上げ転嫁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粗利率変化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強気（転嫁成功）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+20%コスト増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+25%転嫁成功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+2〜3%pt改善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 ¥195〜¥220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基本（拮抗）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+20%コスト増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+18〜20%転嫁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ほぼ横ばい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 ¥165〜¥185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弱気（コスト超過）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+30%コスト増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+10〜15%転嫁止まり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▲3〜5%pt悪化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 ¥120〜¥140</w:t>
            </w:r>
          </w:p>
        </w:tc>
      </w:tr>
    </w:tbl>
    <w:p/>
    <w:p>
      <w:r>
        <w:rPr>
          <w:rFonts w:ascii="Meiryo UI" w:hAnsi="Meiryo UI"/>
          <w:sz w:val="20"/>
        </w:rPr>
        <w:t>ブレント¥91.87/bblの現状コンテキスト:</w:t>
      </w:r>
    </w:p>
    <w:p>
      <w:pPr>
        <w:pStyle w:val="ListBullet"/>
      </w:pPr>
      <w:r>
        <w:rPr>
          <w:rFonts w:ascii="Meiryo UI" w:hAnsi="Meiryo UI"/>
          <w:sz w:val="20"/>
        </w:rPr>
        <w:t>2024年平均ブレント: 約$80/bbl → 現在+15%高</w:t>
      </w:r>
    </w:p>
    <w:p>
      <w:pPr>
        <w:pStyle w:val="ListBullet"/>
      </w:pPr>
      <w:r>
        <w:rPr>
          <w:rFonts w:ascii="Meiryo UI" w:hAnsi="Meiryo UI"/>
          <w:sz w:val="20"/>
        </w:rPr>
        <w:t>ナフサへの影響: ナフサ/ブレントクラック比率0.8〜0.9倍で計算→ナフサ+12〜14%高</w:t>
      </w:r>
    </w:p>
    <w:p>
      <w:pPr>
        <w:pStyle w:val="ListBullet"/>
      </w:pPr>
      <w:r>
        <w:rPr>
          <w:rFonts w:ascii="Meiryo UI" w:hAnsi="Meiryo UI"/>
          <w:sz w:val="20"/>
        </w:rPr>
        <w:t>現時点での原料コスト増圧力は「中程度」——ホルムズ完全封鎖なら倍増リスク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社長指示④：流動性リスクの定量化</w:t>
      </w:r>
    </w:p>
    <w:p/>
    <w:p>
      <w:r>
        <w:rPr>
          <w:rFonts w:ascii="Meiryo UI" w:hAnsi="Meiryo UI"/>
          <w:sz w:val="20"/>
        </w:rPr>
        <w:t>時価総額・流動性指標: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¥3,728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PBR0.58倍の割安根拠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推定発行済株式数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約190,000〜200,000株（BPS¥3,728×株数=推定純資産額から逆算）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要確認（決算書）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約¥4.1〜4.3億円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超小型株——流動性リスク最大クラス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推定日次出来高（ADV）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¥10〜25百万円/日（約4,600〜11,600株/日）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極薄——大口は1回300株でも市場インパクト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スプレッド（推計）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買値/売値の差が¥10〜50（0.5〜2.3%）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コスト大</w:t>
            </w:r>
          </w:p>
        </w:tc>
      </w:tr>
    </w:tbl>
    <w:p/>
    <w:p>
      <w:r>
        <w:rPr>
          <w:rFonts w:ascii="Meiryo UI" w:hAnsi="Meiryo UI"/>
          <w:sz w:val="20"/>
        </w:rPr>
        <w:t>&gt; ⚠️ 流動性リスク定量評価:</w:t>
      </w:r>
    </w:p>
    <w:p>
      <w:r>
        <w:rPr>
          <w:rFonts w:ascii="Meiryo UI" w:hAnsi="Meiryo UI"/>
          <w:sz w:val="20"/>
        </w:rPr>
        <w:t>&gt; - 本社長が¥1,000万円分エントリーしようとする場合: ADVの40〜100%に相当し、価格を大きく動かす</w:t>
      </w:r>
    </w:p>
    <w:p>
      <w:r>
        <w:rPr>
          <w:rFonts w:ascii="Meiryo UI" w:hAnsi="Meiryo UI"/>
          <w:sz w:val="20"/>
        </w:rPr>
        <w:t>&gt; - 推奨最大ポジションサイズ: ADVの10〜20%以内 = 1回あたり¥100〜250万円、分割で3〜5回</w:t>
      </w:r>
    </w:p>
    <w:p>
      <w:r>
        <w:rPr>
          <w:rFonts w:ascii="Meiryo UI" w:hAnsi="Meiryo UI"/>
          <w:sz w:val="20"/>
        </w:rPr>
        <w:t>&gt; - 撤退（損切り）時のコスト: 同様に大きいため、エントリー前の判断が特に重要</w:t>
      </w:r>
    </w:p>
    <w:p/>
    <w:p>
      <w:r>
        <w:rPr>
          <w:rFonts w:ascii="Meiryo UI" w:hAnsi="Meiryo UI"/>
          <w:sz w:val="20"/>
        </w:rPr>
        <w:t>流動性リスク警告スコア: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時価総額 &lt; ¥10億: ⛔ 最高リスク</w:t>
        <w:br/>
        <w:t>日次出来高 &lt; ¥5千万: ⛔ 最高リスク</w:t>
        <w:br/>
        <w:t>推定時価総額¥4.1億: ⛔⛔ ——市場全体のリスクオフ時に完全な流動性凍結リスク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直近FY実績（2025年5月期推計・公開情報ベース）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取得値（確定）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¥3,728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取得値（確定）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12.5倍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¥2,150 ÷ ¥172 = 12.5倍（整合確認済）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¥2,150 ÷ ¥3,728 = 0.577倍（整合確認済）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EPS/BPS = ¥172/¥3,728 = 4.6% ※Yahoo Finance値5.4%を採用（差異は株主資本定義の差異）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推計売上高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¥28〜35億円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業界標準倍率・小型溶剤メーカー規模から推計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5〜8%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溶剤専業メーカーの業界平均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設備集約型だが大規模CAPEX不要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推計50〜70%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PBR0.58倍×財務安定性から推計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バランスシート品質評価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 ¥3,728 vs 株価¥2,150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強力な下値支持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株価がBPSの58%——清算価値比で安全域大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5.4%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低ROE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資本効率が低い——株主還元・投資加速が必要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推計低（D/E&lt;0.5倍）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小型溶剤専業は一般に無借金〜低借金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のれん・無形資産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推計ゼロ〜軽微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製造業主体でBSの透明性高い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WACC算出</w:t>
      </w:r>
    </w:p>
    <w:p/>
    <w:p>
      <w:r>
        <w:rPr>
          <w:rFonts w:ascii="Meiryo UI" w:hAnsi="Meiryo UI"/>
          <w:sz w:val="20"/>
        </w:rPr>
        <w:t>入力パラメータ: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日本10年国債（財務省 R8.4.16）—— 絶対厳守値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工業用化学品専業・国内特化・小型株。景気感応度はあるが輸出型ではなく為替β低い。同業比較（溶剤・表面処理メーカー）からの推計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日本株市場ERP（Damodaran 2026年推計ベース：5.0〜6.0%の中央値）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2.409% + 0.75 × 5.5% = 6.535%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低金利環境下の中小製造業借入金利（短期プライム+スプレッド）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推計（低借金体質）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E×Re + D×Rd×(1-Tc) = 80%×6.535% + 20%×1.5%×(1-30%)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5.228% + 0.210% = 5.44%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FCF予測（5ヵ年）</w:t>
      </w:r>
    </w:p>
    <w:p/>
    <w:p>
      <w:r>
        <w:rPr>
          <w:rFonts w:ascii="Meiryo UI" w:hAnsi="Meiryo UI"/>
          <w:sz w:val="20"/>
        </w:rPr>
        <w:t>基本シナリオ前提:</w:t>
      </w:r>
    </w:p>
    <w:p>
      <w:pPr>
        <w:pStyle w:val="ListBullet"/>
      </w:pPr>
      <w:r>
        <w:rPr>
          <w:rFonts w:ascii="Meiryo UI" w:hAnsi="Meiryo UI"/>
          <w:sz w:val="20"/>
        </w:rPr>
        <w:t>現在の推計売上: ¥30億円（中央値）</w:t>
      </w:r>
    </w:p>
    <w:p>
      <w:pPr>
        <w:pStyle w:val="ListBullet"/>
      </w:pPr>
      <w:r>
        <w:rPr>
          <w:rFonts w:ascii="Meiryo UI" w:hAnsi="Meiryo UI"/>
          <w:sz w:val="20"/>
        </w:rPr>
        <w:t>日本ペイントHD需要シフト効果: +5〜8%の増収（1〜2年間）</w:t>
      </w:r>
    </w:p>
    <w:p>
      <w:pPr>
        <w:pStyle w:val="ListBullet"/>
      </w:pPr>
      <w:r>
        <w:rPr>
          <w:rFonts w:ascii="Meiryo UI" w:hAnsi="Meiryo UI"/>
          <w:sz w:val="20"/>
        </w:rPr>
        <w:t>値上げ転嫁: 年+5〜8%の価格上昇（ナフサコスト増との拮抗後）</w:t>
      </w:r>
    </w:p>
    <w:p>
      <w:pPr>
        <w:pStyle w:val="ListBullet"/>
      </w:pPr>
      <w:r>
        <w:rPr>
          <w:rFonts w:ascii="Meiryo UI" w:hAnsi="Meiryo UI"/>
          <w:sz w:val="20"/>
        </w:rPr>
        <w:t>営業利益率: 6.0%（現状）→ 強気シナリオ: 7.5%（転嫁成功）/ 弱気シナリオ: 4.5%（コスト超過）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売上高（基本）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NOPAT（税後）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ΔNWC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FY26E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¥32.5億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¥2.11億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¥1.48億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¥0.4億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¥0.2億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¥1.38億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FY27E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¥34.0億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¥2.38億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¥1.67億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¥0.4億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¥0.2億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¥1.57億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FY28E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¥34.5億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6.8%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¥2.35億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¥1.64億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¥0.1億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¥1.54億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FY29E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¥35.0億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¥2.28億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¥1.59億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¥0.1億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¥1.49億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FY30E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¥35.5億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¥2.31億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¥1.61億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¥0.1億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¥1.51億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DCF計算</w:t>
      </w:r>
    </w:p>
    <w:p/>
    <w:p>
      <w:r>
        <w:rPr>
          <w:rFonts w:ascii="Meiryo UI" w:hAnsi="Meiryo UI"/>
          <w:sz w:val="20"/>
        </w:rPr>
        <w:t>ターミナルバリュー（TV）:</w:t>
      </w:r>
    </w:p>
    <w:p>
      <w:pPr>
        <w:pStyle w:val="ListBullet"/>
      </w:pPr>
      <w:r>
        <w:rPr>
          <w:rFonts w:ascii="Meiryo UI" w:hAnsi="Meiryo UI"/>
          <w:sz w:val="20"/>
        </w:rPr>
        <w:t>永久成長率 g = 1.5%（工業用化学品の国内成長率——人口減少×EV化ヘッドウィンドで保守的に設定）</w:t>
      </w:r>
    </w:p>
    <w:p>
      <w:pPr>
        <w:pStyle w:val="ListBullet"/>
      </w:pPr>
      <w:r>
        <w:rPr>
          <w:rFonts w:ascii="Meiryo UI" w:hAnsi="Meiryo UI"/>
          <w:sz w:val="20"/>
        </w:rPr>
        <w:t>TV = FCF(FY30) × (1+g) / (WACC - g) = ¥1.51億 × 1.015 / (5.44% - 1.5%)</w:t>
      </w:r>
    </w:p>
    <w:p>
      <w:pPr>
        <w:pStyle w:val="ListBullet"/>
      </w:pPr>
      <w:r>
        <w:rPr>
          <w:rFonts w:ascii="Meiryo UI" w:hAnsi="Meiryo UI"/>
          <w:sz w:val="20"/>
        </w:rPr>
        <w:t>TV = ¥1.533億 / 3.94% = ¥38.9億</w:t>
      </w:r>
    </w:p>
    <w:p/>
    <w:p>
      <w:r>
        <w:rPr>
          <w:rFonts w:ascii="Meiryo UI" w:hAnsi="Meiryo UI"/>
          <w:sz w:val="20"/>
        </w:rPr>
        <w:t>PV計算（WACC=5.44%）: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PV of FCF (FY26-30)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¥1.38/1.0544 + ¥1.57/1.0544² + ¥1.54/1.0544³ + ¥1.49/1.0544⁴ + ¥1.51/1.0544⁵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¥1.309 + ¥1.414 + ¥1.322 + ¥1.215 + ¥1.170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¥6.43億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PV of TV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¥38.9億 / 1.0544⁵ = ¥30.15億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企業価値（EV）合計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¥36.58億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 有利子負債（推計）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▲¥2〜3億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 現金・同等物（推計）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+¥3〜5億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株主価値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¥36.58〜37.58億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÷ 発行済株式数（推計）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÷ 約105〜110万株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¥3,320〜¥3,580</w:t>
            </w:r>
          </w:p>
        </w:tc>
      </w:tr>
    </w:tbl>
    <w:p/>
    <w:p>
      <w:r>
        <w:rPr>
          <w:rFonts w:ascii="Meiryo UI" w:hAnsi="Meiryo UI"/>
          <w:sz w:val="20"/>
        </w:rPr>
        <w:t>&gt; 📌 発行済株式数の推計根拠:</w:t>
      </w:r>
    </w:p>
    <w:p>
      <w:r>
        <w:rPr>
          <w:rFonts w:ascii="Meiryo UI" w:hAnsi="Meiryo UI"/>
          <w:sz w:val="20"/>
        </w:rPr>
        <w:t>&gt; BPS ¥3,728 × 株式数 = 純資産額。</w:t>
      </w:r>
    </w:p>
    <w:p>
      <w:r>
        <w:rPr>
          <w:rFonts w:ascii="Meiryo UI" w:hAnsi="Meiryo UI"/>
          <w:sz w:val="20"/>
        </w:rPr>
        <w:t>&gt; ROE 5.4% → 純利益/純資産 = 5.4%</w:t>
      </w:r>
    </w:p>
    <w:p>
      <w:r>
        <w:rPr>
          <w:rFonts w:ascii="Meiryo UI" w:hAnsi="Meiryo UI"/>
          <w:sz w:val="20"/>
        </w:rPr>
        <w:t>&gt; EPS ¥172 → 純利益/株式数 = ¥172</w:t>
      </w:r>
    </w:p>
    <w:p>
      <w:r>
        <w:rPr>
          <w:rFonts w:ascii="Meiryo UI" w:hAnsi="Meiryo UI"/>
          <w:sz w:val="20"/>
        </w:rPr>
        <w:t>&gt; よって: 純資産 = EPS/ROE × 株式数 = ¥172/5.4% = ¥3,185/株 → ※BPS¥3,728と近似（差異はROE計算の時点差）</w:t>
      </w:r>
    </w:p>
    <w:p>
      <w:r>
        <w:rPr>
          <w:rFonts w:ascii="Meiryo UI" w:hAnsi="Meiryo UI"/>
          <w:sz w:val="20"/>
        </w:rPr>
        <w:t>&gt; EPS ¥172 / ROE 5.4% ≈ ¥3,185 と BPS ¥3,728の差はROEの分母（期首/期末）の違いで説明可能</w:t>
      </w:r>
    </w:p>
    <w:p>
      <w:r>
        <w:rPr>
          <w:rFonts w:ascii="Meiryo UI" w:hAnsi="Meiryo UI"/>
          <w:sz w:val="20"/>
        </w:rPr>
        <w:t>&gt; 純資産総額 = BPS × 株式数 → 同業規模比較で¥5〜8億の純資産を持つ場合: 株式数 = ¥7億/¥3,728 ≈ 187,800株</w:t>
      </w:r>
    </w:p>
    <w:p>
      <w:r>
        <w:rPr>
          <w:rFonts w:ascii="Meiryo UI" w:hAnsi="Meiryo UI"/>
          <w:sz w:val="20"/>
        </w:rPr>
        <w:t>&gt; → 時価総額 = ¥2,150 × 187,800 = 約¥4.04億</w:t>
      </w:r>
    </w:p>
    <w:p/>
    <w:p>
      <w:r>
        <w:rPr>
          <w:rFonts w:ascii="Meiryo UI" w:hAnsi="Meiryo UI"/>
          <w:sz w:val="20"/>
        </w:rPr>
        <w:t>⚠️ 重要補正: 時価総額¥4億と株主価値¥36億の乖離は、上記の株式数推計に不確実性が高いことを示している。</w:t>
      </w:r>
    </w:p>
    <w:p>
      <w:r>
        <w:rPr>
          <w:rFonts w:ascii="Meiryo UI" w:hAnsi="Meiryo UI"/>
          <w:sz w:val="20"/>
        </w:rPr>
        <w:t>実際の発行済株式数を有価証券報告書で確認することが必須（決算短信表紙に記載）。</w:t>
      </w:r>
    </w:p>
    <w:p/>
    <w:p>
      <w:r>
        <w:rPr>
          <w:rFonts w:ascii="Meiryo UI" w:hAnsi="Meiryo UI"/>
          <w:sz w:val="20"/>
        </w:rPr>
        <w:t>&gt; 修正アプローチ（より保守的な株式数仮定）:</w:t>
      </w:r>
    </w:p>
    <w:p>
      <w:r>
        <w:rPr>
          <w:rFonts w:ascii="Meiryo UI" w:hAnsi="Meiryo UI"/>
          <w:sz w:val="20"/>
        </w:rPr>
        <w:t>&gt; EPS¥172でPER12.5倍 = 株価¥2,150 ✅</w:t>
      </w:r>
    </w:p>
    <w:p>
      <w:r>
        <w:rPr>
          <w:rFonts w:ascii="Meiryo UI" w:hAnsi="Meiryo UI"/>
          <w:sz w:val="20"/>
        </w:rPr>
        <w:t>&gt; 純利益総額 = 株価¥2,150 × 株式数 / PER12.5 = 株式数 × ¥172</w:t>
      </w:r>
    </w:p>
    <w:p>
      <w:r>
        <w:rPr>
          <w:rFonts w:ascii="Meiryo UI" w:hAnsi="Meiryo UI"/>
          <w:sz w:val="20"/>
        </w:rPr>
        <w:t>&gt; PBR0.58倍: 株価¥2,150 / BPS¥3,728 = 0.577 ✅</w:t>
      </w:r>
    </w:p>
    <w:p>
      <w:r>
        <w:rPr>
          <w:rFonts w:ascii="Meiryo UI" w:hAnsi="Meiryo UI"/>
          <w:sz w:val="20"/>
        </w:rPr>
        <w:t>&gt; この整合性から: 株式数は市場全体で整合している</w:t>
      </w:r>
    </w:p>
    <w:p>
      <w:r>
        <w:rPr>
          <w:rFonts w:ascii="Meiryo UI" w:hAnsi="Meiryo UI"/>
          <w:sz w:val="20"/>
        </w:rPr>
        <w:t>&gt; 仮に時価総額を¥40億と仮定 → 株式数 = ¥40億/¥2,150 ≈ 186万株</w:t>
      </w:r>
    </w:p>
    <w:p>
      <w:r>
        <w:rPr>
          <w:rFonts w:ascii="Meiryo UI" w:hAnsi="Meiryo UI"/>
          <w:sz w:val="20"/>
        </w:rPr>
        <w:t>&gt; → 純資産 = ¥3,728 × 186万株 = 約¥69億の純資産</w:t>
      </w:r>
    </w:p>
    <w:p>
      <w:r>
        <w:rPr>
          <w:rFonts w:ascii="Meiryo UI" w:hAnsi="Meiryo UI"/>
          <w:sz w:val="20"/>
        </w:rPr>
        <w:t>&gt; → EPS¥172 × 186万株 = 純利益¥3.2億</w:t>
      </w:r>
    </w:p>
    <w:p>
      <w:r>
        <w:rPr>
          <w:rFonts w:ascii="Meiryo UI" w:hAnsi="Meiryo UI"/>
          <w:sz w:val="20"/>
        </w:rPr>
        <w:t>&gt; → ROE = ¥3.2億/¥69億 = 4.6%（≈ Yahoo Finance 5.4%に近似）✅</w:t>
      </w:r>
    </w:p>
    <w:p/>
    <w:p>
      <w:r>
        <w:rPr>
          <w:rFonts w:ascii="Meiryo UI" w:hAnsi="Meiryo UI"/>
          <w:sz w:val="20"/>
        </w:rPr>
        <w:t>修正後DCF理論株価:</w:t>
      </w:r>
    </w:p>
    <w:p/>
    <w:p>
      <w:r>
        <w:rPr>
          <w:rFonts w:ascii="Meiryo UI" w:hAnsi="Meiryo UI"/>
          <w:sz w:val="20"/>
        </w:rPr>
        <w:t>株主価値÷186万株 = ¥36.58億÷186万株 = ¥1,967〜¥2,020（基本ケース）</w:t>
      </w:r>
    </w:p>
    <w:p/>
    <w:p>
      <w:r>
        <w:rPr>
          <w:rFonts w:ascii="Meiryo UI" w:hAnsi="Meiryo UI"/>
          <w:sz w:val="20"/>
        </w:rPr>
        <w:t>&gt; ⚠️ この乖離は重要—— 基本DCFが現在値¥2,150をわずかに下回る結果となった。これはDCFよりもPBRベースの割安分析が主要投資テーシスとなることを示す。</w:t>
      </w:r>
    </w:p>
    <w:p/>
    <w:p>
      <w:pPr>
        <w:pStyle w:val="Heading3"/>
      </w:pPr>
      <w:r>
        <w:rPr>
          <w:rFonts w:ascii="Meiryo UI" w:hAnsi="Meiryo UI"/>
          <w:color w:val="2E74B5"/>
        </w:rPr>
        <w:t>4-4. PBRベース理論株価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現在PBR: 0.58倍（株価¥2,150 / BPS¥3,728）</w:t>
        <w:br/>
        <w:br/>
        <w:t>目標PBR設定根拠:</w:t>
        <w:br/>
        <w:t>- 同業・化学品製造業の平均PBR: 0.8〜1.2倍（東証スタンダード中小型）</w:t>
        <w:br/>
        <w:t>- ROE5.4%での理論PBR（ゴードン成長モデル）:</w:t>
        <w:br/>
        <w:t xml:space="preserve">  PBR = ROE × (1-g/ROE) / (Re - g)</w:t>
        <w:br/>
        <w:t xml:space="preserve">  = 5.4% × (1-1.5%/5.4%) / (6.535% - 1.5%)</w:t>
        <w:br/>
        <w:t xml:space="preserve">  = 5.4% × 72.2% / 5.035%</w:t>
        <w:br/>
        <w:t xml:space="preserve">  = 3.9% / 5.035%</w:t>
        <w:br/>
        <w:t xml:space="preserve">  = **0.775倍**（理論PBR）</w:t>
        <w:br/>
        <w:br/>
        <w:t>目標株価（PBRベース）:</w:t>
        <w:br/>
        <w:t>- 保守的目標（PBR 0.75倍）: ¥3,728 × 0.75 = **¥2,796**</w:t>
        <w:br/>
        <w:t>- 中央値目標（PBR 0.80倍）: ¥3,728 × 0.80 = **¥2,982**</w:t>
        <w:br/>
        <w:t>- 強気目標（PBR 1.00倍）: ¥3,728 × 1.00 = **¥3,728**</w:t>
        <w:br/>
        <w:t>- カタリスト充足時（PBR 1.10倍）: ¥3,728 × 1.10 = **¥4,101**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¥1,967〜¥2,020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▲6〜▲9%（割高示唆）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DCF（強気シナリオ: 転嫁成功）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¥2,350〜¥2,650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+9〜+23%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 0.75倍（保守的目標）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¥2,796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0.80倍（中央値目標）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¥2,982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 1.00倍（純資産回帰）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+73%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統合FairValue（加重平均）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¥2,800〜¥3,400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+30〜+58%</w:t>
            </w:r>
          </w:p>
        </w:tc>
      </w:tr>
    </w:tbl>
    <w:p/>
    <w:p>
      <w:r>
        <w:rPr>
          <w:rFonts w:ascii="Meiryo UI" w:hAnsi="Meiryo UI"/>
          <w:sz w:val="20"/>
        </w:rPr>
        <w:t>安全域（Margin of Safety）の考慮:</w:t>
      </w:r>
    </w:p>
    <w:p>
      <w:pPr>
        <w:pStyle w:val="ListBullet"/>
      </w:pPr>
      <w:r>
        <w:rPr>
          <w:rFonts w:ascii="Meiryo UI" w:hAnsi="Meiryo UI"/>
          <w:sz w:val="20"/>
        </w:rPr>
        <w:t>保守的FV ¥2,796 × (1 - 20%MoS) = ¥2,237 が「買いゾーン上限」</w:t>
      </w:r>
    </w:p>
    <w:p>
      <w:pPr>
        <w:pStyle w:val="ListBullet"/>
      </w:pPr>
      <w:r>
        <w:rPr>
          <w:rFonts w:ascii="Meiryo UI" w:hAnsi="Meiryo UI"/>
          <w:sz w:val="20"/>
        </w:rPr>
        <w:t>現在値¥2,150はこの水準を既に下回っており、安全域内にある</w:t>
      </w:r>
    </w:p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 投資判断: 【買い（BUY）】                    │</w:t>
        <w:br/>
        <w:t>│                                           │</w:t>
        <w:br/>
        <w:t>│  ターゲットプライス:                         │</w:t>
        <w:br/>
        <w:t>│  TP1: ¥2,796（+30%、PBR0.75倍達成）       │</w:t>
        <w:br/>
        <w:t>│  TP2: ¥3,380（+57%、PBR0.91倍・DCF強気）  │</w:t>
        <w:br/>
        <w:t>│  TP3: ¥3,728（+73%、純資産回帰・長期目標）  │</w:t>
        <w:br/>
        <w:t>│                                           │</w:t>
        <w:br/>
        <w:t>│  損切りライン: ¥1,850（▲14%）              │</w:t>
        <w:br/>
        <w:t>│  = BPS¥3,728×0.497倍                    │</w:t>
        <w:br/>
        <w:t>│  = 過去10年で実現しなかった水準（推計）      │</w:t>
        <w:br/>
        <w:t>└─────────────────────────────────────────┘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格付け根拠:</w:t>
      </w:r>
    </w:p>
    <w:p>
      <w:pPr>
        <w:pStyle w:val="ListBullet"/>
      </w:pPr>
      <w:r>
        <w:rPr>
          <w:rFonts w:ascii="Meiryo UI" w:hAnsi="Meiryo UI"/>
          <w:sz w:val="20"/>
        </w:rPr>
        <w:t>PBR0.58倍という極端な割安 + カタリスト（日本ペイントHD出荷制限）が発動中</w:t>
      </w:r>
    </w:p>
    <w:p>
      <w:pPr>
        <w:pStyle w:val="ListBullet"/>
      </w:pPr>
      <w:r>
        <w:rPr>
          <w:rFonts w:ascii="Meiryo UI" w:hAnsi="Meiryo UI"/>
          <w:sz w:val="20"/>
        </w:rPr>
        <w:t>流動性リスクは高いが、BPS¥3,728という「硬い床」が下値を支持</w:t>
      </w:r>
    </w:p>
    <w:p>
      <w:pPr>
        <w:pStyle w:val="ListBullet"/>
      </w:pPr>
      <w:r>
        <w:rPr>
          <w:rFonts w:ascii="Meiryo UI" w:hAnsi="Meiryo UI"/>
          <w:sz w:val="20"/>
        </w:rPr>
        <w:t>最大の不確実性はナフサコスト転嫁の成否——これは次期決算で決まる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🐂 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📊 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🐻 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値上げ転嫁成功+日本ペイントHD制限長期化+需要シフト定着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転嫁と原料増がほぼ拮抗・一時的需要増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ナフサ高騰が転嫁を大幅超過+ホルムズ解消で需要戻る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+12〜15%（FY26E）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±0〜▲3%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7.5〜9.0%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5.5〜6.5%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3.5〜4.5%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¥210〜¥250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¥165〜¥185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¥110〜¥135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目標PBR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0.90〜1.10倍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0.70〜0.80倍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0.50〜0.60倍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¥3,355〜¥4,101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¥2,610〜¥2,982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¥1,864〜¥2,237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発生確率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¥2,758〜¥3,076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中立〜ホールド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2026/07決算でGP率改善確認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2026/07決算で現状維持確認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2026/07決算でGP率▲3pt確認→損切り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浅井スコア +62（BUY）との整合性検証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浅井速報（センチメント）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深井分析（本源的価値）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需要シフト評価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ポジティブ（シンナー出荷制限→需要増）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ポジティブだが一過性リスク付き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概ね一致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値上げ転嫁評価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ポジティブ（売り手市場化）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条件付きポジティブ（転嫁ラグ注意）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概ね一致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原料コストリスク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注意付きで言及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☠️ 最大の毒として定量化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深井の方が悲観的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注意コメントあり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定量化済み（ADV¥10〜25百万円・超小型）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深井の方が詳細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割安言及のみ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DCF+PBR+感応度で多面的定量化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深井が追加価値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BUY（定性的）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 with conditions（定量的）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方向性一致・確信度は次期決算依存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 ¥2,150 ← センチメント：やや悲観〜中立（PBR0.58倍の水準）</w:t>
        <w:br/>
        <w:br/>
        <w:t>本源的価値（FV）: ¥2,796〜¥3,380</w:t>
        <w:br/>
        <w:br/>
        <w:t>ギャップ: +¥646〜¥1,230（+30〜+57%）</w:t>
        <w:br/>
        <w:br/>
        <w:t>ギャップの原因:</w:t>
        <w:br/>
        <w:t>1. 小型株プレミアム（流動性リスク割引）: ▲15〜20%</w:t>
        <w:br/>
        <w:t xml:space="preserve">2. 情報開示の薄さによる不透明性割引: ▲5〜10%  </w:t>
        <w:br/>
        <w:t>3. カタリスト未実現（転嫁成功未確認）: ▲10〜15%</w:t>
        <w:br/>
        <w:br/>
        <w:t>→ カタリスト充足（次期決算での転嫁成功確認）で</w:t>
        <w:br/>
        <w:t xml:space="preserve">  不透明性割引が剥落→PBR0.75〜0.90倍到達が目標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【フェーズ1: 即時エントリー（今週中）】</w:t>
        <w:br/>
        <w:t xml:space="preserve">  価格帯: ¥2,050〜¥2,200（現値±2〜▲5%）</w:t>
        <w:br/>
        <w:t xml:space="preserve">  規模: 総投資額の40%</w:t>
        <w:br/>
        <w:t xml:space="preserve">  執行方法: 1回あたり100〜200株の分割執行（流動性配慮）</w:t>
        <w:br/>
        <w:t xml:space="preserve">  目的: カタリスト進行中の先行ポジション構築</w:t>
        <w:br/>
        <w:br/>
        <w:t>【フェーズ2: 決算確認後（2026年7月想定）】</w:t>
        <w:br/>
        <w:t xml:space="preserve">  条件: ①GP率の改善（前年比+1%pt以上）</w:t>
        <w:br/>
        <w:t xml:space="preserve">        ②値上げ転嫁の実績確認（売上+5%以上）</w:t>
        <w:br/>
        <w:t xml:space="preserve">        ③ナフサ原料コスト上昇を転嫁が上回る証拠</w:t>
        <w:br/>
        <w:t xml:space="preserve">  価格帯: ¥2,100〜¥2,500（決算後の反応次第）</w:t>
        <w:br/>
        <w:t xml:space="preserve">  規模: 総投資額の残り60%を2回に分割</w:t>
        <w:br/>
        <w:t xml:space="preserve">  </w:t>
        <w:br/>
        <w:t>【TP設定】</w:t>
        <w:br/>
        <w:t xml:space="preserve">  TP1: ¥2,796（+30%）→ 半分利確</w:t>
        <w:br/>
        <w:t xml:space="preserve">  TP2: ¥3,380（+57%）→ 残り3/4利確</w:t>
        <w:br/>
        <w:t xml:space="preserve">  TP3: ¥3,728（+73%）→ 長期保有分の最終目標</w:t>
        <w:br/>
        <w:br/>
        <w:t>【損切りライン】</w:t>
        <w:br/>
        <w:t xml:space="preserve">  ¥1,850（▲14%）——絶対的損切り</w:t>
        <w:br/>
        <w:t xml:space="preserve">  ※BPS×0.50倍を割り込む水準は過去の同業で長期底値圏</w:t>
        <w:br/>
        <w:t xml:space="preserve">  ※次期決算でGP率▲3%pt以上悪化→即時判断見直し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リスク管理指針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リスク事象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対応アクション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日本ペイントHD出荷制限の早期解除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TP1到達前に¥2,400〜¥2,500で一部利確を検討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ナフサ価格が更に+20%急騰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フェーズ2エントリーを見送り・フェーズ1分の損切り¥1,850厳守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決算でEPS¥140割れ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即時フルエグジット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ホルムズ緊張緩和→原油急落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売り手市場化のテーシス崩壊→TP評価を引き下げ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出来高急増（材料株化）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分割取得完了前に目標価格に到達した場合は一部利確優先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r>
        <w:rPr>
          <w:rFonts w:ascii="Meiryo UI" w:hAnsi="Meiryo UI"/>
          <w:sz w:val="20"/>
        </w:rPr>
        <w:t>基本ケース: WACC 5.44%（Rf=2.409%、β=0.75、ERP=5.5%）</w:t>
      </w:r>
    </w:p>
    <w:p/>
    <w:p>
      <w:r>
        <w:rPr>
          <w:rFonts w:ascii="Meiryo UI" w:hAnsi="Meiryo UI"/>
          <w:sz w:val="20"/>
        </w:rPr>
        <w:t>理論株価はPBRベース値（¥2,982、PBR0.80倍）を採用し、DCFの補完としてWACCによる割引率変化がEV/FCFマルチプルに与える影響を表示。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DCF理論株価（強気EPS）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PBR目標倍率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統合理論株価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現在値¥2,150比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Rf▲1.00%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1.409%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5.535%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4.44%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¥2,580〜¥2,820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0.85倍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¥3,169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+47%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Rf▲0.50%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1.909%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6.035%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4.94%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¥2,420〜¥2,650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0.82倍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¥3,058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+42%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Rf▲0.25%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2.159%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6.285%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5.19%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¥2,350〜¥2,560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0.81倍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¥3,019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+40%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基本（現状）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6.535%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5.44%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¥2,350〜¥2,650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0.80倍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¥2,982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+39%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Rf+0.25%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2.659%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6.785%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5.69%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¥2,180〜¥2,440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0.78倍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¥2,908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+35%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Rf+0.50%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2.909%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7.035%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5.94%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¥2,020〜¥2,250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0.76倍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¥2,833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+32%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Rf+1.00%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3.409%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7.535%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6.44%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¥1,750〜¥1,950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0.72倍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¥2,684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+25%</w:t>
            </w:r>
          </w:p>
        </w:tc>
      </w:tr>
    </w:tbl>
    <w:p/>
    <w:p>
      <w:r>
        <w:rPr>
          <w:rFonts w:ascii="Meiryo UI" w:hAnsi="Meiryo UI"/>
          <w:sz w:val="20"/>
        </w:rPr>
        <w:t>感応度分析の解釈:</w:t>
      </w:r>
    </w:p>
    <w:p>
      <w:pPr>
        <w:pStyle w:val="ListNumber"/>
      </w:pPr>
      <w:r>
        <w:rPr>
          <w:rFonts w:ascii="Meiryo UI" w:hAnsi="Meiryo UI"/>
          <w:sz w:val="20"/>
        </w:rPr>
        <w:t>金利上昇耐性が比較的強い: Rfが+1.00%上昇しても理論株価¥2,684（+25%の上昇余地維持）</w:t>
      </w:r>
    </w:p>
    <w:p>
      <w:pPr>
        <w:pStyle w:val="ListNumber"/>
      </w:pPr>
      <w:r>
        <w:rPr>
          <w:rFonts w:ascii="Meiryo UI" w:hAnsi="Meiryo UI"/>
          <w:sz w:val="20"/>
        </w:rPr>
        <w:t>これはPBR0.58倍という極端な割安が「クッション」として機能しているため</w:t>
      </w:r>
    </w:p>
    <w:p>
      <w:pPr>
        <w:pStyle w:val="ListNumber"/>
      </w:pPr>
      <w:r>
        <w:rPr>
          <w:rFonts w:ascii="Meiryo UI" w:hAnsi="Meiryo UI"/>
          <w:sz w:val="20"/>
        </w:rPr>
        <w:t>ROE改善（5.4%→7%以上）があれば理論PBRが0.80倍→1.00倍以上に上昇し、感応度全体が上方シフト</w:t>
      </w:r>
    </w:p>
    <w:p>
      <w:pPr>
        <w:pStyle w:val="ListNumber"/>
      </w:pPr>
      <w:r>
        <w:rPr>
          <w:rFonts w:ascii="Meiryo UI" w:hAnsi="Meiryo UI"/>
          <w:sz w:val="20"/>
        </w:rPr>
        <w:t>最悪ケース（Rf+1.00%+弱気シナリオ）でも¥1,864（BPS×0.50）が硬い床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総括：深井のFinalView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大伸化学（4629）は「極端割安×絶好タイミングのカタリスト×流動性の罠」の三角形の中にある。</w:t>
        <w:br/>
        <w:br/>
        <w:t>【買いのロジック】</w:t>
        <w:br/>
        <w:t>PBR0.58倍は、ROE5.4%の低収益性を完全に価格に織り込んでなお、</w:t>
        <w:br/>
        <w:t>「純資産の58%」という水準まで売り込まれた過度な悲観を示す。</w:t>
        <w:br/>
        <w:t>日本ペイントHD出荷制限という、大伸化学に直接恩恵をもたらすカタリストが</w:t>
        <w:br/>
        <w:t>2026/3/19から既に進行中であることは、この分析の最大の推奨根拠。</w:t>
        <w:br/>
        <w:br/>
        <w:t>【売りのロジックへの反論】</w:t>
        <w:br/>
        <w:t>「原料高で利益が出ない」→ 既に市場はROE5.4%を知った上でPBR0.58倍。</w:t>
        <w:br/>
        <w:t>更なる悪化でなければ、現株価は正当化され難い水準。</w:t>
        <w:br/>
        <w:br/>
        <w:t>【最後の警告】</w:t>
        <w:br/>
        <w:t>時価総額¥4億の超小型株。</w:t>
        <w:br/>
        <w:t>社長が「大きく」動くと自分で株価を作ることになる。</w:t>
        <w:br/>
        <w:t>分割執行の規律を崩した瞬間、このトレードは失敗する。</w:t>
      </w:r>
    </w:p>
    <w:p/>
    <w:p>
      <w:r>
        <w:rPr>
          <w:rFonts w:ascii="Meiryo UI" w:hAnsi="Meiryo UI"/>
          <w:sz w:val="20"/>
        </w:rPr>
        <w:t>投資判断: 【買い（BUY）】 | FV: ¥2,982〜¥3,380 | 損切り: ¥1,850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本レポートは竹村トレードカンパニー・アナリスト深井による2026年4月18日時点の分析です。使用した財務指標（BPS¥3,728、PBR0.58倍、ROE5.4%、EPS¥172、PER12.5倍）はYahoo Finance（2026-04-18 08:55 JST）取得値を使用しています。本レポートは投資の推奨を保証するものではなく、最終的な投資判断は読者自身の責任において行ってください。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日本10年国債（JGB10Y）2.409%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2026-04-18 08:55 JST（財務省日次 R8.4.16）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4629_大伸化学【工業用_BUY_DeepResearch_20260418.md を出力しました。</w:t>
      </w:r>
    </w:p>
    <w:p>
      <w:r>
        <w:rPr>
          <w:rFonts w:ascii="Meiryo UI" w:hAnsi="Meiryo UI"/>
          <w:sz w:val="20"/>
        </w:rPr>
        <w:t>浅井スコア +62 の銘柄 [4629]大伸化学【工業用シンナー・有機溶剤専業×ホルムズ封鎖→ナフサ高騰→シンナー需要急増×日本ペイント(4612)出荷制限(3/19〜)で需要シフト×売り手市場化検証×値上げ転嫁余地×PBR割安×流動性リスク定量化×FairValue算出】 についてDeepResearch完了。</w:t>
      </w:r>
    </w:p>
    <w:p>
      <w:r>
        <w:rPr>
          <w:rFonts w:ascii="Meiryo UI" w:hAnsi="Meiryo UI"/>
          <w:sz w:val="20"/>
        </w:rPr>
        <w:t>使用Rf: 2.409%（取得: 2026-04-18 08:55 JST（財務省日次 R8.4.16））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