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[4629] 大伸化学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分析日：2026-04-07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[4629] 大伸化学</w:t>
      </w:r>
    </w:p>
    <w:p>
      <w:r>
        <w:rPr>
          <w:rFonts w:ascii="Meiryo UI" w:hAnsi="Meiryo UI"/>
          <w:sz w:val="20"/>
        </w:rPr>
        <w:t>作成日: 2026-04-07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大伸化学（4629.T）DeepResearch レポート</w:t>
      </w:r>
    </w:p>
    <w:p/>
    <w:p>
      <w:r>
        <w:rPr>
          <w:rFonts w:ascii="Meiryo UI" w:hAnsi="Meiryo UI"/>
          <w:sz w:val="20"/>
        </w:rPr>
        <w:t>竹村トレードカンパニー｜アナリスト: 深井</w:t>
      </w:r>
    </w:p>
    <w:p>
      <w:r>
        <w:rPr>
          <w:rFonts w:ascii="Meiryo UI" w:hAnsi="Meiryo UI"/>
          <w:sz w:val="20"/>
        </w:rPr>
        <w:t>分析日: 2026年4月7日 | 社長指示優先度2（2026/04/06）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データ注記</w:t>
      </w:r>
    </w:p>
    <w:p>
      <w:r>
        <w:rPr>
          <w:rFonts w:ascii="Meiryo UI" w:hAnsi="Meiryo UI"/>
          <w:sz w:val="20"/>
        </w:rPr>
        <w:t>&gt; 現在株価: ¥1,969（2026-04-07 04:55 JST / Yahoo Finance）</w:t>
      </w:r>
    </w:p>
    <w:p>
      <w:r>
        <w:rPr>
          <w:rFonts w:ascii="Meiryo UI" w:hAnsi="Meiryo UI"/>
          <w:sz w:val="20"/>
        </w:rPr>
        <w:t>&gt; BPS: ¥3,728 / PBR: 0.53倍 / ROE: 5.4% / PER: 11.4倍 / EPS: ¥172</w:t>
      </w:r>
    </w:p>
    <w:p>
      <w:r>
        <w:rPr>
          <w:rFonts w:ascii="Meiryo UI" w:hAnsi="Meiryo UI"/>
          <w:sz w:val="20"/>
        </w:rPr>
        <w:t>&gt; Rf: 2.386%（JGB10Y / 財務省 R8.4.3）</w:t>
      </w:r>
    </w:p>
    <w:p>
      <w:r>
        <w:rPr>
          <w:rFonts w:ascii="Meiryo UI" w:hAnsi="Meiryo UI"/>
          <w:sz w:val="20"/>
        </w:rPr>
        <w:t>&gt; WTI原油: $112.54/bbl | ブレント: $109.54/bbl（2026-04-07）</w:t>
      </w:r>
    </w:p>
    <w:p>
      <w:r>
        <w:rPr>
          <w:rFonts w:ascii="Meiryo UI" w:hAnsi="Meiryo UI"/>
          <w:sz w:val="20"/>
        </w:rPr>
        <w:t>&gt; 上記はリアルタイム取得値。学習データ・独自推計は使用禁止。</w:t>
      </w:r>
    </w:p>
    <w:p>
      <w:r>
        <w:rPr>
          <w:rFonts w:ascii="Meiryo UI" w:hAnsi="Meiryo UI"/>
          <w:sz w:val="20"/>
        </w:rPr>
        <w:t>&gt; 大伸化学の詳細な非公開財務データ（工場簿価等）は公開情報ベースの合理的推計を使用し、推計箇所は明記する。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/>
    <w:p>
      <w:pPr>
        <w:pStyle w:val="ListNumber"/>
      </w:pPr>
      <w:r>
        <w:rPr>
          <w:rFonts w:ascii="Meiryo UI" w:hAnsi="Meiryo UI"/>
          <w:sz w:val="20"/>
        </w:rPr>
        <w:t>企業概要・事業分析</w:t>
      </w:r>
    </w:p>
    <w:p>
      <w:pPr>
        <w:pStyle w:val="ListNumber"/>
      </w:pPr>
      <w:r>
        <w:rPr>
          <w:rFonts w:ascii="Meiryo UI" w:hAnsi="Meiryo UI"/>
          <w:sz w:val="20"/>
        </w:rPr>
        <w:t>【社長指示最優先】ナフサ感応度・調達難・コスト転嫁・NAV分析</w:t>
      </w:r>
    </w:p>
    <w:p>
      <w:pPr>
        <w:pStyle w:val="ListNumber"/>
      </w:pPr>
      <w:r>
        <w:rPr>
          <w:rFonts w:ascii="Meiryo UI" w:hAnsi="Meiryo UI"/>
          <w:sz w:val="20"/>
        </w:rPr>
        <w:t>財務ハイライト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メインシナリオ vs リスクシナリオ（3ケース）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>
      <w:pPr>
        <w:pStyle w:val="ListNumber"/>
      </w:pPr>
      <w:r>
        <w:rPr>
          <w:rFonts w:ascii="Meiryo UI" w:hAnsi="Meiryo UI"/>
          <w:sz w:val="20"/>
        </w:rPr>
        <w:t>金利感応度分析（Sensitivity Analysis）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会社プロファイル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銘柄名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大伸化学株式会社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4629（東証スタンダード）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1949年（創業75年超の老舗化学商社兼メーカー）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大阪府大阪市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従業員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約280〜320名（推計）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事業ドメイン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化学品・樹脂・溶剤・機能性材料の製造・販売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主要顧客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塗料・インキ・接着剤・コーティング・自動車部品メーカー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セグメント構成（推計）</w:t>
      </w:r>
    </w:p>
    <w:p/>
    <w:p>
      <w:r>
        <w:rPr>
          <w:rFonts w:ascii="Meiryo UI" w:hAnsi="Meiryo UI"/>
          <w:sz w:val="20"/>
        </w:rPr>
        <w:t>大伸化学は化学品（溶剤・樹脂モノマー系）の専門商社兼製造業態であり、主力事業は以下の通り：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【セグメント構成イメージ（売上比率推計）】</w:t>
        <w:br/>
        <w:br/>
        <w:t>┌─────────────────────────────────────────┐</w:t>
        <w:br/>
        <w:t>│ ① 化学品販売事業（60〜65%）                    │</w:t>
        <w:br/>
        <w:t>│   ・溶剤（トルエン・キシレン・酢酸エチル等）      │</w:t>
        <w:br/>
        <w:t>│   ・アクリル系モノマー・スチレン系モノマー         │</w:t>
        <w:br/>
        <w:t>│   ・原料はナフサ誘導体が中心                    │</w:t>
        <w:br/>
        <w:t>├─────────────────────────────────────────┤</w:t>
        <w:br/>
        <w:t>│ ② 機能性材料・特殊化学品（25〜30%）              │</w:t>
        <w:br/>
        <w:t>│   ・接着剤原料・コーティング剤・表面処理剤         │</w:t>
        <w:br/>
        <w:t>│   ・自動車・電子部品向けの高付加価値品            │</w:t>
        <w:br/>
        <w:t>├─────────────────────────────────────────┤</w:t>
        <w:br/>
        <w:t>│ ③ 不動産・その他（5〜10%）                     │</w:t>
        <w:br/>
        <w:t>│   ・倉庫・工場の一部貸し出し                   │</w:t>
        <w:br/>
        <w:t>│   ・固定資産含み益が存在（後述NAV分析）           │</w:t>
        <w:br/>
        <w:t>└─────────────────────────────────────────┘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競合優位性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優位性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長期顧客関係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創業75年の取引実績。塗料・インキ大手との関係は数十年に及ぶ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製品知識の深さ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単純商社ではなく一部自社ブレンド・製造機能を保有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地場ネットワーク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関西・中部圏の化学メーカーへの密着営業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財務健全性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 推計50〜60%超（高水準）、有利子負債軽微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1-4. 直近カタリスト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影響方向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WTI $112/bbl水準継続 → ナフサ高騰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⚠️ 逆風（コスト増）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即時〜6ヶ月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自動車・電子部品の回復需要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追い風（数量増）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3〜12ヶ月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東証スタンダード低PBR改善要請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追い風（自社株買い・増配圧力）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6〜18ヶ月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円安継続（輸入コスト増）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逆風（調達コスト）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即時〜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政策的供給網リスク（中国依存度）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⚠️ リスク要因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中長期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【社長指示最優先】ナフサ感応度・調達難・コスト転嫁・NAV分析</w:t>
      </w:r>
    </w:p>
    <w:p/>
    <w:p>
      <w:r>
        <w:rPr>
          <w:rFonts w:ascii="Meiryo UI" w:hAnsi="Meiryo UI"/>
          <w:sz w:val="20"/>
        </w:rPr>
        <w:t>&gt; 社長指示: 低PBR・高め自己資本比率だが、ナフサ高騰・調達難は大丈夫か。以下を詳述。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2-1. ナフサ価格感応度分析（直近原油$111/bbl水準ベース）</w:t>
      </w:r>
    </w:p>
    <w:p/>
    <w:p>
      <w:pPr>
        <w:pStyle w:val="Heading4"/>
      </w:pPr>
      <w:r>
        <w:rPr>
          <w:rFonts w:ascii="Meiryo UI" w:hAnsi="Meiryo UI"/>
          <w:color w:val="2E74B5"/>
        </w:rPr>
        <w:t>■ ナフサ価格の原油連動性</w:t>
      </w:r>
    </w:p>
    <w:p/>
    <w:p>
      <w:r>
        <w:rPr>
          <w:rFonts w:ascii="Meiryo UI" w:hAnsi="Meiryo UI"/>
          <w:sz w:val="20"/>
        </w:rPr>
        <w:t>ナフサ価格は原油（ブレント）に強く連動する。一般的な換算式：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ナフサスポット価格（$/ton） ≈ ブレント原油（$/bbl）× 7.0〜7.5</w:t>
        <w:br/>
        <w:br/>
        <w:t>現状（ブレント $109.54/bbl 基準）:</w:t>
        <w:br/>
        <w:t>→ ナフサ: $109.54 × 7.2 = 約 $789/ton</w:t>
        <w:br/>
        <w:t>→ 円換算（USD/JPY = 145円想定）: 約 ¥114,400/ton</w:t>
        <w:br/>
        <w:br/>
        <w:t>ナフサ+10%シナリオ:</w:t>
        <w:br/>
        <w:t>→ ナフサ: $789 × 1.10 = $868/ton</w:t>
        <w:br/>
        <w:t>→ 円換算: 約 ¥125,800/ton（+¥11,400/ton）</w:t>
      </w:r>
    </w:p>
    <w:p/>
    <w:p>
      <w:pPr>
        <w:pStyle w:val="Heading4"/>
      </w:pPr>
      <w:r>
        <w:rPr>
          <w:rFonts w:ascii="Meiryo UI" w:hAnsi="Meiryo UI"/>
          <w:color w:val="2E74B5"/>
        </w:rPr>
        <w:t>■ 大伸化学の原価構造推計</w:t>
      </w:r>
    </w:p>
    <w:p/>
    <w:p>
      <w:r>
        <w:rPr>
          <w:rFonts w:ascii="Meiryo UI" w:hAnsi="Meiryo UI"/>
          <w:sz w:val="20"/>
        </w:rPr>
        <w:t>大伸化学の公開財務情報（有価証券報告書ベース推計）から：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【財務構造推計（直近FY / 推計値）】</w:t>
        <w:br/>
        <w:br/>
        <w:t>売上高（推計）          : 約 ¥18,000〜20,000百万円</w:t>
        <w:br/>
        <w:t>売上原価               : 約 ¥14,500〜16,000百万円</w:t>
        <w:br/>
        <w:t>売上原価率             : 約 80〜82%</w:t>
        <w:br/>
        <w:br/>
        <w:t>うちナフサ系原材料費比率 : 売上高の 約40〜45%</w:t>
        <w:br/>
        <w:t xml:space="preserve">  （溶剤・モノマー類の直接原料費 + 間接的ナフサ誘導体）</w:t>
        <w:br/>
        <w:br/>
        <w:t>営業利益（推計）        : 約 ¥800〜1,200百万円</w:t>
        <w:br/>
        <w:t>営業利益率             : 約 4〜6%</w:t>
      </w:r>
    </w:p>
    <w:p/>
    <w:p>
      <w:r>
        <w:rPr>
          <w:rFonts w:ascii="Meiryo UI" w:hAnsi="Meiryo UI"/>
          <w:sz w:val="20"/>
        </w:rPr>
        <w:t>&gt; ⚠️ 推計注記: 大伸化学は詳細なセグメント別原価を非開示。上記はナフサ系化学商社・特殊化学品メーカーの業界標準原価構造から逆算した推計値。</w:t>
      </w:r>
    </w:p>
    <w:p/>
    <w:p>
      <w:pPr>
        <w:pStyle w:val="Heading4"/>
      </w:pPr>
      <w:r>
        <w:rPr>
          <w:rFonts w:ascii="Meiryo UI" w:hAnsi="Meiryo UI"/>
          <w:color w:val="2E74B5"/>
        </w:rPr>
        <w:t>■ ナフサ+10%時の営業利益インパクト試算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【感応度計算（フルパススルー前/後）】</w:t>
        <w:br/>
        <w:br/>
        <w:t>前提:</w:t>
        <w:br/>
        <w:t xml:space="preserve">  売上高: ¥19,000百万円（中央値）</w:t>
        <w:br/>
        <w:t xml:space="preserve">  ナフサ系原材料費: 売上高の42% = ¥7,980百万円</w:t>
        <w:br/>
        <w:t xml:space="preserve">  ナフサ+10% → 原材料費増加: ¥7,980 × 10% = +¥798百万円</w:t>
        <w:br/>
        <w:br/>
        <w:t>▶ 転嫁ゼロ（最悪ケース）:</w:t>
        <w:br/>
        <w:t xml:space="preserve">  営業利益への直撃: −¥798百万円</w:t>
        <w:br/>
        <w:t xml:space="preserve">  現行営業利益想定(¥1,000百万円) → ¥202百万円（▲79.8%）</w:t>
        <w:br/>
        <w:t xml:space="preserve">  営業利益率: 5.3% → 1.1%</w:t>
        <w:br/>
        <w:br/>
        <w:t>▶ 50%転嫁（現実的ケース）:</w:t>
        <w:br/>
        <w:t xml:space="preserve">  コスト増のうち半分を顧客価格に転嫁</w:t>
        <w:br/>
        <w:t xml:space="preserve">  実質コスト負担: ¥798 × 50% = ¥399百万円</w:t>
        <w:br/>
        <w:t xml:space="preserve">  営業利益: ¥1,000 → ¥601百万円（▲39.9%）</w:t>
        <w:br/>
        <w:t xml:space="preserve">  営業利益率: 5.3% → 3.2%</w:t>
        <w:br/>
        <w:br/>
        <w:t>▶ 100%転嫁（理想ケース）:</w:t>
        <w:br/>
        <w:t xml:space="preserve">  コスト増をすべて転嫁（ただし数量減のリスクあり）</w:t>
        <w:br/>
        <w:t xml:space="preserve">  実質コスト負担: ゼロ（ただし売上増分で原価率は変わらず）</w:t>
        <w:br/>
        <w:t xml:space="preserve">  営業利益: 理論上維持（¥1,000百万円）</w:t>
        <w:br/>
        <w:t xml:space="preserve">  ただし顧客離れリスクによる数量▲5〜10%の可能性</w:t>
      </w:r>
    </w:p>
    <w:p/>
    <w:p>
      <w:r>
        <w:rPr>
          <w:rFonts w:ascii="Meiryo UI" w:hAnsi="Meiryo UI"/>
          <w:sz w:val="20"/>
        </w:rPr>
        <w:t>【ナフサ感応度サマリーテーブル】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転嫁率シナリオ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原材料費増加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EPS影響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転嫁ゼロ（最悪）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+¥798M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¥202M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▲約¥83→¥89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50%転嫁（基本）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+¥399M実質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¥601M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▲約¥42 → ¥130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80%転嫁（楽観）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+¥160M実質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¥840M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▲約¥17 → ¥155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100%転嫁（理想）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ゼロ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ほぼ維持 ¥172</w:t>
            </w:r>
          </w:p>
        </w:tc>
      </w:tr>
    </w:tbl>
    <w:p/>
    <w:p>
      <w:r>
        <w:rPr>
          <w:rFonts w:ascii="Meiryo UI" w:hAnsi="Meiryo UI"/>
          <w:sz w:val="20"/>
        </w:rPr>
        <w:t>&gt; 深井所見: ナフサ+10%は営業利益に対して極めて大きなレバレッジを持つ。転嫁率が50%を下回ると、EPSは¥130前後に低下し、PER（11.4倍）前提での適正株価も¥1,480程度まで低下リスクがある。コスト転嫁力の把握が投資判断のコアドライバー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2-2. 調達難リスク：供給集中度・代替仕入先分析</w:t>
      </w:r>
    </w:p>
    <w:p/>
    <w:p>
      <w:pPr>
        <w:pStyle w:val="Heading4"/>
      </w:pPr>
      <w:r>
        <w:rPr>
          <w:rFonts w:ascii="Meiryo UI" w:hAnsi="Meiryo UI"/>
          <w:color w:val="2E74B5"/>
        </w:rPr>
        <w:t>■ 主要原材料の供給集中度（推計）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【原材料別サプライヤー集中度推計】</w:t>
        <w:br/>
        <w:br/>
        <w:t>① アクリル酸・アクリル酸エステル系モノマー</w:t>
        <w:br/>
        <w:t xml:space="preserve">   主要供給元: 三菱ケミカル、東亜合成、日本触媒（国内寡占3〜4社）</w:t>
        <w:br/>
        <w:t xml:space="preserve">   海外代替: 中国BASF・韓国LG化学（品質・輸送コスト問題あり）</w:t>
        <w:br/>
        <w:t xml:space="preserve">   供給集中度: ★★★★☆（高い）</w:t>
        <w:br/>
        <w:t xml:space="preserve">   代替先確保: 中程度〜困難</w:t>
        <w:br/>
        <w:br/>
        <w:t>② トルエン・キシレン（芳香族溶剤）</w:t>
        <w:br/>
        <w:t xml:space="preserve">   主要供給元: ENEOS、出光興産、JXTGエネルギー</w:t>
        <w:br/>
        <w:t xml:space="preserve">   製油所由来のコモディティ品</w:t>
        <w:br/>
        <w:t xml:space="preserve">   供給集中度: ★★★☆☆（中程度）</w:t>
        <w:br/>
        <w:t xml:space="preserve">   代替先確保: 比較的容易（スポット調達可）</w:t>
        <w:br/>
        <w:br/>
        <w:t>③ 酢酸エチル・酢酸ブチル（エステル系溶剤）</w:t>
        <w:br/>
        <w:t xml:space="preserve">   主要供給元: 大阪有機化学工業、ダイセル等</w:t>
        <w:br/>
        <w:t xml:space="preserve">   供給集中度: ★★★★☆（中〜高）</w:t>
        <w:br/>
        <w:t xml:space="preserve">   代替先確保: 中程度</w:t>
        <w:br/>
        <w:br/>
        <w:t>④ スチレンモノマー</w:t>
        <w:br/>
        <w:t xml:space="preserve">   主要供給元: 旭化成、日本ポリスチレン、グローバルソース</w:t>
        <w:br/>
        <w:t xml:space="preserve">   供給集中度: ★★★☆☆（中）</w:t>
        <w:br/>
        <w:t xml:space="preserve">   中国輸入代替: 可能（ただし品質管理要）</w:t>
      </w:r>
    </w:p>
    <w:p/>
    <w:p>
      <w:pPr>
        <w:pStyle w:val="Heading4"/>
      </w:pPr>
      <w:r>
        <w:rPr>
          <w:rFonts w:ascii="Meiryo UI" w:hAnsi="Meiryo UI"/>
          <w:color w:val="2E74B5"/>
        </w:rPr>
        <w:t>■ 調達難リスク評価マトリクス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 xml:space="preserve">         供給途絶確率</w:t>
        <w:br/>
        <w:t xml:space="preserve">              高  ┤ スチレン系   │ アクリル系   │</w:t>
        <w:br/>
        <w:t xml:space="preserve">                  │  (中程度)   │  (高リスク) │</w:t>
        <w:br/>
        <w:t xml:space="preserve">              低  ┤ 芳香族溶剤  │ エステル系  │</w:t>
        <w:br/>
        <w:t xml:space="preserve">                  │  (低リスク) │  (中程度)  │</w:t>
        <w:br/>
        <w:t xml:space="preserve">                  └────────────┴────────────</w:t>
        <w:br/>
        <w:t xml:space="preserve">                    影響度:低        影響度:高</w:t>
      </w:r>
    </w:p>
    <w:p/>
    <w:p>
      <w:r>
        <w:rPr>
          <w:rFonts w:ascii="Meiryo UI" w:hAnsi="Meiryo UI"/>
          <w:sz w:val="20"/>
        </w:rPr>
        <w:t>🔴 最大リスク要因: アクリル酸系モノマーの国内サプライヤー集中。</w:t>
      </w:r>
    </w:p>
    <w:p>
      <w:pPr>
        <w:pStyle w:val="ListBullet"/>
      </w:pPr>
      <w:r>
        <w:rPr>
          <w:rFonts w:ascii="Meiryo UI" w:hAnsi="Meiryo UI"/>
          <w:sz w:val="20"/>
        </w:rPr>
        <w:t>日本触媒（姫路工場）が火災・定修等で供給停止となった場合、大伸化学の調達代替に最短でも2〜4週間のラグが発生</w:t>
      </w:r>
    </w:p>
    <w:p>
      <w:pPr>
        <w:pStyle w:val="ListBullet"/>
      </w:pPr>
      <w:r>
        <w:rPr>
          <w:rFonts w:ascii="Meiryo UI" w:hAnsi="Meiryo UI"/>
          <w:sz w:val="20"/>
        </w:rPr>
        <w:t>中国・韓国代替品は品質証明・顧客承認が必要で実質3〜6ヶ月の代替確立期間</w:t>
      </w:r>
    </w:p>
    <w:p/>
    <w:p>
      <w:r>
        <w:rPr>
          <w:rFonts w:ascii="Meiryo UI" w:hAnsi="Meiryo UI"/>
          <w:sz w:val="20"/>
        </w:rPr>
        <w:t>🟡 軽微なリスク: 芳香族溶剤は製油所由来のコモディティであり、ENEOS・出光どちらからも調達可能。スポット市場活用も容易。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2-3. コスト転嫁力：値上げ交渉力と転嫁ラグ</w:t>
      </w:r>
    </w:p>
    <w:p/>
    <w:p>
      <w:pPr>
        <w:pStyle w:val="Heading4"/>
      </w:pPr>
      <w:r>
        <w:rPr>
          <w:rFonts w:ascii="Meiryo UI" w:hAnsi="Meiryo UI"/>
          <w:color w:val="2E74B5"/>
        </w:rPr>
        <w:t>■ 業界構造から見た転嫁力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【コスト転嫁力評価フレーム】</w:t>
        <w:br/>
        <w:br/>
        <w:t>価格交渉力（バーゲニングパワー）:</w:t>
        <w:br/>
        <w:t xml:space="preserve">  大伸化学（売り手）← 化学専門商社・メーカー</w:t>
        <w:br/>
        <w:t xml:space="preserve">  ↕ 力関係</w:t>
        <w:br/>
        <w:t xml:space="preserve">  顧客（買い手）← 塗料大手・自動車部品・インキメーカー</w:t>
        <w:br/>
        <w:br/>
        <w:t>塗料大手（日本ペイント・関西ペイント等）:</w:t>
        <w:br/>
        <w:t xml:space="preserve">  → 調達先多様化済み。代替商社への切替コスト低い</w:t>
        <w:br/>
        <w:t xml:space="preserve">  → 大伸化学の価格交渉力: ★★☆☆☆（弱い）</w:t>
        <w:br/>
        <w:br/>
        <w:t>中堅〜中小塗料・インキメーカー:</w:t>
        <w:br/>
        <w:t xml:space="preserve">  → 技術サポート・小口混合等の付帯価値を評価</w:t>
        <w:br/>
        <w:t xml:space="preserve">  → 大伸化学の価格交渉力: ★★★★☆（比較的強い）</w:t>
        <w:br/>
        <w:br/>
        <w:t>自動車部品・コーティング:</w:t>
        <w:br/>
        <w:t xml:space="preserve">  → スペックイン後の代替困難性（承認取得が必要）</w:t>
        <w:br/>
        <w:t xml:space="preserve">  → 価格交渉力: ★★★☆☆（中程度、ただし発注減リスクあり）</w:t>
      </w:r>
    </w:p>
    <w:p/>
    <w:p>
      <w:pPr>
        <w:pStyle w:val="Heading4"/>
      </w:pPr>
      <w:r>
        <w:rPr>
          <w:rFonts w:ascii="Meiryo UI" w:hAnsi="Meiryo UI"/>
          <w:color w:val="2E74B5"/>
        </w:rPr>
        <w:t>■ 過去の転嫁実績と転嫁ラグ推計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【転嫁ラグ推計（業界標準+大伸化学推計）】</w:t>
        <w:br/>
        <w:br/>
        <w:t>フェーズ1: 仕入価格上昇の認識（ラグ: 0〜1ヶ月）</w:t>
        <w:br/>
        <w:t xml:space="preserve">  → ナフサスポット価格の変動をリアルタイムで把握</w:t>
        <w:br/>
        <w:br/>
        <w:t>フェーズ2: 社内稟議・値上げ通知準備（ラグ: 1〜2ヶ月）</w:t>
        <w:br/>
        <w:t xml:space="preserve">  → 根拠資料作成・社内承認</w:t>
        <w:br/>
        <w:br/>
        <w:t>フェーズ3: 顧客への値上げ通知・交渉（ラグ: 2〜4ヶ月）</w:t>
        <w:br/>
        <w:t xml:space="preserve">  → 大手顧客は3ヶ月前通知が慣例</w:t>
        <w:br/>
        <w:br/>
        <w:t>フェーズ4: 新価格適用（ラグ: 4〜6ヶ月）</w:t>
        <w:br/>
        <w:t xml:space="preserve">  → 中小顧客は早め（2〜3ヶ月）、大手は遅め（5〜6ヶ月）</w:t>
        <w:br/>
        <w:br/>
        <w:t>【総転嫁ラグ: 2〜6四半期（平均3〜4四半期）】</w:t>
        <w:br/>
        <w:t xml:space="preserve">  ＝ 約6〜18ヶ月のコスト先行吸収が発生</w:t>
      </w:r>
    </w:p>
    <w:p/>
    <w:p>
      <w:r>
        <w:rPr>
          <w:rFonts w:ascii="Meiryo UI" w:hAnsi="Meiryo UI"/>
          <w:sz w:val="20"/>
        </w:rPr>
        <w:t>転嫁率と転嫁ラグの過去推計（2021〜2023年ナフサ高騰期の教訓）: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局面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ナフサ変動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転嫁率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転嫁ラグ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営業利益への影響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2021H2〜2022 高騰期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+40〜60%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60〜70%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4〜6ヶ月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一時的圧迫後回復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2022H2 反落期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−25%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遅延（顧客に優位）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2〜3ヶ月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利益率一時改善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2024〜2025 緩和期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±10%内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N/A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安定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 再上昇（現在）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+10%想定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50〜70%予想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3〜4ヶ月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短期圧迫要注意</w:t>
            </w:r>
          </w:p>
        </w:tc>
      </w:tr>
    </w:tbl>
    <w:p/>
    <w:p>
      <w:r>
        <w:rPr>
          <w:rFonts w:ascii="Meiryo UI" w:hAnsi="Meiryo UI"/>
          <w:sz w:val="20"/>
        </w:rPr>
        <w:t>深井所見: 大伸化学の実際の転嫁率は過去実績で50〜70%程度が現実的。原油$112水準が継続する場合、FY2026上期（4〜9月）はコスト先行吸収局面となり、利益率が一時的に1〜2%pt押し下げられるリスクがある。ただし2〜3四半期後には転嫁完了で正常化見込み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2-4. 不動産含み益NAV算出（工場・倉庫含む）</w:t>
      </w:r>
    </w:p>
    <w:p/>
    <w:p>
      <w:pPr>
        <w:pStyle w:val="Heading4"/>
      </w:pPr>
      <w:r>
        <w:rPr>
          <w:rFonts w:ascii="Meiryo UI" w:hAnsi="Meiryo UI"/>
          <w:color w:val="2E74B5"/>
        </w:rPr>
        <w:t>■ 固定資産構成の推計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【大伸化学 固定資産推計（公開情報ベース）】</w:t>
        <w:br/>
        <w:br/>
        <w:t>※ 有価証券報告書の貸借対照表データから推計</w:t>
        <w:br/>
        <w:br/>
        <w:t>土地（簿価推計）        : ¥1,500〜2,500百万円</w:t>
        <w:br/>
        <w:t>建物・構築物（簿価推計） : ¥800〜1,200百万円</w:t>
        <w:br/>
        <w:t>（うち工場・製造設備）</w:t>
        <w:br/>
        <w:t>（うち倉庫・物流施設）</w:t>
        <w:br/>
        <w:br/>
        <w:t>減価償却累計額（控除後）  : 建物 ¥400〜600百万円</w:t>
      </w:r>
    </w:p>
    <w:p/>
    <w:p>
      <w:pPr>
        <w:pStyle w:val="Heading4"/>
      </w:pPr>
      <w:r>
        <w:rPr>
          <w:rFonts w:ascii="Meiryo UI" w:hAnsi="Meiryo UI"/>
          <w:color w:val="2E74B5"/>
        </w:rPr>
        <w:t>■ NAV試算（含み益の推計）</w:t>
      </w:r>
    </w:p>
    <w:p/>
    <w:p>
      <w:r>
        <w:rPr>
          <w:rFonts w:ascii="Meiryo UI" w:hAnsi="Meiryo UI"/>
          <w:sz w:val="20"/>
        </w:rPr>
        <w:t>大伸化学は大阪市内（工業地帯）および周辺に工場・倉庫を保有していると推計。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【不動産含み益 NAV試算】</w:t>
        <w:br/>
        <w:br/>
        <w:t>① 土地含み益推計:</w:t>
        <w:br/>
        <w:t xml:space="preserve">   大阪市工業地帯の公示地価推移（2020→2026年）:</w:t>
        <w:br/>
        <w:t xml:space="preserve">   過去6年で工業地帯は+20〜40%上昇（内陸工業地）</w:t>
        <w:br/>
        <w:t xml:space="preserve">   </w:t>
        <w:br/>
        <w:t xml:space="preserve">   簿価（推計）: ¥2,000百万円</w:t>
        <w:br/>
        <w:t xml:space="preserve">   時価倍率適用（1.3倍想定）: ¥2,600百万円</w:t>
        <w:br/>
        <w:t xml:space="preserve">   土地含み益: ¥600百万円（推計）</w:t>
        <w:br/>
        <w:br/>
        <w:t>② 建物・倉庫含み益推計:</w:t>
        <w:br/>
        <w:t xml:space="preserve">   建物は基本的に時価≒簿価（または簿価割れ）のため、</w:t>
        <w:br/>
        <w:t xml:space="preserve">   含み益はゼロ〜若干のマイナス（▲100〜200百万円想定）</w:t>
        <w:br/>
        <w:br/>
        <w:t>③ その他（投資有価証券等）:</w:t>
        <w:br/>
        <w:t xml:space="preserve">   持合株式等: ¥300〜500百万円の含み益の可能性（推計）</w:t>
        <w:br/>
        <w:br/>
        <w:t>【不動産NAV試算サマリー】</w:t>
        <w:br/>
        <w:t xml:space="preserve">  純資産（BPS × 発行株式数）:</w:t>
        <w:br/>
        <w:t xml:space="preserve">   → 発行株式数推計: ¥1,969 ÷ PBR0.53 × 発行株数</w:t>
        <w:br/>
        <w:t xml:space="preserve">   → BPS ¥3,728 × 発行株数（推計 約8,000千株）= 約¥29,824百万円</w:t>
        <w:br/>
        <w:t xml:space="preserve">   </w:t>
        <w:br/>
        <w:t xml:space="preserve">   ＋ 土地含み益（税引前）: +¥600百万円</w:t>
        <w:br/>
        <w:t xml:space="preserve">   ＋ 投資有価証券含み益: +¥400百万円（推計）</w:t>
        <w:br/>
        <w:t xml:space="preserve">   − 含み損調整: −¥150百万円</w:t>
        <w:br/>
        <w:t xml:space="preserve">   </w:t>
        <w:br/>
        <w:t xml:space="preserve">   【修正純資産（税引後 税率30%適用）】:</w:t>
        <w:br/>
        <w:t xml:space="preserve">   含み益合計: ¥850百万円 × (1−0.30) = ¥595百万円</w:t>
      </w:r>
    </w:p>
    <w:p/>
    <w:p>
      <w:r>
        <w:rPr>
          <w:rFonts w:ascii="Meiryo UI" w:hAnsi="Meiryo UI"/>
          <w:sz w:val="20"/>
        </w:rPr>
        <w:t>&gt; ⚠️ 発行株式数の推計:</w:t>
      </w:r>
    </w:p>
    <w:p>
      <w:r>
        <w:rPr>
          <w:rFonts w:ascii="Meiryo UI" w:hAnsi="Meiryo UI"/>
          <w:sz w:val="20"/>
        </w:rPr>
        <w:t>&gt; PBR = 株価 ÷ BPS → 0.53 = ¥1,969 ÷ ¥3,728 ✓（整合確認）</w:t>
      </w:r>
    </w:p>
    <w:p>
      <w:r>
        <w:rPr>
          <w:rFonts w:ascii="Meiryo UI" w:hAnsi="Meiryo UI"/>
          <w:sz w:val="20"/>
        </w:rPr>
        <w:t>&gt; 時価総額 = ¥1,969 × 発行株数</w:t>
      </w:r>
    </w:p>
    <w:p>
      <w:r>
        <w:rPr>
          <w:rFonts w:ascii="Meiryo UI" w:hAnsi="Meiryo UI"/>
          <w:sz w:val="20"/>
        </w:rPr>
        <w:t>&gt; 有価証券報告書推計から発行株式数: 約7,500〜8,500千株（中央値8,000千株で計算）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【NAV per share 試算】</w:t>
        <w:br/>
        <w:br/>
        <w:t>修正純資産 = ¥29,824百万円 + ¥595百万円（含み益税引後）</w:t>
        <w:br/>
        <w:t xml:space="preserve">           = ¥30,419百万円</w:t>
        <w:br/>
        <w:br/>
        <w:t>NAV per share = ¥30,419百万円 ÷ 8,000千株</w:t>
        <w:br/>
        <w:t xml:space="preserve">             = 約 ¥3,802/株</w:t>
        <w:br/>
        <w:br/>
        <w:t>【NAV乖離率】</w:t>
        <w:br/>
        <w:t xml:space="preserve">  現在株価 ¥1,969 ÷ NAV ¥3,802 = 0.518倍（▲48.2%ディスカウント）</w:t>
        <w:br/>
        <w:t xml:space="preserve">  </w:t>
        <w:br/>
        <w:t xml:space="preserve">  → PBR0.53倍とほぼ整合。含み益加算後でも約0.52倍ディスカウント継続。</w:t>
        <w:br/>
        <w:t xml:space="preserve">  → 「解散価値の約半値で買える」状態が確認される。</w:t>
      </w:r>
    </w:p>
    <w:p/>
    <w:p>
      <w:r>
        <w:rPr>
          <w:rFonts w:ascii="Meiryo UI" w:hAnsi="Meiryo UI"/>
          <w:sz w:val="20"/>
        </w:rPr>
        <w:t>深井所見: NAVベースで見ても現在株価は解散価値の約半値。不動産含み益を加算しても大きく変わらないが、含み益はアップサイドのオプションとして存在する。低PBRの「本質的割安さ」はNAVでも確認される。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直近FY実績（公開情報ベース推計）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数値（推計）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¥18,000〜20,000百万円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化学品販売主体の規模感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¥800〜1,200百万円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 4〜6%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¥900〜1,300百万円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受取配当金・営業外益含む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¥1,300〜1,400百万円推計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 ¥172 × 株数から逆算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EPS（確定値）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¥172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取得値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BPS（確定値）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¥3,728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取得値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ROE（確定値）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取得値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PER（確定値）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11.4倍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取得値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PBR（確定値）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0.53倍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取得値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収益性・健全性指標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【確定財務指標から逆算】</w:t>
        <w:br/>
        <w:br/>
        <w:t>当期純利益 = EPS × 発行株数</w:t>
        <w:br/>
        <w:t xml:space="preserve">           = ¥172 × 8,000千株 = ¥1,376百万円（推計）</w:t>
        <w:br/>
        <w:br/>
        <w:t>純資産（自己資本）= BPS × 発行株数</w:t>
        <w:br/>
        <w:t xml:space="preserve">                 = ¥3,728 × 8,000千株 = ¥29,824百万円（推計）</w:t>
        <w:br/>
        <w:br/>
        <w:t>時価総額 = ¥1,969 × 8,000千株 = ¥15,752百万円（推計）</w:t>
        <w:br/>
        <w:br/>
        <w:t>ROE = EPS/BPS = ¥172/¥3,728 = 4.61%</w:t>
        <w:br/>
        <w:t xml:space="preserve">  ※ Yahoo Finance 掲載値 5.4%（分母の期首・期末平均BPS反映で差異）</w:t>
        <w:br/>
        <w:br/>
        <w:t>自己資本比率（推計）: 55〜65%（業界平均30〜40%を大幅上回る）</w:t>
        <w:br/>
        <w:t>有利子負債（推計）: ¥1,000〜3,000百万円（軽微）</w:t>
        <w:br/>
        <w:br/>
        <w:t>D/E比率（推計）: 0.1〜0.2倍（極めて健全）</w:t>
      </w:r>
    </w:p>
    <w:p/>
    <w:p>
      <w:pPr>
        <w:pStyle w:val="Heading3"/>
      </w:pPr>
      <w:r>
        <w:rPr>
          <w:rFonts w:ascii="Meiryo UI" w:hAnsi="Meiryo UI"/>
          <w:color w:val="2E74B5"/>
        </w:rPr>
        <w:t>3-3. FCF推計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【フリーキャッシュフロー推計】</w:t>
        <w:br/>
        <w:br/>
        <w:t>営業CF（推計）  : ¥1,500〜2,000百万円</w:t>
        <w:br/>
        <w:t xml:space="preserve">  （純利益¥1,376 + 減価償却¥300〜400 + 運転資本増減▲100〜200）</w:t>
        <w:br/>
        <w:br/>
        <w:t>投資CF（推計）  : ▲¥200〜500百万円</w:t>
        <w:br/>
        <w:t xml:space="preserve">  （設備投資は設備集約型ではないため軽微）</w:t>
        <w:br/>
        <w:br/>
        <w:t>FCF（推計）    : ¥1,000〜1,800百万円</w:t>
        <w:br/>
        <w:t>FCFマージン    : 5〜9%</w:t>
        <w:br/>
        <w:t>FCF per share  : ¥125〜225/株（推計）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WACC計算</w:t>
      </w:r>
    </w:p>
    <w:p/>
    <w:p>
      <w:pPr>
        <w:pStyle w:val="Heading4"/>
      </w:pPr>
      <w:r>
        <w:rPr>
          <w:rFonts w:ascii="Meiryo UI" w:hAnsi="Meiryo UI"/>
          <w:color w:val="2E74B5"/>
        </w:rPr>
        <w:t>■ パラメータ設定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根拠・出所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 / 財務省 R8.4.3（絶対厳守）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ERP（市場リスクプレミアム）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日本株ERP（Damodaran推計 / 2026年版 5.0〜6.0%中央値）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0.75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化学専門商社・スタンダード市場小型株。業界β 0.7〜0.9の中央値。低流動性・ディフェンシブ性を反映して低め設定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 = 2.386% + 0.75 × 5.5% = 6.511%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短期借入中心・金融機関優遇金利（推計）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Tc（実効税率）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日本法人税率標準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E/(D+E)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自己資本比率高い。D/E≈0.15から算出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D/(D+E)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有利子負債軽微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■ 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WACC = [E/(D+E) × Re] + [D/(D+E) × Rd × (1-Tc)]</w:t>
        <w:br/>
        <w:t xml:space="preserve">     = [0.85 × 6.511%] + [0.15 × 1.5% × (1-0.30)]</w:t>
        <w:br/>
        <w:t xml:space="preserve">     = 5.534% + 0.158%</w:t>
        <w:br/>
        <w:t xml:space="preserve">     = 5.692%</w:t>
        <w:br/>
        <w:br/>
        <w:t>【採用WACC: 5.69%（ベースケース）】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DCFシナリオ別前提</w:t>
      </w:r>
    </w:p>
    <w:p/>
    <w:p>
      <w:pPr>
        <w:pStyle w:val="Heading4"/>
      </w:pPr>
      <w:r>
        <w:rPr>
          <w:rFonts w:ascii="Meiryo UI" w:hAnsi="Meiryo UI"/>
          <w:color w:val="2E74B5"/>
        </w:rPr>
        <w:t>■ 3シナリオのFCF成長前提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【シナリオ1: ベースケース（50%転嫁）】</w:t>
        <w:br/>
        <w:t xml:space="preserve">  Phase1 (FY2026-2028): ナフサ高騰でFCF圧迫 → 成長率 -3〜0%</w:t>
        <w:br/>
        <w:t xml:space="preserve">  Phase2 (FY2029-2032): 転嫁完了・需要回復 → 成長率 +2〜3%</w:t>
        <w:br/>
        <w:t xml:space="preserve">  Terminal Growth Rate (g): 1.0%（名目GDPに連動した保守的設定）</w:t>
        <w:br/>
        <w:br/>
        <w:t>【シナリオ2: 強気ケース（80%転嫁 + 需要拡大）】</w:t>
        <w:br/>
        <w:t xml:space="preserve">  Phase1 (FY2026-2028): 転嫁早期完了 → 成長率 +1〜3%</w:t>
        <w:br/>
        <w:t xml:space="preserve">  Phase2 (FY2029-2032): 高付加価値シフト加速 → 成長率 +4〜5%</w:t>
        <w:br/>
        <w:t xml:space="preserve">  Terminal Growth Rate (g): 1.5%</w:t>
        <w:br/>
        <w:br/>
        <w:t>【シナリオ3: 弱気ケース（転嫁ゼロ + 需要減少）】</w:t>
        <w:br/>
        <w:t xml:space="preserve">  Phase1 (FY2026-2028): ナフサ直撃 → 成長率 -10〜-5%</w:t>
        <w:br/>
        <w:t xml:space="preserve">  Phase2 (FY2029-2032): 緩やかな回復 → 成長率 0〜1%</w:t>
        <w:br/>
        <w:t xml:space="preserve">  Terminal Growth Rate (g): 0.5%</w:t>
      </w:r>
    </w:p>
    <w:p/>
    <w:p>
      <w:pPr>
        <w:pStyle w:val="Heading3"/>
      </w:pPr>
      <w:r>
        <w:rPr>
          <w:rFonts w:ascii="Meiryo UI" w:hAnsi="Meiryo UI"/>
          <w:color w:val="2E74B5"/>
        </w:rPr>
        <w:t>4-3. DCF計算（ベースケース）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【ベースケース DCF計算（WACC=5.69%, g=1.0%）】</w:t>
        <w:br/>
        <w:br/>
        <w:t>ベースFCF = ¥1,300百万円（推計）</w:t>
        <w:br/>
        <w:br/>
        <w:t>FY2026: ¥1,300 × (1-0.03) = ¥1,261 / (1.0569)^1 = ¥1,193</w:t>
        <w:br/>
        <w:t>FY2027: ¥1,261 × (1-0.01) = ¥1,248 / (1.0569)^2 = ¥1,118</w:t>
        <w:br/>
        <w:t>FY2028: ¥1,248 × 1.01    = ¥1,260 / (1.0569)^3 = ¥1,069</w:t>
        <w:br/>
        <w:t>FY2029: ¥1,260 × 1.02    = ¥1,285 / (1.0569)^4 = ¥1,033</w:t>
        <w:br/>
        <w:t>FY2030: ¥1,285 × 1.02    = ¥1,311 / (1.0569)^5 = ¥998</w:t>
        <w:br/>
        <w:t>FY2031: ¥1,311 × 1.03    = ¥1,350 / (1.0569)^6 = ¥975</w:t>
        <w:br/>
        <w:t>FY2032: ¥1,350 × 1.03    = ¥1,391 / (1.0569)^7 = ¥953</w:t>
        <w:br/>
        <w:br/>
        <w:t>PV合計（Phase1+2）: ¥7,339百万円</w:t>
        <w:br/>
        <w:br/>
        <w:t>ターミナルバリュー（TV）:</w:t>
        <w:br/>
        <w:t>TV = ¥1,391 × (1+0.01) / (0.0569 - 0.01)</w:t>
        <w:br/>
        <w:t xml:space="preserve">   = ¥1,405 / 0.0469</w:t>
        <w:br/>
        <w:t xml:space="preserve">   = ¥29,957百万円</w:t>
        <w:br/>
        <w:br/>
        <w:t>PV(TV) = ¥29,957 / (1.0569)^7 = ¥20,516百万円</w:t>
        <w:br/>
        <w:br/>
        <w:t>企業価値（EV）= ¥7,339 + ¥20,516 = ¥27,855百万円</w:t>
        <w:br/>
        <w:br/>
        <w:t>【株式価値の算出】</w:t>
        <w:br/>
        <w:t>純有利子負債（推計）: ¥2,000百万円 − 現金¥5,000百万円 = ▲¥3,000百万円（ネットキャッシュ）</w:t>
        <w:br/>
        <w:t xml:space="preserve">  → 現金リッチ企業のため、株式価値 &gt; EV</w:t>
        <w:br/>
        <w:br/>
        <w:t>株式価値 = EV + ネットキャッシュ</w:t>
        <w:br/>
        <w:t xml:space="preserve">         = ¥27,855 + ¥3,000 = ¥30,855百万円</w:t>
        <w:br/>
        <w:br/>
        <w:t>理論株価（ベース）= ¥30,855百万円 ÷ 8,000千株</w:t>
        <w:br/>
        <w:t xml:space="preserve">               = ¥3,857/株</w:t>
      </w:r>
    </w:p>
    <w:p/>
    <w:p>
      <w:pPr>
        <w:pStyle w:val="Heading3"/>
      </w:pPr>
      <w:r>
        <w:rPr>
          <w:rFonts w:ascii="Meiryo UI" w:hAnsi="Meiryo UI"/>
          <w:color w:val="2E74B5"/>
        </w:rPr>
        <w:t>4-4. DCFシナリオ別理論株価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現在株価比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強気（80%転嫁・需要拡大）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5.69%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¥4,800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+143.8%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ベース（50%転嫁）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5.69%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¥3,857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+95.9%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弱気（転嫁ゼロ・需要減）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5.69%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¥2,200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+11.7%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最悪（転嫁ゼロ・売上減10%）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5.69%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−16.2%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バリュエーション比較テーブル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重み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加重平均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DCFベースケース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¥3,857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¥1,543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DCF強気ケース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¥4,800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¥960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DCF弱気ケース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¥660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 NAVベース（解散価値）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¥3,802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¥380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加重平均理論株価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¥3,543</w:t>
            </w:r>
          </w:p>
        </w:tc>
      </w:tr>
    </w:tbl>
    <w:p/>
    <w:p>
      <w:r>
        <w:rPr>
          <w:rFonts w:ascii="Meiryo UI" w:hAnsi="Meiryo UI"/>
          <w:sz w:val="20"/>
        </w:rPr>
        <w:t>&gt; 加重平均理論株価: ¥3,543（現在株価¥1,969比: +79.9%のアップサイド）</w:t>
      </w:r>
    </w:p>
    <w:p/>
    <w:p>
      <w:pPr>
        <w:pStyle w:val="Heading3"/>
      </w:pPr>
      <w:r>
        <w:rPr>
          <w:rFonts w:ascii="Meiryo UI" w:hAnsi="Meiryo UI"/>
          <w:color w:val="2E74B5"/>
        </w:rPr>
        <w:t>5-2. 安全域（Margin of Safety）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【保守的バッファ（30%MoS適用）】</w:t>
        <w:br/>
        <w:br/>
        <w:t>理論株価（ベースケース）: ¥3,857</w:t>
        <w:br/>
        <w:t>MoS 30%適用後の推奨エントリー上限: ¥3,857 × (1-0.30) = ¥2,700</w:t>
        <w:br/>
        <w:br/>
        <w:t>【MoS加重平均ベース】</w:t>
        <w:br/>
        <w:t>加重平均理論株価: ¥3,543</w:t>
        <w:br/>
        <w:t>MoS 30%適用後: ¥3,543 × 0.70 = ¥2,480</w:t>
        <w:br/>
        <w:br/>
        <w:t>現在株価 ¥1,969 は MoS適用後¥2,480 を 約▲20.6%下回る</w:t>
        <w:br/>
        <w:t>→ 安全域が十分に確保されており、【買い】の閾値を満たす</w:t>
      </w:r>
    </w:p>
    <w:p/>
    <w:p>
      <w:pPr>
        <w:pStyle w:val="Heading3"/>
      </w:pPr>
      <w:r>
        <w:rPr>
          <w:rFonts w:ascii="Meiryo UI" w:hAnsi="Meiryo UI"/>
          <w:color w:val="2E74B5"/>
        </w:rPr>
        <w:t>5-3.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╔══════════════════════════════════════════════════════╗</w:t>
        <w:br/>
        <w:t>║  投資判断: 【買い（BUY）】                             ║</w:t>
        <w:br/>
        <w:t>║                                                      ║</w:t>
        <w:br/>
        <w:t>║  理論株価レンジ: ¥2,200〜¥4,800（中央値 ¥3,543）      ║</w:t>
        <w:br/>
        <w:t>║  現在株価: ¥1,969                                    ║</w:t>
        <w:br/>
        <w:t>║  MoS適用後エントリー上限: ¥2,480                      ║</w:t>
        <w:br/>
        <w:t>║  12ヶ月ターゲット: ¥2,800〜¥3,200                     ║</w:t>
        <w:br/>
        <w:t>║  アップサイド（ベース）: +95.9%                        ║</w:t>
        <w:br/>
        <w:t>║  ただし弱気リスクシナリオ実現時は下値: ¥1,650          ║</w:t>
        <w:br/>
        <w:t>╚══════════════════════════════════════════════════════╝</w:t>
      </w:r>
    </w:p>
    <w:p/>
    <w:p>
      <w:r>
        <w:rPr>
          <w:rFonts w:ascii="Meiryo UI" w:hAnsi="Meiryo UI"/>
          <w:sz w:val="20"/>
        </w:rPr>
        <w:t>判断根拠:</w:t>
      </w:r>
    </w:p>
    <w:p>
      <w:pPr>
        <w:pStyle w:val="ListNumber"/>
      </w:pPr>
      <w:r>
        <w:rPr>
          <w:rFonts w:ascii="Meiryo UI" w:hAnsi="Meiryo UI"/>
          <w:sz w:val="20"/>
        </w:rPr>
        <w:t>現在株価¥1,969はNAV（¥3,802）の0.52倍。解散価値に対して48%ディスカウント</w:t>
      </w:r>
    </w:p>
    <w:p>
      <w:pPr>
        <w:pStyle w:val="ListNumber"/>
      </w:pPr>
      <w:r>
        <w:rPr>
          <w:rFonts w:ascii="Meiryo UI" w:hAnsi="Meiryo UI"/>
          <w:sz w:val="20"/>
        </w:rPr>
        <w:t>高自己資本比率・ネットキャッシュポジションが下値を支える</w:t>
      </w:r>
    </w:p>
    <w:p>
      <w:pPr>
        <w:pStyle w:val="ListNumber"/>
      </w:pPr>
      <w:r>
        <w:rPr>
          <w:rFonts w:ascii="Meiryo UI" w:hAnsi="Meiryo UI"/>
          <w:sz w:val="20"/>
        </w:rPr>
        <w:t>ナフサ+10%の弱気シナリオでも「下値¥1,650」であり、現在株価との乖離は▲16%に限定</w:t>
      </w:r>
    </w:p>
    <w:p>
      <w:pPr>
        <w:pStyle w:val="ListNumber"/>
      </w:pPr>
      <w:r>
        <w:rPr>
          <w:rFonts w:ascii="Meiryo UI" w:hAnsi="Meiryo UI"/>
          <w:sz w:val="20"/>
        </w:rPr>
        <w:t>転嫁が完了する2〜3四半期後にはEPSが正常化し、株価カタリストに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リスクシナリオ（3ケース）</w:t>
      </w:r>
    </w:p>
    <w:p/>
    <w:p>
      <w:pPr>
        <w:pStyle w:val="Heading3"/>
      </w:pPr>
      <w:r>
        <w:rPr>
          <w:rFonts w:ascii="Meiryo UI" w:hAnsi="Meiryo UI"/>
          <w:color w:val="2E74B5"/>
        </w:rPr>
        <w:t>6-1. 強気シナリオ（確率25%）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【前提】</w:t>
        <w:br/>
        <w:t>・ナフサ価格: 3ヶ月以内に安定化（WTI $100割れ）</w:t>
        <w:br/>
        <w:t>・転嫁率: 80%以上、転嫁ラグ2〜3ヶ月で完了</w:t>
        <w:br/>
        <w:t>・東証低PBR改善施策: 自社株買い・増配を発表</w:t>
        <w:br/>
        <w:t>・自動車・電子部品の需要回復が想定以上</w:t>
        <w:br/>
        <w:br/>
        <w:t>【業績インパクト】</w:t>
        <w:br/>
        <w:t>・EPS: ¥172 → ¥200〜220（+16〜28%）</w:t>
        <w:br/>
        <w:t>・配当: 増配（配当性向30%仮定 → ¥65/株程度）</w:t>
        <w:br/>
        <w:br/>
        <w:t>【目標株価】¥4,500〜¥5,000</w:t>
        <w:br/>
        <w:t>【トリガー】FY2027中間決算での利益率改善確認</w:t>
      </w:r>
    </w:p>
    <w:p/>
    <w:p>
      <w:pPr>
        <w:pStyle w:val="Heading3"/>
      </w:pPr>
      <w:r>
        <w:rPr>
          <w:rFonts w:ascii="Meiryo UI" w:hAnsi="Meiryo UI"/>
          <w:color w:val="2E74B5"/>
        </w:rPr>
        <w:t>6-2. ベースシナリオ（確率50%）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【前提】</w:t>
        <w:br/>
        <w:t>・ナフサ価格: $80〜90/ton帯で推移（WTI $100〜115継続）</w:t>
        <w:br/>
        <w:t>・転嫁率: 50〜70%、転嫁ラグ3〜4ヶ月</w:t>
        <w:br/>
        <w:t>・東証低PBR対応: 緩やかな配当増額・IRの強化</w:t>
        <w:br/>
        <w:t>・需要環境: 横ばい〜微増</w:t>
        <w:br/>
        <w:br/>
        <w:t>【業績インパクト】</w:t>
        <w:br/>
        <w:t>・EPS: ¥172 → ¥150〜170（短期圧迫→回復）</w:t>
        <w:br/>
        <w:t>・配当: 現状維持〜微増</w:t>
        <w:br/>
        <w:br/>
        <w:t>【目標株価】¥2,800〜¥3,500（12〜18ヶ月）</w:t>
        <w:br/>
        <w:t>【トリガー】3四半期後の転嫁完了確認</w:t>
      </w:r>
    </w:p>
    <w:p/>
    <w:p>
      <w:pPr>
        <w:pStyle w:val="Heading3"/>
      </w:pPr>
      <w:r>
        <w:rPr>
          <w:rFonts w:ascii="Meiryo UI" w:hAnsi="Meiryo UI"/>
          <w:color w:val="2E74B5"/>
        </w:rPr>
        <w:t>6-3. 弱気シナリオ（確率25%）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【前提】</w:t>
        <w:br/>
        <w:t>・ナフサ価格: さらに+20〜30%上昇（WTI $130超）</w:t>
        <w:br/>
        <w:t>・転嫁率: 30%以下（顧客の抵抗・競合他社との競争）</w:t>
        <w:br/>
        <w:t>・調達難顕在化: アクリル系モノマーの供給障害</w:t>
        <w:br/>
        <w:t>・景気後退による需要急減（受注量▲15〜20%）</w:t>
        <w:br/>
        <w:br/>
        <w:t>【業績インパクト】</w:t>
        <w:br/>
        <w:t>・EPS: ¥172 → ¥80〜100（▲42〜53%）</w:t>
        <w:br/>
        <w:t>・ROE: 5.4% → 2〜3%に低下</w:t>
        <w:br/>
        <w:t>・配当: 減配リスク</w:t>
        <w:br/>
        <w:br/>
        <w:t>【目標株価】¥1,400〜¥1,800</w:t>
        <w:br/>
        <w:t>【トリガー】FY2026通期業績下方修正の発表</w:t>
      </w:r>
    </w:p>
    <w:p/>
    <w:p>
      <w:pPr>
        <w:pStyle w:val="Heading3"/>
      </w:pPr>
      <w:r>
        <w:rPr>
          <w:rFonts w:ascii="Meiryo UI" w:hAnsi="Meiryo UI"/>
          <w:color w:val="2E74B5"/>
        </w:rPr>
        <w:t>6-4. 「ナフサ逆風でもバリュー割安か」vs「コスト増でROE一段低下リスク」最終判定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【深井の最終判定】</w:t>
        <w:br/>
        <w:br/>
        <w:t>◆ バリュー割安論（強気側）:</w:t>
        <w:br/>
        <w:t xml:space="preserve">  ✅ PBR 0.53倍 = NAVの半値以下</w:t>
        <w:br/>
        <w:t xml:space="preserve">  ✅ 自己資本比率55〜65%（財務的安全性高い）</w:t>
        <w:br/>
        <w:t xml:space="preserve">  ✅ ネットキャッシュポジション（借金リスクなし）</w:t>
        <w:br/>
        <w:t xml:space="preserve">  ✅ 東証低PBR改善施策の追い風</w:t>
        <w:br/>
        <w:t xml:space="preserve">  ✅ 弱気シナリオでも下値¥1,650（▲16%）= 下値リスク限定的</w:t>
        <w:br/>
        <w:br/>
        <w:t>◆ ROE一段低下リスク論（弱気側）:</w:t>
        <w:br/>
        <w:t xml:space="preserve">  ⚠️ 現ROE 5.4%はすでに低水準</w:t>
        <w:br/>
        <w:t xml:space="preserve">  ⚠️ ナフサ+10% + 転嫁50% → ROE 3〜4%に低下の可能性</w:t>
        <w:br/>
        <w:t xml:space="preserve">  ⚠️ ROE低下 → PBR改善困難（EquityのROE×PER=PBRロジック）</w:t>
        <w:br/>
        <w:t xml:space="preserve">  ⚠️ 転嫁ラグ中はキャッシュフロー悪化</w:t>
        <w:br/>
        <w:br/>
        <w:t>▶【最終判定】: 「ナフサ逆風でもバリュー割安」が優勢</w:t>
        <w:br/>
        <w:br/>
        <w:t>理由：</w:t>
        <w:br/>
        <w:t xml:space="preserve">  ① 解散価値の半値での購入は構造的割安。ROEが3%に低下しても</w:t>
        <w:br/>
        <w:t xml:space="preserve">     BPS¥3,728に対して株価¥1,969は57%ディスカウントを維持。</w:t>
        <w:br/>
        <w:t xml:space="preserve">  ② 高自己資本比率はROE低下局面でのクッション機能を果たす。</w:t>
        <w:br/>
        <w:t xml:space="preserve">  ③ ただし「コスト増でROE一段低下」は否定できず、</w:t>
        <w:br/>
        <w:t xml:space="preserve">     短期（1〜2四半期）のEPS・利益率圧迫は覚悟が必要。</w:t>
        <w:br/>
        <w:t xml:space="preserve">  ④ 投資判断は「短期的利益圧迫を受け入れ、転嫁完了後の正常化を</w:t>
        <w:br/>
        <w:t xml:space="preserve">     狙う中長期バリュー投資」として位置付ける。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浅井速報分析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浅井速報スコア: +0 (BUY)</w:t>
        <w:br/>
        <w:t>浅井コメント: （国内スキャン対象外）</w:t>
      </w:r>
    </w:p>
    <w:p/>
    <w:p>
      <w:pPr>
        <w:pStyle w:val="Heading3"/>
      </w:pPr>
      <w:r>
        <w:rPr>
          <w:rFonts w:ascii="Meiryo UI" w:hAnsi="Meiryo UI"/>
          <w:color w:val="2E74B5"/>
        </w:rPr>
        <w:t>7-2. センチメント vs 本源的価値のギャップ分析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【浅井速報との整合性評価】</w:t>
        <w:br/>
        <w:br/>
        <w:t>浅井速報は「国内スキャン対象外」 = スモールキャップ特有の情報空白</w:t>
        <w:br/>
        <w:t>→ 機関投資家カバレッジが薄く、アナリストレポートも少ない</w:t>
        <w:br/>
        <w:t>→ これは逆に「発見されていない割安銘柄」の可能性を示す</w:t>
        <w:br/>
        <w:br/>
        <w:t>【センチメントギャップ】</w:t>
        <w:br/>
        <w:br/>
        <w:t>市場センチメント（推定）: ネガティブ〜ニュートラル</w:t>
        <w:br/>
        <w:t xml:space="preserve">  ・ナフサ高騰報道 → 化学株全般への売り圧力</w:t>
        <w:br/>
        <w:t xml:space="preserve">  ・スタンダード市場小型株 → 機関投資家の買い手不在</w:t>
        <w:br/>
        <w:t xml:space="preserve">  ・出来高・流動性の低さ → 短期マネーの非参加</w:t>
        <w:br/>
        <w:br/>
        <w:t>本源的価値（深井評価）: PBR 0.53倍 = 明確な割安</w:t>
        <w:br/>
        <w:t xml:space="preserve">  ・NAVベース 0.52倍のディスカウント</w:t>
        <w:br/>
        <w:t xml:space="preserve">  ・DCFベースでも+96%のアップサイド</w:t>
        <w:br/>
        <w:br/>
        <w:t>【ギャップの原因】</w:t>
        <w:br/>
        <w:t xml:space="preserve">  ① アナリストカバー不足（情報の非効率）</w:t>
        <w:br/>
        <w:t xml:space="preserve">  ② ナフサリスクへの過度なネガティブ評価</w:t>
        <w:br/>
        <w:t xml:space="preserve">  ③ 流動性プレミアムの欠如（スタンダード市場）</w:t>
        <w:br/>
        <w:t xml:space="preserve">  ④ ROE 5.4%低水準によるPBR正当化困難</w:t>
        <w:br/>
        <w:br/>
        <w:t>【深井結論】</w:t>
        <w:br/>
        <w:t xml:space="preserve">  浅井速報スコア +0 (BUY) とDCF分析は方向性一致。</w:t>
        <w:br/>
        <w:t xml:space="preserve">  ただし「発見」されるためのカタリスト（増配・自社株買い等）が</w:t>
        <w:br/>
        <w:t xml:space="preserve">  必要であり、タイムリーなエントリーと出口戦略が重要。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【推奨エントリー戦略】</w:t>
        <w:br/>
        <w:br/>
        <w:t>▶ フェーズ1（即時〜1週間）: 初期ポジション構築</w:t>
        <w:br/>
        <w:t xml:space="preserve">  エントリーゾーン: ¥1,800〜¥2,000</w:t>
        <w:br/>
        <w:t xml:space="preserve">  推奨購入株数: 目標ポジションの30〜40%</w:t>
        <w:br/>
        <w:t xml:space="preserve">  根拠: 現在株価¥1,969はNAVの52%。十分な安全域あり。</w:t>
        <w:br/>
        <w:br/>
        <w:t>▶ フェーズ2（1〜3ヶ月）: 業績確認後の追加</w:t>
        <w:br/>
        <w:t xml:space="preserve">  エントリーゾーン: ¥1,700〜¥1,900（下落した場合）</w:t>
        <w:br/>
        <w:t xml:space="preserve">  追加購入: 目標ポジションの40〜50%</w:t>
        <w:br/>
        <w:t xml:space="preserve">  トリガー: FY2026 1Q決算でナフサ転嫁状況の確認</w:t>
        <w:br/>
        <w:br/>
        <w:t>▶ フェーズ3（3〜6ヶ月）: 最終積み増し</w:t>
        <w:br/>
        <w:t xml:space="preserve">  エントリーゾーン: ¥1,900〜¥2,200</w:t>
        <w:br/>
        <w:t xml:space="preserve">  追加購入: 残り10〜20%</w:t>
        <w:br/>
        <w:t xml:space="preserve">  トリガー: 転嫁進捗・増配アナウンスの確認</w:t>
      </w:r>
    </w:p>
    <w:p/>
    <w:p>
      <w:pPr>
        <w:pStyle w:val="Heading3"/>
      </w:pPr>
      <w:r>
        <w:rPr>
          <w:rFonts w:ascii="Meiryo UI" w:hAnsi="Meiryo UI"/>
          <w:color w:val="2E74B5"/>
        </w:rPr>
        <w:t>8-2. 損切りライン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【損切り（ストップロス）設定】</w:t>
        <w:br/>
        <w:br/>
        <w:t>テクニカル損切り: ¥1,650（▲16.2%）</w:t>
        <w:br/>
        <w:t xml:space="preserve">  = 弱気DCFシナリオの下値ターゲット</w:t>
        <w:br/>
        <w:t xml:space="preserve">  = ここを下回ると「転嫁失敗＋需要急減」シナリオ</w:t>
        <w:br/>
        <w:br/>
        <w:t>ファンダメンタルズ損切りトリガー（いずれかに該当時）:</w:t>
        <w:br/>
        <w:t xml:space="preserve">  ① 通期EPS見通しが¥100を下回る下方修正</w:t>
        <w:br/>
        <w:t xml:space="preserve">  ② ROEが2%を下回る水準に低下</w:t>
        <w:br/>
        <w:t xml:space="preserve">  ③ 自己資本比率が50%を下回る</w:t>
        <w:br/>
        <w:t xml:space="preserve">  ④ ナフサ価格がさらに+30%上昇（WTI $145超）かつ転嫁進まず</w:t>
      </w:r>
    </w:p>
    <w:p/>
    <w:p>
      <w:pPr>
        <w:pStyle w:val="Heading3"/>
      </w:pPr>
      <w:r>
        <w:rPr>
          <w:rFonts w:ascii="Meiryo UI" w:hAnsi="Meiryo UI"/>
          <w:color w:val="2E74B5"/>
        </w:rPr>
        <w:t>8-3. 時間軸とターゲット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【投資時間軸とターゲット】</w:t>
        <w:br/>
        <w:br/>
        <w:t>短期（3〜6ヶ月）:</w:t>
        <w:br/>
        <w:t xml:space="preserve">  目標: ¥2,200〜¥2,500</w:t>
        <w:br/>
        <w:t xml:space="preserve">  カタリスト: FY2026 1Q決算・転嫁進捗確認</w:t>
        <w:br/>
        <w:br/>
        <w:t>中期（6〜12ヶ月）:</w:t>
        <w:br/>
        <w:t xml:space="preserve">  目標: ¥2,800〜¥3,200</w:t>
        <w:br/>
        <w:t xml:space="preserve">  カタリスト: 転嫁完了・利益率回復・配当増額</w:t>
        <w:br/>
        <w:br/>
        <w:t>長期（12〜24ヶ月）:</w:t>
        <w:br/>
        <w:t xml:space="preserve">  目標: ¥3,500〜¥4,000</w:t>
        <w:br/>
        <w:t xml:space="preserve">  カタリスト: PBR 1.0倍回帰（東証低PBR対応）・ROE改善</w:t>
        <w:br/>
        <w:br/>
        <w:t>【推奨ポジションサイズ】</w:t>
        <w:br/>
        <w:t xml:space="preserve">  ポートフォリオの2〜4%（リスク調整後）</w:t>
        <w:br/>
        <w:t xml:space="preserve">  流動性低いため: 1回の購入は平均出来高の10〜15%以内に抑制</w:t>
      </w:r>
    </w:p>
    <w:p/>
    <w:p>
      <w:pPr>
        <w:pStyle w:val="Heading3"/>
      </w:pPr>
      <w:r>
        <w:rPr>
          <w:rFonts w:ascii="Meiryo UI" w:hAnsi="Meiryo UI"/>
          <w:color w:val="2E74B5"/>
        </w:rPr>
        <w:t>8-4. モニタリング項目（重要度順）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順位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モニタリング項目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確認頻度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アクション閾値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ナフサスポット価格（月次）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週次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+20%超→ポジション縮小検討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四半期営業利益率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決算毎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&lt;3%→弱気シナリオ移行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配当・自社株買いアナウンス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発表即時→買い増し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主要顧客・仕入先の動向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月次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サプライチェーン障害→即座見直し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WTI原油価格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日次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$130超継続→全ポジション見直し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Rf変動による理論株価感応度テーブル</w:t>
      </w:r>
    </w:p>
    <w:p/>
    <w:p>
      <w:r>
        <w:rPr>
          <w:rFonts w:ascii="Meiryo UI" w:hAnsi="Meiryo UI"/>
          <w:sz w:val="20"/>
        </w:rPr>
        <w:t>前提: WACC計算式 = [0.85 × (Rf + 0.75 × 5.5%)] + [0.15 × 1.5% × 0.70]</w:t>
      </w:r>
    </w:p>
    <w:p>
      <w:r>
        <w:rPr>
          <w:rFonts w:ascii="Meiryo UI" w:hAnsi="Meiryo UI"/>
          <w:sz w:val="20"/>
        </w:rPr>
        <w:t>ターミナルグロース率（g）= 1.0%（ベースケース固定）</w:t>
      </w:r>
    </w:p>
    <w:p>
      <w:r>
        <w:rPr>
          <w:rFonts w:ascii="Meiryo UI" w:hAnsi="Meiryo UI"/>
          <w:sz w:val="20"/>
        </w:rPr>
        <w:t>現在株価: ¥1,969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−1.00%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1.386%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5.511%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4.852%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¥4,612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+134.2%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−0.50%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6.011%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5.272%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¥4,178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+112.2%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−0.25%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2.136%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6.261%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5.481%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¥3,985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+102.4%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ベース（現状）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6.511%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5.692%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¥3,857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+95.9%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2.636%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6.761%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5.903%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¥3,676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+86.7%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7.011%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6.114%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¥3,440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+74.7%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3.386%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7.511%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6.535%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¥3,084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+56.6%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9-2. 感応度分析のビジュアル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Rf変動による理論株価の変化（ベースケース DCF）</w:t>
        <w:br/>
        <w:br/>
        <w:t>理論株価</w:t>
        <w:br/>
        <w:t>¥5,000 ┤</w:t>
        <w:br/>
        <w:t>¥4,612 ●  Rf=1.386%</w:t>
        <w:br/>
        <w:t>¥4,500 ┤</w:t>
        <w:br/>
        <w:t>¥4,178 ●  Rf=1.886%</w:t>
        <w:br/>
        <w:t>¥4,000 ┤</w:t>
        <w:br/>
        <w:t>¥3,985 ●  Rf=2.136%</w:t>
        <w:br/>
        <w:t>¥3,857 ★  Rf=2.386%（ベース）← 現在</w:t>
        <w:br/>
        <w:t>¥3,676 ●  Rf=2.636%</w:t>
        <w:br/>
        <w:t>¥3,500 ┤</w:t>
        <w:br/>
        <w:t>¥3,440 ●  Rf=2.886%</w:t>
        <w:br/>
        <w:t>¥3,084 ●  Rf=3.386%</w:t>
        <w:br/>
        <w:t>¥3,000 ┤</w:t>
        <w:br/>
        <w:t xml:space="preserve">       ┼──────────────────────────────</w:t>
        <w:br/>
        <w:t>¥1,969 ══ 現在株価ライン（全シナリオで大幅なアップサイド）</w:t>
        <w:br/>
        <w:t xml:space="preserve">       ┼──────────────────────────────</w:t>
        <w:br/>
        <w:t>¥1,650    損切りライン（弱気DCF下値）</w:t>
      </w:r>
    </w:p>
    <w:p/>
    <w:p>
      <w:pPr>
        <w:pStyle w:val="Heading3"/>
      </w:pPr>
      <w:r>
        <w:rPr>
          <w:rFonts w:ascii="Meiryo UI" w:hAnsi="Meiryo UI"/>
          <w:color w:val="2E74B5"/>
        </w:rPr>
        <w:t>9-3. 感応度分析の含意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【深井所見：金利感応度評価】</w:t>
        <w:br/>
        <w:br/>
        <w:t>① 全Rfシナリオで理論株価が現在株価¥1,969を大幅上回る</w:t>
        <w:br/>
        <w:t xml:space="preserve">  → Rfが1%上昇しても理論株価¥3,084 = 現在比+56.6%</w:t>
        <w:br/>
        <w:t xml:space="preserve">  → 金利上昇リスクは存在するが、割安度の大きさがバッファを形成</w:t>
        <w:br/>
        <w:br/>
        <w:t>② Rf上昇の感応度は中程度（1%上昇 → 理論株価▲20.0%）</w:t>
        <w:br/>
        <w:t xml:space="preserve">  → 長期成長型グロース株ほどは影響を受けない</w:t>
        <w:br/>
        <w:t xml:space="preserve">  → 低g（1.0%）設定がターミナルバリューの金利感応度を抑制</w:t>
        <w:br/>
        <w:br/>
        <w:t>③ 現在の日本金利環境（JGB10Y=2.386%）での投資:</w:t>
        <w:br/>
        <w:t xml:space="preserve">  → インフレ再燃・日銀利上げリスク（Rf+0.50%）でも理論株価¥3,440</w:t>
        <w:br/>
        <w:t xml:space="preserve">  → 安全域は依然として十分</w:t>
        <w:br/>
        <w:br/>
        <w:t>【金利リスク評価: 低〜中程度】</w:t>
        <w:br/>
        <w:t xml:space="preserve">  大幅な金利上昇（Rf+1.00%超）でも投資判断「買い」は維持される。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エグゼクティブサマリー（社長向け）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╔══════════════════════════════════════════════════════════════╗</w:t>
        <w:br/>
        <w:t>║  大伸化学（4629）エグゼクティブサマリー                         ║</w:t>
        <w:br/>
        <w:t>║  作成: 深井（竹村トレードカンパニー）/ 2026-04-07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                                                            ║</w:t>
        <w:br/>
        <w:t>║  【結論】 投資判断: BUY（買い）                                ║</w:t>
        <w:br/>
        <w:t>║          12ヶ月目標株価: ¥2,800〜¥3,200                      ║</w:t>
        <w:br/>
        <w:t>║          DCFベース理論株価: ¥3,857（+95.9%）                  ║</w:t>
        <w:br/>
        <w:t>║                                                              ║</w:t>
        <w:br/>
        <w:t>║  【社長指示への回答】                                          ║</w:t>
        <w:br/>
        <w:t>║                                                              ║</w:t>
        <w:br/>
        <w:t>║  Q: ナフサ高騰は大丈夫か？                                     ║</w:t>
        <w:br/>
        <w:t>║  A: 短期（1〜2四半期）は利益圧迫。転嫁ラグ3〜4ヶ月で            ║</w:t>
        <w:br/>
        <w:t>║     営業利益率が5.3%→3.2%（50%転嫁ベース）に低下。            ║</w:t>
        <w:br/>
        <w:t>║     2〜3四半期後に正常化見込み。「大丈夫だが一時的に痛い」。      ║</w:t>
        <w:br/>
        <w:t>║                                                              ║</w:t>
        <w:br/>
        <w:t>║  Q: 調達難リスクは？                                          ║</w:t>
        <w:br/>
        <w:t>║  A: アクリル系モノマーの国内寡占サプライヤー依存が最大リスク。    ║</w:t>
        <w:br/>
        <w:t>║     芳香族溶剤は代替容易。供給障害確率は低いが顕在化時の        ║</w:t>
        <w:br/>
        <w:t>║     影響は大きい（3〜6ヶ月の代替確立ラグ）。                   ║</w:t>
        <w:br/>
        <w:t>║                                                              ║</w:t>
        <w:br/>
        <w:t>║  Q: コスト転嫁力は？                                          ║</w:t>
        <w:br/>
        <w:t>║  A: 過去実績50〜70%。転嫁ラグ平均3〜4四半期。                  ║</w:t>
        <w:br/>
        <w:t>║     中堅以下顧客には比較的強い。大手顧客へは弱い。              ║</w:t>
        <w:br/>
        <w:t>║                                                              ║</w:t>
        <w:br/>
        <w:t>║  Q: 不動産NAVは？                                            ║</w:t>
        <w:br/>
        <w:t>║  A: NAV/株推計¥3,802。現在株価はNAVの0.52倍。                ║</w:t>
        <w:br/>
        <w:t>║     土地含み益（税引後）¥595M程度。「解散価値の半値」確認。      ║</w:t>
        <w:br/>
        <w:t>║                                                              ║</w:t>
        <w:br/>
        <w:t>║  Q: ナフサ逆風でもバリュー割安か？                              ║</w:t>
        <w:br/>
        <w:t>║  A: 【YES】。最悪シナリオ（転嫁ゼロ）でも下値¥1,650（▲16%）。  ║</w:t>
        <w:br/>
        <w:t>║     ベースシナリオでは+96%のアップサイド。                      ║</w:t>
        <w:br/>
        <w:t>║     ただし「短期的な業績圧迫は受け入れる」前提での投資。         ║</w:t>
        <w:br/>
        <w:t>║                                                              ║</w:t>
        <w:br/>
        <w:t>║  【推奨アクション】                                            ║</w:t>
        <w:br/>
        <w:t>║  ①¥1,800〜¥2,000でポジション30〜40%構築（即時〜1週間）        ║</w:t>
        <w:br/>
        <w:t>║  ②1Q決算後（3ヶ月）に転嫁進捗確認 → 追加40〜50%              ║</w:t>
        <w:br/>
        <w:t>║  ③損切りライン: ¥1,650（ファンダメンタルズ悪化確認後）           ║</w:t>
        <w:br/>
        <w:t>║  ④ポジションサイズ: PF比2〜4%推奨（低流動性考慮）              ║</w:t>
        <w:br/>
        <w:t>║   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╚══════════════════════════════════════════════════════════════╝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免責事項: 本レポートは竹村トレードカンパニー社内分析用途に限定。財務数値の一部（売上高・FCF等）は公開情報からの推計値を含む。投資判断は最終的に社長の責任において行われるものとし、本レポートは意思決定の補助資料である。大伸化学の詳細な非公開財務データへのアクセスが可能となった場合、本分析の更新を推奨する。</w:t>
      </w:r>
    </w:p>
    <w:p/>
    <w:p>
      <w:r>
        <w:rPr>
          <w:rFonts w:ascii="Meiryo UI" w:hAnsi="Meiryo UI"/>
          <w:sz w:val="20"/>
        </w:rPr>
        <w:t>深井 | 竹村トレードカンパニー アナリスト | 2026-04-07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2.386%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日本10年国債（JGB10Y）2.386%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2026-04-07 04:55 JST（財務省日次 R8.4.3）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4629_大伸化学_BUY_DeepResearch_20260407.md を出力しました。</w:t>
      </w:r>
    </w:p>
    <w:p>
      <w:r>
        <w:rPr>
          <w:rFonts w:ascii="Meiryo UI" w:hAnsi="Meiryo UI"/>
          <w:sz w:val="20"/>
        </w:rPr>
        <w:t>浅井スコア +0 の銘柄 [4629]大伸化学 についてDeepResearch完了。</w:t>
      </w:r>
    </w:p>
    <w:p>
      <w:r>
        <w:rPr>
          <w:rFonts w:ascii="Meiryo UI" w:hAnsi="Meiryo UI"/>
          <w:sz w:val="20"/>
        </w:rPr>
        <w:t>使用Rf: 2.386%（取得: 2026-04-07 04:55 JST（財務省日次 R8.4.3））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