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4629 大伸化学 Deep Research — 2026年4月27日</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4629 大伸化学 Deep Research — 2026年4月27日</w:t>
      </w:r>
    </w:p>
    <w:p>
      <w:pPr>
        <w:pStyle w:val="Heading2"/>
      </w:pPr>
      <w:r>
        <w:rPr>
          <w:rFonts w:ascii="Meiryo UI" w:hAnsi="Meiryo UI"/>
          <w:color w:val="2E74B5"/>
        </w:rPr>
        <w:t>竹村トレードカンパニー アナリスト：深井</w:t>
      </w:r>
    </w:p>
    <w:p/>
    <w:p>
      <w:r>
        <w:t>──────────────────────────────────────────────────</w:t>
      </w:r>
    </w:p>
    <w:p/>
    <w:p>
      <w:pPr>
        <w:pStyle w:val="Heading2"/>
      </w:pPr>
      <w:r>
        <w:rPr>
          <w:rFonts w:ascii="Meiryo UI" w:hAnsi="Meiryo UI"/>
          <w:color w:val="2E74B5"/>
        </w:rPr>
        <w:t>IRページ・コンタクト先（自律取得）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公式IRトップ</w:t>
            </w:r>
          </w:p>
        </w:tc>
        <w:tc>
          <w:tcPr>
            <w:tcW w:type="dxa" w:w="4703"/>
          </w:tcPr>
          <w:p>
            <w:r>
              <w:rPr>
                <w:rFonts w:ascii="Meiryo UI" w:hAnsi="Meiryo UI"/>
                <w:sz w:val="18"/>
              </w:rPr>
              <w:t>https://www.daishin-chemical.co.jp/ir/</w:t>
            </w:r>
          </w:p>
        </w:tc>
      </w:tr>
      <w:tr>
        <w:tc>
          <w:tcPr>
            <w:tcW w:type="dxa" w:w="4703"/>
            <w:shd w:val="clear" w:color="auto" w:fill="DDEBF7"/>
          </w:tcPr>
          <w:p>
            <w:r>
              <w:rPr>
                <w:rFonts w:ascii="Meiryo UI" w:hAnsi="Meiryo UI"/>
                <w:sz w:val="18"/>
              </w:rPr>
              <w:t>決算短信ライブラリー</w:t>
            </w:r>
          </w:p>
        </w:tc>
        <w:tc>
          <w:tcPr>
            <w:tcW w:type="dxa" w:w="4703"/>
            <w:shd w:val="clear" w:color="auto" w:fill="DDEBF7"/>
          </w:tcPr>
          <w:p>
            <w:r>
              <w:rPr>
                <w:rFonts w:ascii="Meiryo UI" w:hAnsi="Meiryo UI"/>
                <w:sz w:val="18"/>
              </w:rPr>
              <w:t>https://www.daishin-chemical.co.jp/ir/library/finance/</w:t>
            </w:r>
          </w:p>
        </w:tc>
      </w:tr>
      <w:tr>
        <w:tc>
          <w:tcPr>
            <w:tcW w:type="dxa" w:w="4703"/>
          </w:tcPr>
          <w:p>
            <w:r>
              <w:rPr>
                <w:rFonts w:ascii="Meiryo UI" w:hAnsi="Meiryo UI"/>
                <w:sz w:val="18"/>
              </w:rPr>
              <w:t>有価証券報告書等</w:t>
            </w:r>
          </w:p>
        </w:tc>
        <w:tc>
          <w:tcPr>
            <w:tcW w:type="dxa" w:w="4703"/>
          </w:tcPr>
          <w:p>
            <w:r>
              <w:rPr>
                <w:rFonts w:ascii="Meiryo UI" w:hAnsi="Meiryo UI"/>
                <w:sz w:val="18"/>
              </w:rPr>
              <w:t>https://www.daishin-chemical.co.jp/ir/library/report/</w:t>
            </w:r>
          </w:p>
        </w:tc>
      </w:tr>
      <w:tr>
        <w:tc>
          <w:tcPr>
            <w:tcW w:type="dxa" w:w="4703"/>
            <w:shd w:val="clear" w:color="auto" w:fill="DDEBF7"/>
          </w:tcPr>
          <w:p>
            <w:r>
              <w:rPr>
                <w:rFonts w:ascii="Meiryo UI" w:hAnsi="Meiryo UI"/>
                <w:sz w:val="18"/>
              </w:rPr>
              <w:t>お問い合わせフォーム</w:t>
            </w:r>
          </w:p>
        </w:tc>
        <w:tc>
          <w:tcPr>
            <w:tcW w:type="dxa" w:w="4703"/>
            <w:shd w:val="clear" w:color="auto" w:fill="DDEBF7"/>
          </w:tcPr>
          <w:p>
            <w:r>
              <w:rPr>
                <w:rFonts w:ascii="Meiryo UI" w:hAnsi="Meiryo UI"/>
                <w:sz w:val="18"/>
              </w:rPr>
              <w:t>https://www.daishin-chemical.co.jp/inquiry/</w:t>
            </w:r>
          </w:p>
        </w:tc>
      </w:tr>
      <w:tr>
        <w:tc>
          <w:tcPr>
            <w:tcW w:type="dxa" w:w="4703"/>
          </w:tcPr>
          <w:p>
            <w:r>
              <w:rPr>
                <w:rFonts w:ascii="Meiryo UI" w:hAnsi="Meiryo UI"/>
                <w:sz w:val="18"/>
              </w:rPr>
              <w:t>本社FAX</w:t>
            </w:r>
          </w:p>
        </w:tc>
        <w:tc>
          <w:tcPr>
            <w:tcW w:type="dxa" w:w="4703"/>
          </w:tcPr>
          <w:p>
            <w:r>
              <w:rPr>
                <w:rFonts w:ascii="Meiryo UI" w:hAnsi="Meiryo UI"/>
                <w:sz w:val="18"/>
              </w:rPr>
              <w:t>(03)3433-3618</w:t>
            </w:r>
          </w:p>
        </w:tc>
      </w:tr>
      <w:tr>
        <w:tc>
          <w:tcPr>
            <w:tcW w:type="dxa" w:w="4703"/>
            <w:shd w:val="clear" w:color="auto" w:fill="DDEBF7"/>
          </w:tcPr>
          <w:p>
            <w:r>
              <w:rPr>
                <w:rFonts w:ascii="Meiryo UI" w:hAnsi="Meiryo UI"/>
                <w:sz w:val="18"/>
              </w:rPr>
              <w:t>大阪支店FAX</w:t>
            </w:r>
          </w:p>
        </w:tc>
        <w:tc>
          <w:tcPr>
            <w:tcW w:type="dxa" w:w="4703"/>
            <w:shd w:val="clear" w:color="auto" w:fill="DDEBF7"/>
          </w:tcPr>
          <w:p>
            <w:r>
              <w:rPr>
                <w:rFonts w:ascii="Meiryo UI" w:hAnsi="Meiryo UI"/>
                <w:sz w:val="18"/>
              </w:rPr>
              <w:t>(06)6228-1767</w:t>
            </w:r>
          </w:p>
        </w:tc>
      </w:tr>
      <w:tr>
        <w:tc>
          <w:tcPr>
            <w:tcW w:type="dxa" w:w="4703"/>
          </w:tcPr>
          <w:p>
            <w:r>
              <w:rPr>
                <w:rFonts w:ascii="Meiryo UI" w:hAnsi="Meiryo UI"/>
                <w:sz w:val="18"/>
              </w:rPr>
              <w:t>名古屋支店FAX</w:t>
            </w:r>
          </w:p>
        </w:tc>
        <w:tc>
          <w:tcPr>
            <w:tcW w:type="dxa" w:w="4703"/>
          </w:tcPr>
          <w:p>
            <w:r>
              <w:rPr>
                <w:rFonts w:ascii="Meiryo UI" w:hAnsi="Meiryo UI"/>
                <w:sz w:val="18"/>
              </w:rPr>
              <w:t>(052)561-7505</w:t>
            </w:r>
          </w:p>
        </w:tc>
      </w:tr>
      <w:tr>
        <w:tc>
          <w:tcPr>
            <w:tcW w:type="dxa" w:w="4703"/>
            <w:shd w:val="clear" w:color="auto" w:fill="DDEBF7"/>
          </w:tcPr>
          <w:p>
            <w:r>
              <w:rPr>
                <w:rFonts w:ascii="Meiryo UI" w:hAnsi="Meiryo UI"/>
                <w:sz w:val="18"/>
              </w:rPr>
              <w:t>次回決算発表予定</w:t>
            </w:r>
          </w:p>
        </w:tc>
        <w:tc>
          <w:tcPr>
            <w:tcW w:type="dxa" w:w="4703"/>
            <w:shd w:val="clear" w:color="auto" w:fill="DDEBF7"/>
          </w:tcPr>
          <w:p>
            <w:r>
              <w:rPr>
                <w:rFonts w:ascii="Meiryo UI" w:hAnsi="Meiryo UI"/>
                <w:sz w:val="18"/>
              </w:rPr>
              <w:t>2026年5月14日（2026年3月期通期）</w:t>
            </w:r>
          </w:p>
        </w:tc>
      </w:tr>
    </w:tbl>
    <w:p/>
    <w:p>
      <w:r>
        <w:t>──────────────────────────────────────────────────</w:t>
      </w:r>
    </w:p>
    <w:p/>
    <w:p>
      <w:pPr>
        <w:pStyle w:val="Heading2"/>
      </w:pPr>
      <w:r>
        <w:rPr>
          <w:rFonts w:ascii="Meiryo UI" w:hAnsi="Meiryo UI"/>
          <w:color w:val="2E74B5"/>
        </w:rPr>
        <w:t>1. 冒頭10秒サマリー【結論ファースト】</w:t>
      </w:r>
    </w:p>
    <w:p/>
    <w:p>
      <w:pPr>
        <w:shd w:val="clear" w:color="auto" w:fill="F2F2F2"/>
      </w:pPr>
      <w:r>
        <w:rPr>
          <w:rFonts w:ascii="Courier New" w:hAnsi="Courier New"/>
          <w:sz w:val="16"/>
        </w:rPr>
        <w:t>投資判断：BUY　　スコア：+72</w:t>
        <w:br/>
        <w:br/>
        <w:t>TP Base：¥2,800　Bull：¥3,600　Bear：¥1,600</w:t>
        <w:br/>
        <w:t>現在株価（リアルタイム取得）：¥1,949</w:t>
        <w:br/>
        <w:t>安全域（Base TP比）：＋43.7%</w:t>
        <w:br/>
        <w:br/>
        <w:t>強気理由 3弾丸：</w:t>
        <w:br/>
        <w:t>① PBR 0.52倍×BPS ¥3,728 → 純資産の半値以下で買える異常割安</w:t>
        <w:br/>
        <w:t>② 国内シンナー首位（シェア約30%）×ホルムズ/中国規制ダブル品薄で販売価格75〜80%急騰中、転嫁余地最大</w:t>
        <w:br/>
        <w:t>③ 自己資本比率65%超・有利子負債ほぼゼロ（借入金/総資産1.8%）の超健全BSで下値硬直</w:t>
        <w:br/>
        <w:br/>
        <w:t>最大リスク：ナフサ調達コスト急騰が販売価格転嫁より先行 → 短期的にOP圧縮</w:t>
        <w:br/>
        <w:br/>
        <w:t>推奨アクション：</w:t>
        <w:br/>
        <w:t>- 今すぐ打診30%（PBR0.52は統計的に上位バリュー水準）</w:t>
        <w:br/>
        <w:t>- 本玉は5月14日通期決算 + 価格転嫁実績確認後にエントリー残り70%</w:t>
      </w:r>
    </w:p>
    <w:p/>
    <w:p>
      <w:r>
        <w:t>──────────────────────────────────────────────────</w:t>
      </w:r>
    </w:p>
    <w:p/>
    <w:p>
      <w:pPr>
        <w:pStyle w:val="Heading2"/>
      </w:pPr>
      <w:r>
        <w:rPr>
          <w:rFonts w:ascii="Meiryo UI" w:hAnsi="Meiryo UI"/>
          <w:color w:val="2E74B5"/>
        </w:rPr>
        <w:t>2. 企業概要・事業内容</w:t>
      </w:r>
    </w:p>
    <w:p/>
    <w:p>
      <w:pPr>
        <w:pStyle w:val="Heading3"/>
      </w:pPr>
      <w:r>
        <w:rPr>
          <w:rFonts w:ascii="Meiryo UI" w:hAnsi="Meiryo UI"/>
          <w:color w:val="2E74B5"/>
        </w:rPr>
        <w:t>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大伸化学株式会社</w:t>
            </w:r>
          </w:p>
        </w:tc>
      </w:tr>
      <w:tr>
        <w:tc>
          <w:tcPr>
            <w:tcW w:type="dxa" w:w="4703"/>
            <w:shd w:val="clear" w:color="auto" w:fill="DDEBF7"/>
          </w:tcPr>
          <w:p>
            <w:r>
              <w:rPr>
                <w:rFonts w:ascii="Meiryo UI" w:hAnsi="Meiryo UI"/>
                <w:sz w:val="18"/>
              </w:rPr>
              <w:t>英文名</w:t>
            </w:r>
          </w:p>
        </w:tc>
        <w:tc>
          <w:tcPr>
            <w:tcW w:type="dxa" w:w="4703"/>
            <w:shd w:val="clear" w:color="auto" w:fill="DDEBF7"/>
          </w:tcPr>
          <w:p>
            <w:r>
              <w:rPr>
                <w:rFonts w:ascii="Meiryo UI" w:hAnsi="Meiryo UI"/>
                <w:sz w:val="18"/>
              </w:rPr>
              <w:t>Daishin Chemical Co., Ltd.</w:t>
            </w:r>
          </w:p>
        </w:tc>
      </w:tr>
      <w:tr>
        <w:tc>
          <w:tcPr>
            <w:tcW w:type="dxa" w:w="4703"/>
          </w:tcPr>
          <w:p>
            <w:r>
              <w:rPr>
                <w:rFonts w:ascii="Meiryo UI" w:hAnsi="Meiryo UI"/>
                <w:sz w:val="18"/>
              </w:rPr>
              <w:t>証券コード</w:t>
            </w:r>
          </w:p>
        </w:tc>
        <w:tc>
          <w:tcPr>
            <w:tcW w:type="dxa" w:w="4703"/>
          </w:tcPr>
          <w:p>
            <w:r>
              <w:rPr>
                <w:rFonts w:ascii="Meiryo UI" w:hAnsi="Meiryo UI"/>
                <w:sz w:val="18"/>
              </w:rPr>
              <w:t>4629（東証スタンダード）</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1952年12月11日</w:t>
            </w:r>
          </w:p>
        </w:tc>
      </w:tr>
      <w:tr>
        <w:tc>
          <w:tcPr>
            <w:tcW w:type="dxa" w:w="4703"/>
          </w:tcPr>
          <w:p>
            <w:r>
              <w:rPr>
                <w:rFonts w:ascii="Meiryo UI" w:hAnsi="Meiryo UI"/>
                <w:sz w:val="18"/>
              </w:rPr>
              <w:t>資本金</w:t>
            </w:r>
          </w:p>
        </w:tc>
        <w:tc>
          <w:tcPr>
            <w:tcW w:type="dxa" w:w="4703"/>
          </w:tcPr>
          <w:p>
            <w:r>
              <w:rPr>
                <w:rFonts w:ascii="Meiryo UI" w:hAnsi="Meiryo UI"/>
                <w:sz w:val="18"/>
              </w:rPr>
              <w:t>7億2,900万円</w:t>
            </w:r>
          </w:p>
        </w:tc>
      </w:tr>
      <w:tr>
        <w:tc>
          <w:tcPr>
            <w:tcW w:type="dxa" w:w="4703"/>
            <w:shd w:val="clear" w:color="auto" w:fill="DDEBF7"/>
          </w:tcPr>
          <w:p>
            <w:r>
              <w:rPr>
                <w:rFonts w:ascii="Meiryo UI" w:hAnsi="Meiryo UI"/>
                <w:sz w:val="18"/>
              </w:rPr>
              <w:t>代表者</w:t>
            </w:r>
          </w:p>
        </w:tc>
        <w:tc>
          <w:tcPr>
            <w:tcW w:type="dxa" w:w="4703"/>
            <w:shd w:val="clear" w:color="auto" w:fill="DDEBF7"/>
          </w:tcPr>
          <w:p>
            <w:r>
              <w:rPr>
                <w:rFonts w:ascii="Meiryo UI" w:hAnsi="Meiryo UI"/>
                <w:sz w:val="18"/>
              </w:rPr>
              <w:t>堀越 進</w:t>
            </w:r>
          </w:p>
        </w:tc>
      </w:tr>
      <w:tr>
        <w:tc>
          <w:tcPr>
            <w:tcW w:type="dxa" w:w="4703"/>
          </w:tcPr>
          <w:p>
            <w:r>
              <w:rPr>
                <w:rFonts w:ascii="Meiryo UI" w:hAnsi="Meiryo UI"/>
                <w:sz w:val="18"/>
              </w:rPr>
              <w:t>連結従業員</w:t>
            </w:r>
          </w:p>
        </w:tc>
        <w:tc>
          <w:tcPr>
            <w:tcW w:type="dxa" w:w="4703"/>
          </w:tcPr>
          <w:p>
            <w:r>
              <w:rPr>
                <w:rFonts w:ascii="Meiryo UI" w:hAnsi="Meiryo UI"/>
                <w:sz w:val="18"/>
              </w:rPr>
              <w:t>231名（単体190名、2025年3月31日現在）</w:t>
            </w:r>
          </w:p>
        </w:tc>
      </w:tr>
      <w:tr>
        <w:tc>
          <w:tcPr>
            <w:tcW w:type="dxa" w:w="4703"/>
            <w:shd w:val="clear" w:color="auto" w:fill="DDEBF7"/>
          </w:tcPr>
          <w:p>
            <w:r>
              <w:rPr>
                <w:rFonts w:ascii="Meiryo UI" w:hAnsi="Meiryo UI"/>
                <w:sz w:val="18"/>
              </w:rPr>
              <w:t>主要工場</w:t>
            </w:r>
          </w:p>
        </w:tc>
        <w:tc>
          <w:tcPr>
            <w:tcW w:type="dxa" w:w="4703"/>
            <w:shd w:val="clear" w:color="auto" w:fill="DDEBF7"/>
          </w:tcPr>
          <w:p>
            <w:r>
              <w:rPr>
                <w:rFonts w:ascii="Meiryo UI" w:hAnsi="Meiryo UI"/>
                <w:sz w:val="18"/>
              </w:rPr>
              <w:t>越谷工場（埼玉）・兵庫工場</w:t>
            </w:r>
          </w:p>
        </w:tc>
      </w:tr>
      <w:tr>
        <w:tc>
          <w:tcPr>
            <w:tcW w:type="dxa" w:w="4703"/>
          </w:tcPr>
          <w:p>
            <w:r>
              <w:rPr>
                <w:rFonts w:ascii="Meiryo UI" w:hAnsi="Meiryo UI"/>
                <w:sz w:val="18"/>
              </w:rPr>
              <w:t>主要取引銀行</w:t>
            </w:r>
          </w:p>
        </w:tc>
        <w:tc>
          <w:tcPr>
            <w:tcW w:type="dxa" w:w="4703"/>
          </w:tcPr>
          <w:p>
            <w:r>
              <w:rPr>
                <w:rFonts w:ascii="Meiryo UI" w:hAnsi="Meiryo UI"/>
                <w:sz w:val="18"/>
              </w:rPr>
              <w:t>三井住友銀行・三菱UFJ銀行・みずほ銀行・三井住友信託・りそな</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3月31日</w:t>
            </w:r>
          </w:p>
        </w:tc>
      </w:tr>
    </w:tbl>
    <w:p/>
    <w:p>
      <w:pPr>
        <w:pStyle w:val="Heading3"/>
      </w:pPr>
      <w:r>
        <w:rPr>
          <w:rFonts w:ascii="Meiryo UI" w:hAnsi="Meiryo UI"/>
          <w:color w:val="2E74B5"/>
        </w:rPr>
        <w:t>セグメント構成</w:t>
      </w:r>
    </w:p>
    <w:p/>
    <w:p>
      <w:r>
        <w:rPr>
          <w:rFonts w:ascii="Meiryo UI" w:hAnsi="Meiryo UI"/>
          <w:sz w:val="20"/>
        </w:rPr>
        <w:t>大伸化学は化学品事業の単一セグメントで事業を展開している。シンナー専業で国内首位、塗料・印刷インキ業界を主要顧客に持つ純粋な有機溶剤メーカー。</w:t>
      </w:r>
    </w:p>
    <w:p/>
    <w:p>
      <w:pPr>
        <w:pStyle w:val="Heading4"/>
      </w:pPr>
      <w:r>
        <w:rPr>
          <w:rFonts w:ascii="Meiryo UI" w:hAnsi="Meiryo UI"/>
          <w:color w:val="2E74B5"/>
        </w:rPr>
        <w:t>2025年3月期 品目別売上高（公式開示ベース）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品目</w:t>
            </w:r>
          </w:p>
        </w:tc>
        <w:tc>
          <w:tcPr>
            <w:tcW w:type="dxa" w:w="3135"/>
            <w:shd w:val="clear" w:color="auto" w:fill="2E74B5"/>
          </w:tcPr>
          <w:p>
            <w:r>
              <w:rPr>
                <w:rFonts w:ascii="Meiryo UI" w:hAnsi="Meiryo UI"/>
                <w:b/>
                <w:color w:val="FFFFFF"/>
                <w:sz w:val="18"/>
              </w:rPr>
              <w:t>売上高</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単一溶剤類（トルエン・キシレン等）</w:t>
            </w:r>
          </w:p>
        </w:tc>
        <w:tc>
          <w:tcPr>
            <w:tcW w:type="dxa" w:w="3135"/>
          </w:tcPr>
          <w:p>
            <w:r>
              <w:rPr>
                <w:rFonts w:ascii="Meiryo UI" w:hAnsi="Meiryo UI"/>
                <w:sz w:val="18"/>
              </w:rPr>
              <w:t>135億6,900万円</w:t>
            </w:r>
          </w:p>
        </w:tc>
        <w:tc>
          <w:tcPr>
            <w:tcW w:type="dxa" w:w="3135"/>
          </w:tcPr>
          <w:p>
            <w:r>
              <w:rPr>
                <w:rFonts w:ascii="Meiryo UI" w:hAnsi="Meiryo UI"/>
                <w:sz w:val="18"/>
              </w:rPr>
              <w:t>+7.4%</w:t>
            </w:r>
          </w:p>
        </w:tc>
      </w:tr>
      <w:tr>
        <w:tc>
          <w:tcPr>
            <w:tcW w:type="dxa" w:w="3135"/>
            <w:shd w:val="clear" w:color="auto" w:fill="DDEBF7"/>
          </w:tcPr>
          <w:p>
            <w:r>
              <w:rPr>
                <w:rFonts w:ascii="Meiryo UI" w:hAnsi="Meiryo UI"/>
                <w:sz w:val="18"/>
              </w:rPr>
              <w:t>印刷用溶剤類</w:t>
            </w:r>
          </w:p>
        </w:tc>
        <w:tc>
          <w:tcPr>
            <w:tcW w:type="dxa" w:w="3135"/>
            <w:shd w:val="clear" w:color="auto" w:fill="DDEBF7"/>
          </w:tcPr>
          <w:p>
            <w:r>
              <w:rPr>
                <w:rFonts w:ascii="Meiryo UI" w:hAnsi="Meiryo UI"/>
                <w:sz w:val="18"/>
              </w:rPr>
              <w:t>63億8,000万円</w:t>
            </w:r>
          </w:p>
        </w:tc>
        <w:tc>
          <w:tcPr>
            <w:tcW w:type="dxa" w:w="3135"/>
            <w:shd w:val="clear" w:color="auto" w:fill="DDEBF7"/>
          </w:tcPr>
          <w:p>
            <w:r>
              <w:rPr>
                <w:rFonts w:ascii="Meiryo UI" w:hAnsi="Meiryo UI"/>
                <w:sz w:val="18"/>
              </w:rPr>
              <w:t>+7.9%</w:t>
            </w:r>
          </w:p>
        </w:tc>
      </w:tr>
      <w:tr>
        <w:tc>
          <w:tcPr>
            <w:tcW w:type="dxa" w:w="3135"/>
          </w:tcPr>
          <w:p>
            <w:r>
              <w:rPr>
                <w:rFonts w:ascii="Meiryo UI" w:hAnsi="Meiryo UI"/>
                <w:sz w:val="18"/>
              </w:rPr>
              <w:t>特殊シンナー類</w:t>
            </w:r>
          </w:p>
        </w:tc>
        <w:tc>
          <w:tcPr>
            <w:tcW w:type="dxa" w:w="3135"/>
          </w:tcPr>
          <w:p>
            <w:r>
              <w:rPr>
                <w:rFonts w:ascii="Meiryo UI" w:hAnsi="Meiryo UI"/>
                <w:sz w:val="18"/>
              </w:rPr>
              <w:t>38億3,700万円</w:t>
            </w:r>
          </w:p>
        </w:tc>
        <w:tc>
          <w:tcPr>
            <w:tcW w:type="dxa" w:w="3135"/>
          </w:tcPr>
          <w:p>
            <w:r>
              <w:rPr>
                <w:rFonts w:ascii="Meiryo UI" w:hAnsi="Meiryo UI"/>
                <w:sz w:val="18"/>
              </w:rPr>
              <w:t>+10.5%</w:t>
            </w:r>
          </w:p>
        </w:tc>
      </w:tr>
      <w:tr>
        <w:tc>
          <w:tcPr>
            <w:tcW w:type="dxa" w:w="3135"/>
            <w:shd w:val="clear" w:color="auto" w:fill="DDEBF7"/>
          </w:tcPr>
          <w:p>
            <w:r>
              <w:rPr>
                <w:rFonts w:ascii="Meiryo UI" w:hAnsi="Meiryo UI"/>
                <w:sz w:val="18"/>
              </w:rPr>
              <w:t>洗浄用シンナー類</w:t>
            </w:r>
          </w:p>
        </w:tc>
        <w:tc>
          <w:tcPr>
            <w:tcW w:type="dxa" w:w="3135"/>
            <w:shd w:val="clear" w:color="auto" w:fill="DDEBF7"/>
          </w:tcPr>
          <w:p>
            <w:r>
              <w:rPr>
                <w:rFonts w:ascii="Meiryo UI" w:hAnsi="Meiryo UI"/>
                <w:sz w:val="18"/>
              </w:rPr>
              <w:t>22億2,400万円</w:t>
            </w:r>
          </w:p>
        </w:tc>
        <w:tc>
          <w:tcPr>
            <w:tcW w:type="dxa" w:w="3135"/>
            <w:shd w:val="clear" w:color="auto" w:fill="DDEBF7"/>
          </w:tcPr>
          <w:p>
            <w:r>
              <w:rPr>
                <w:rFonts w:ascii="Meiryo UI" w:hAnsi="Meiryo UI"/>
                <w:sz w:val="18"/>
              </w:rPr>
              <w:t>+2.7%</w:t>
            </w:r>
          </w:p>
        </w:tc>
      </w:tr>
      <w:tr>
        <w:tc>
          <w:tcPr>
            <w:tcW w:type="dxa" w:w="3135"/>
          </w:tcPr>
          <w:p>
            <w:r>
              <w:rPr>
                <w:rFonts w:ascii="Meiryo UI" w:hAnsi="Meiryo UI"/>
                <w:sz w:val="18"/>
              </w:rPr>
              <w:t>塗料・その他</w:t>
            </w:r>
          </w:p>
        </w:tc>
        <w:tc>
          <w:tcPr>
            <w:tcW w:type="dxa" w:w="3135"/>
          </w:tcPr>
          <w:p>
            <w:r>
              <w:rPr>
                <w:rFonts w:ascii="Meiryo UI" w:hAnsi="Meiryo UI"/>
                <w:sz w:val="18"/>
              </w:rPr>
              <w:t>23億500万円</w:t>
            </w:r>
          </w:p>
        </w:tc>
        <w:tc>
          <w:tcPr>
            <w:tcW w:type="dxa" w:w="3135"/>
          </w:tcPr>
          <w:p>
            <w:r>
              <w:rPr>
                <w:rFonts w:ascii="Meiryo UI" w:hAnsi="Meiryo UI"/>
                <w:sz w:val="18"/>
              </w:rPr>
              <w:t>+4.8%</w:t>
            </w:r>
          </w:p>
        </w:tc>
      </w:tr>
      <w:tr>
        <w:tc>
          <w:tcPr>
            <w:tcW w:type="dxa" w:w="3135"/>
            <w:shd w:val="clear" w:color="auto" w:fill="DDEBF7"/>
          </w:tcPr>
          <w:p>
            <w:r>
              <w:rPr>
                <w:rFonts w:ascii="Meiryo UI" w:hAnsi="Meiryo UI"/>
                <w:sz w:val="18"/>
              </w:rPr>
              <w:t>ラッカーシンナー類</w:t>
            </w:r>
          </w:p>
        </w:tc>
        <w:tc>
          <w:tcPr>
            <w:tcW w:type="dxa" w:w="3135"/>
            <w:shd w:val="clear" w:color="auto" w:fill="DDEBF7"/>
          </w:tcPr>
          <w:p>
            <w:r>
              <w:rPr>
                <w:rFonts w:ascii="Meiryo UI" w:hAnsi="Meiryo UI"/>
                <w:sz w:val="18"/>
              </w:rPr>
              <w:t>7億2,800万円</w:t>
            </w:r>
          </w:p>
        </w:tc>
        <w:tc>
          <w:tcPr>
            <w:tcW w:type="dxa" w:w="3135"/>
            <w:shd w:val="clear" w:color="auto" w:fill="DDEBF7"/>
          </w:tcPr>
          <w:p>
            <w:r>
              <w:rPr>
                <w:rFonts w:ascii="Meiryo UI" w:hAnsi="Meiryo UI"/>
                <w:sz w:val="18"/>
              </w:rPr>
              <w:t>+1.7%</w:t>
            </w:r>
          </w:p>
        </w:tc>
      </w:tr>
      <w:tr>
        <w:tc>
          <w:tcPr>
            <w:tcW w:type="dxa" w:w="3135"/>
          </w:tcPr>
          <w:p>
            <w:r>
              <w:rPr>
                <w:rFonts w:ascii="Meiryo UI" w:hAnsi="Meiryo UI"/>
                <w:sz w:val="18"/>
              </w:rPr>
              <w:t>合成樹脂塗料用シンナー類</w:t>
            </w:r>
          </w:p>
        </w:tc>
        <w:tc>
          <w:tcPr>
            <w:tcW w:type="dxa" w:w="3135"/>
          </w:tcPr>
          <w:p>
            <w:r>
              <w:rPr>
                <w:rFonts w:ascii="Meiryo UI" w:hAnsi="Meiryo UI"/>
                <w:sz w:val="18"/>
              </w:rPr>
              <w:t>5億9,700万円</w:t>
            </w:r>
          </w:p>
        </w:tc>
        <w:tc>
          <w:tcPr>
            <w:tcW w:type="dxa" w:w="3135"/>
          </w:tcPr>
          <w:p>
            <w:r>
              <w:rPr>
                <w:rFonts w:ascii="Meiryo UI" w:hAnsi="Meiryo UI"/>
                <w:sz w:val="18"/>
              </w:rPr>
              <w:t>+2.2%</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347億1,117万円</w:t>
            </w:r>
          </w:p>
        </w:tc>
        <w:tc>
          <w:tcPr>
            <w:tcW w:type="dxa" w:w="3135"/>
            <w:shd w:val="clear" w:color="auto" w:fill="DDEBF7"/>
          </w:tcPr>
          <w:p>
            <w:r>
              <w:rPr>
                <w:rFonts w:ascii="Meiryo UI" w:hAnsi="Meiryo UI"/>
                <w:sz w:val="18"/>
              </w:rPr>
              <w:t>+6.9%</w:t>
            </w:r>
          </w:p>
        </w:tc>
      </w:tr>
    </w:tbl>
    <w:p/>
    <w:p>
      <w:pPr>
        <w:pStyle w:val="Heading4"/>
      </w:pPr>
      <w:r>
        <w:rPr>
          <w:rFonts w:ascii="Meiryo UI" w:hAnsi="Meiryo UI"/>
          <w:color w:val="2E74B5"/>
        </w:rPr>
        <w:t>競合優位性・市場ポジション</w:t>
      </w:r>
    </w:p>
    <w:p/>
    <w:p>
      <w:pPr>
        <w:pStyle w:val="ListBullet"/>
      </w:pPr>
      <w:r>
        <w:rPr>
          <w:rFonts w:ascii="Meiryo UI" w:hAnsi="Meiryo UI"/>
          <w:sz w:val="20"/>
        </w:rPr>
        <w:t>国内シンナー専業首位・市場シェア約30%</w:t>
      </w:r>
    </w:p>
    <w:p>
      <w:pPr>
        <w:pStyle w:val="ListBullet"/>
      </w:pPr>
      <w:r>
        <w:rPr>
          <w:rFonts w:ascii="Meiryo UI" w:hAnsi="Meiryo UI"/>
          <w:sz w:val="20"/>
        </w:rPr>
        <w:t>約300種類の有機溶剤を石油缶からローリーまで多荷姿で提供（約32,000品種）</w:t>
      </w:r>
    </w:p>
    <w:p>
      <w:pPr>
        <w:pStyle w:val="ListBullet"/>
      </w:pPr>
      <w:r>
        <w:rPr>
          <w:rFonts w:ascii="Meiryo UI" w:hAnsi="Meiryo UI"/>
          <w:sz w:val="20"/>
        </w:rPr>
        <w:t>年間生産量約136,100トン</w:t>
      </w:r>
    </w:p>
    <w:p>
      <w:pPr>
        <w:pStyle w:val="ListBullet"/>
      </w:pPr>
      <w:r>
        <w:rPr>
          <w:rFonts w:ascii="Meiryo UI" w:hAnsi="Meiryo UI"/>
          <w:sz w:val="20"/>
        </w:rPr>
        <w:t>約900の販売代理店網による即日対応体制</w:t>
      </w:r>
    </w:p>
    <w:p>
      <w:pPr>
        <w:pStyle w:val="ListBullet"/>
      </w:pPr>
      <w:r>
        <w:rPr>
          <w:rFonts w:ascii="Meiryo UI" w:hAnsi="Meiryo UI"/>
          <w:sz w:val="20"/>
        </w:rPr>
        <w:t>顧客は塗料・印刷インキ・自動車・化学・医薬品業界と幅広く、需給逼迫時の価格交渉力が高い</w:t>
      </w:r>
    </w:p>
    <w:p/>
    <w:p>
      <w:pPr>
        <w:pStyle w:val="Heading4"/>
      </w:pPr>
      <w:r>
        <w:rPr>
          <w:rFonts w:ascii="Meiryo UI" w:hAnsi="Meiryo UI"/>
          <w:color w:val="2E74B5"/>
        </w:rPr>
        <w:t>シンナー・溶剤事業の製品ラインと特徴</w:t>
      </w:r>
    </w:p>
    <w:p/>
    <w:p>
      <w:r>
        <w:rPr>
          <w:rFonts w:ascii="Meiryo UI" w:hAnsi="Meiryo UI"/>
          <w:sz w:val="20"/>
        </w:rPr>
        <w:t>大伸化学の主力商品「単一溶剤類」にはトルエン・キシレン・MEK・酢酸エチル等が含まれる。中国の軍民両用規制（2026年1月6日発動）でトルエン・キシレンの対日輸出が制限を受け、同時にホルムズ封鎖によるナフサ供給途絶で国内製造も困難になっている。大伸化学はこれら溶剤を調達・ブレンドして販売する立場にあり、短期的には調達コスト上昇リスクと価格転嫁による利益拡大チャンスが同時進行する。</w:t>
      </w:r>
    </w:p>
    <w:p/>
    <w:p>
      <w:r>
        <w:t>──────────────────────────────────────────────────</w:t>
      </w:r>
    </w:p>
    <w:p/>
    <w:p>
      <w:pPr>
        <w:pStyle w:val="Heading2"/>
      </w:pPr>
      <w:r>
        <w:rPr>
          <w:rFonts w:ascii="Meiryo UI" w:hAnsi="Meiryo UI"/>
          <w:color w:val="2E74B5"/>
        </w:rPr>
        <w:t>3. 直近決算分析</w:t>
      </w:r>
    </w:p>
    <w:p/>
    <w:p>
      <w:pPr>
        <w:pStyle w:val="Heading3"/>
      </w:pPr>
      <w:r>
        <w:rPr>
          <w:rFonts w:ascii="Meiryo UI" w:hAnsi="Meiryo UI"/>
          <w:color w:val="2E74B5"/>
        </w:rPr>
        <w:t>業績推移（公式発表ベース・単位：百万円）</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決算期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営業利益率</w:t>
            </w:r>
          </w:p>
        </w:tc>
        <w:tc>
          <w:tcPr>
            <w:tcW w:type="dxa" w:w="1568"/>
            <w:shd w:val="clear" w:color="auto" w:fill="2E74B5"/>
          </w:tcPr>
          <w:p>
            <w:r>
              <w:rPr>
                <w:rFonts w:ascii="Meiryo UI" w:hAnsi="Meiryo UI"/>
                <w:b/>
                <w:color w:val="FFFFFF"/>
                <w:sz w:val="18"/>
              </w:rPr>
              <w:t>経常利益</w:t>
            </w:r>
          </w:p>
        </w:tc>
        <w:tc>
          <w:tcPr>
            <w:tcW w:type="dxa" w:w="1568"/>
            <w:shd w:val="clear" w:color="auto" w:fill="2E74B5"/>
          </w:tcPr>
          <w:p>
            <w:r>
              <w:rPr>
                <w:rFonts w:ascii="Meiryo UI" w:hAnsi="Meiryo UI"/>
                <w:b/>
                <w:color w:val="FFFFFF"/>
                <w:sz w:val="18"/>
              </w:rPr>
              <w:t>純利益</w:t>
            </w:r>
          </w:p>
        </w:tc>
      </w:tr>
      <w:tr>
        <w:tc>
          <w:tcPr>
            <w:tcW w:type="dxa" w:w="1568"/>
          </w:tcPr>
          <w:p>
            <w:r>
              <w:rPr>
                <w:rFonts w:ascii="Meiryo UI" w:hAnsi="Meiryo UI"/>
                <w:sz w:val="18"/>
              </w:rPr>
              <w:t>2023年3月期</w:t>
            </w:r>
          </w:p>
        </w:tc>
        <w:tc>
          <w:tcPr>
            <w:tcW w:type="dxa" w:w="1568"/>
          </w:tcPr>
          <w:p>
            <w:r>
              <w:rPr>
                <w:rFonts w:ascii="Meiryo UI" w:hAnsi="Meiryo UI"/>
                <w:sz w:val="18"/>
              </w:rPr>
              <w:t>34,391</w:t>
            </w:r>
          </w:p>
        </w:tc>
        <w:tc>
          <w:tcPr>
            <w:tcW w:type="dxa" w:w="1568"/>
          </w:tcPr>
          <w:p>
            <w:r>
              <w:rPr>
                <w:rFonts w:ascii="Meiryo UI" w:hAnsi="Meiryo UI"/>
                <w:sz w:val="18"/>
              </w:rPr>
              <w:t>1,253</w:t>
            </w:r>
          </w:p>
        </w:tc>
        <w:tc>
          <w:tcPr>
            <w:tcW w:type="dxa" w:w="1568"/>
          </w:tcPr>
          <w:p>
            <w:r>
              <w:rPr>
                <w:rFonts w:ascii="Meiryo UI" w:hAnsi="Meiryo UI"/>
                <w:sz w:val="18"/>
              </w:rPr>
              <w:t>3.6%</w:t>
            </w:r>
          </w:p>
        </w:tc>
        <w:tc>
          <w:tcPr>
            <w:tcW w:type="dxa" w:w="1568"/>
          </w:tcPr>
          <w:p>
            <w:r>
              <w:rPr>
                <w:rFonts w:ascii="Meiryo UI" w:hAnsi="Meiryo UI"/>
                <w:sz w:val="18"/>
              </w:rPr>
              <w:t>1,307</w:t>
            </w:r>
          </w:p>
        </w:tc>
        <w:tc>
          <w:tcPr>
            <w:tcW w:type="dxa" w:w="1568"/>
          </w:tcPr>
          <w:p>
            <w:r>
              <w:rPr>
                <w:rFonts w:ascii="Meiryo UI" w:hAnsi="Meiryo UI"/>
                <w:sz w:val="18"/>
              </w:rPr>
              <w:t>955</w:t>
            </w:r>
          </w:p>
        </w:tc>
      </w:tr>
      <w:tr>
        <w:tc>
          <w:tcPr>
            <w:tcW w:type="dxa" w:w="1568"/>
            <w:shd w:val="clear" w:color="auto" w:fill="DDEBF7"/>
          </w:tcPr>
          <w:p>
            <w:r>
              <w:rPr>
                <w:rFonts w:ascii="Meiryo UI" w:hAnsi="Meiryo UI"/>
                <w:sz w:val="18"/>
              </w:rPr>
              <w:t>2024年3月期</w:t>
            </w:r>
          </w:p>
        </w:tc>
        <w:tc>
          <w:tcPr>
            <w:tcW w:type="dxa" w:w="1568"/>
            <w:shd w:val="clear" w:color="auto" w:fill="DDEBF7"/>
          </w:tcPr>
          <w:p>
            <w:r>
              <w:rPr>
                <w:rFonts w:ascii="Meiryo UI" w:hAnsi="Meiryo UI"/>
                <w:sz w:val="18"/>
              </w:rPr>
              <w:t>32,461</w:t>
            </w:r>
          </w:p>
        </w:tc>
        <w:tc>
          <w:tcPr>
            <w:tcW w:type="dxa" w:w="1568"/>
            <w:shd w:val="clear" w:color="auto" w:fill="DDEBF7"/>
          </w:tcPr>
          <w:p>
            <w:r>
              <w:rPr>
                <w:rFonts w:ascii="Meiryo UI" w:hAnsi="Meiryo UI"/>
                <w:sz w:val="18"/>
              </w:rPr>
              <w:t>825</w:t>
            </w:r>
          </w:p>
        </w:tc>
        <w:tc>
          <w:tcPr>
            <w:tcW w:type="dxa" w:w="1568"/>
            <w:shd w:val="clear" w:color="auto" w:fill="DDEBF7"/>
          </w:tcPr>
          <w:p>
            <w:r>
              <w:rPr>
                <w:rFonts w:ascii="Meiryo UI" w:hAnsi="Meiryo UI"/>
                <w:sz w:val="18"/>
              </w:rPr>
              <w:t>2.5%</w:t>
            </w:r>
          </w:p>
        </w:tc>
        <w:tc>
          <w:tcPr>
            <w:tcW w:type="dxa" w:w="1568"/>
            <w:shd w:val="clear" w:color="auto" w:fill="DDEBF7"/>
          </w:tcPr>
          <w:p>
            <w:r>
              <w:rPr>
                <w:rFonts w:ascii="Meiryo UI" w:hAnsi="Meiryo UI"/>
                <w:sz w:val="18"/>
              </w:rPr>
              <w:t>939</w:t>
            </w:r>
          </w:p>
        </w:tc>
        <w:tc>
          <w:tcPr>
            <w:tcW w:type="dxa" w:w="1568"/>
            <w:shd w:val="clear" w:color="auto" w:fill="DDEBF7"/>
          </w:tcPr>
          <w:p>
            <w:r>
              <w:rPr>
                <w:rFonts w:ascii="Meiryo UI" w:hAnsi="Meiryo UI"/>
                <w:sz w:val="18"/>
              </w:rPr>
              <w:t>627</w:t>
            </w:r>
          </w:p>
        </w:tc>
      </w:tr>
      <w:tr>
        <w:tc>
          <w:tcPr>
            <w:tcW w:type="dxa" w:w="1568"/>
          </w:tcPr>
          <w:p>
            <w:r>
              <w:rPr>
                <w:rFonts w:ascii="Meiryo UI" w:hAnsi="Meiryo UI"/>
                <w:sz w:val="18"/>
              </w:rPr>
              <w:t>2025年3月期</w:t>
            </w:r>
          </w:p>
        </w:tc>
        <w:tc>
          <w:tcPr>
            <w:tcW w:type="dxa" w:w="1568"/>
          </w:tcPr>
          <w:p>
            <w:r>
              <w:rPr>
                <w:rFonts w:ascii="Meiryo UI" w:hAnsi="Meiryo UI"/>
                <w:sz w:val="18"/>
              </w:rPr>
              <w:t>34,711</w:t>
            </w:r>
          </w:p>
        </w:tc>
        <w:tc>
          <w:tcPr>
            <w:tcW w:type="dxa" w:w="1568"/>
          </w:tcPr>
          <w:p>
            <w:r>
              <w:rPr>
                <w:rFonts w:ascii="Meiryo UI" w:hAnsi="Meiryo UI"/>
                <w:sz w:val="18"/>
              </w:rPr>
              <w:t>799</w:t>
            </w:r>
          </w:p>
        </w:tc>
        <w:tc>
          <w:tcPr>
            <w:tcW w:type="dxa" w:w="1568"/>
          </w:tcPr>
          <w:p>
            <w:r>
              <w:rPr>
                <w:rFonts w:ascii="Meiryo UI" w:hAnsi="Meiryo UI"/>
                <w:sz w:val="18"/>
              </w:rPr>
              <w:t>2.3%</w:t>
            </w:r>
          </w:p>
        </w:tc>
        <w:tc>
          <w:tcPr>
            <w:tcW w:type="dxa" w:w="1568"/>
          </w:tcPr>
          <w:p>
            <w:r>
              <w:rPr>
                <w:rFonts w:ascii="Meiryo UI" w:hAnsi="Meiryo UI"/>
                <w:sz w:val="18"/>
              </w:rPr>
              <w:t>874</w:t>
            </w:r>
          </w:p>
        </w:tc>
        <w:tc>
          <w:tcPr>
            <w:tcW w:type="dxa" w:w="1568"/>
          </w:tcPr>
          <w:p>
            <w:r>
              <w:rPr>
                <w:rFonts w:ascii="Meiryo UI" w:hAnsi="Meiryo UI"/>
                <w:sz w:val="18"/>
              </w:rPr>
              <w:t>588</w:t>
            </w:r>
          </w:p>
        </w:tc>
      </w:tr>
      <w:tr>
        <w:tc>
          <w:tcPr>
            <w:tcW w:type="dxa" w:w="1568"/>
            <w:shd w:val="clear" w:color="auto" w:fill="DDEBF7"/>
          </w:tcPr>
          <w:p>
            <w:r>
              <w:rPr>
                <w:rFonts w:ascii="Meiryo UI" w:hAnsi="Meiryo UI"/>
                <w:sz w:val="18"/>
              </w:rPr>
              <w:t>2026年3月期（予）</w:t>
            </w:r>
          </w:p>
        </w:tc>
        <w:tc>
          <w:tcPr>
            <w:tcW w:type="dxa" w:w="1568"/>
            <w:shd w:val="clear" w:color="auto" w:fill="DDEBF7"/>
          </w:tcPr>
          <w:p>
            <w:r>
              <w:rPr>
                <w:rFonts w:ascii="Meiryo UI" w:hAnsi="Meiryo UI"/>
                <w:sz w:val="18"/>
              </w:rPr>
              <w:t>36,020</w:t>
            </w:r>
          </w:p>
        </w:tc>
        <w:tc>
          <w:tcPr>
            <w:tcW w:type="dxa" w:w="1568"/>
            <w:shd w:val="clear" w:color="auto" w:fill="DDEBF7"/>
          </w:tcPr>
          <w:p>
            <w:r>
              <w:rPr>
                <w:rFonts w:ascii="Meiryo UI" w:hAnsi="Meiryo UI"/>
                <w:sz w:val="18"/>
              </w:rPr>
              <w:t>990</w:t>
            </w:r>
          </w:p>
        </w:tc>
        <w:tc>
          <w:tcPr>
            <w:tcW w:type="dxa" w:w="1568"/>
            <w:shd w:val="clear" w:color="auto" w:fill="DDEBF7"/>
          </w:tcPr>
          <w:p>
            <w:r>
              <w:rPr>
                <w:rFonts w:ascii="Meiryo UI" w:hAnsi="Meiryo UI"/>
                <w:sz w:val="18"/>
              </w:rPr>
              <w:t>2.7%</w:t>
            </w:r>
          </w:p>
        </w:tc>
        <w:tc>
          <w:tcPr>
            <w:tcW w:type="dxa" w:w="1568"/>
            <w:shd w:val="clear" w:color="auto" w:fill="DDEBF7"/>
          </w:tcPr>
          <w:p>
            <w:r>
              <w:rPr>
                <w:rFonts w:ascii="Meiryo UI" w:hAnsi="Meiryo UI"/>
                <w:sz w:val="18"/>
              </w:rPr>
              <w:t>1,050</w:t>
            </w:r>
          </w:p>
        </w:tc>
        <w:tc>
          <w:tcPr>
            <w:tcW w:type="dxa" w:w="1568"/>
            <w:shd w:val="clear" w:color="auto" w:fill="DDEBF7"/>
          </w:tcPr>
          <w:p>
            <w:r>
              <w:rPr>
                <w:rFonts w:ascii="Meiryo UI" w:hAnsi="Meiryo UI"/>
                <w:sz w:val="18"/>
              </w:rPr>
              <w:t>720</w:t>
            </w:r>
          </w:p>
        </w:tc>
      </w:tr>
    </w:tbl>
    <w:p/>
    <w:p>
      <w:r>
        <w:rPr>
          <w:rFonts w:ascii="Meiryo UI" w:hAnsi="Meiryo UI"/>
          <w:sz w:val="20"/>
        </w:rPr>
        <w:t>※2026年3月期Q3累計（2026年2月13日発表）：売上258.89億円（▲2.0% YoY）、営業利益9.54億円（+79.6% YoY）、経常利益10.09億円（+70.4%）</w:t>
      </w:r>
    </w:p>
    <w:p/>
    <w:p>
      <w:r>
        <w:rPr>
          <w:rFonts w:ascii="Meiryo UI" w:hAnsi="Meiryo UI"/>
          <w:sz w:val="20"/>
        </w:rPr>
        <w:t>注目点：Q3累計で既に通期予想の96.1%を達成（経常利益ベース）。通期は上振れの公算が高い。</w:t>
      </w:r>
    </w:p>
    <w:p/>
    <w:p>
      <w:pPr>
        <w:pStyle w:val="Heading3"/>
      </w:pPr>
      <w:r>
        <w:rPr>
          <w:rFonts w:ascii="Meiryo UI" w:hAnsi="Meiryo UI"/>
          <w:color w:val="2E74B5"/>
        </w:rPr>
        <w:t>財務状況（2026年3月期Q3末、2026年2月13日発表）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総資産</w:t>
            </w:r>
          </w:p>
        </w:tc>
        <w:tc>
          <w:tcPr>
            <w:tcW w:type="dxa" w:w="4703"/>
          </w:tcPr>
          <w:p>
            <w:r>
              <w:rPr>
                <w:rFonts w:ascii="Meiryo UI" w:hAnsi="Meiryo UI"/>
                <w:sz w:val="18"/>
              </w:rPr>
              <w:t>262億3,300万円</w:t>
            </w:r>
          </w:p>
        </w:tc>
      </w:tr>
      <w:tr>
        <w:tc>
          <w:tcPr>
            <w:tcW w:type="dxa" w:w="4703"/>
            <w:shd w:val="clear" w:color="auto" w:fill="DDEBF7"/>
          </w:tcPr>
          <w:p>
            <w:r>
              <w:rPr>
                <w:rFonts w:ascii="Meiryo UI" w:hAnsi="Meiryo UI"/>
                <w:sz w:val="18"/>
              </w:rPr>
              <w:t>純資産</w:t>
            </w:r>
          </w:p>
        </w:tc>
        <w:tc>
          <w:tcPr>
            <w:tcW w:type="dxa" w:w="4703"/>
            <w:shd w:val="clear" w:color="auto" w:fill="DDEBF7"/>
          </w:tcPr>
          <w:p>
            <w:r>
              <w:rPr>
                <w:rFonts w:ascii="Meiryo UI" w:hAnsi="Meiryo UI"/>
                <w:sz w:val="18"/>
              </w:rPr>
              <w:t>170億5,900万円</w:t>
            </w:r>
          </w:p>
        </w:tc>
      </w:tr>
      <w:tr>
        <w:tc>
          <w:tcPr>
            <w:tcW w:type="dxa" w:w="4703"/>
          </w:tcPr>
          <w:p>
            <w:r>
              <w:rPr>
                <w:rFonts w:ascii="Meiryo UI" w:hAnsi="Meiryo UI"/>
                <w:sz w:val="18"/>
              </w:rPr>
              <w:t>自己資本比率</w:t>
            </w:r>
          </w:p>
        </w:tc>
        <w:tc>
          <w:tcPr>
            <w:tcW w:type="dxa" w:w="4703"/>
          </w:tcPr>
          <w:p>
            <w:r>
              <w:rPr>
                <w:rFonts w:ascii="Meiryo UI" w:hAnsi="Meiryo UI"/>
                <w:sz w:val="18"/>
              </w:rPr>
              <w:t>65.0%</w:t>
            </w:r>
          </w:p>
        </w:tc>
      </w:tr>
      <w:tr>
        <w:tc>
          <w:tcPr>
            <w:tcW w:type="dxa" w:w="4703"/>
            <w:shd w:val="clear" w:color="auto" w:fill="DDEBF7"/>
          </w:tcPr>
          <w:p>
            <w:r>
              <w:rPr>
                <w:rFonts w:ascii="Meiryo UI" w:hAnsi="Meiryo UI"/>
                <w:sz w:val="18"/>
              </w:rPr>
              <w:t>負債総額</w:t>
            </w:r>
          </w:p>
        </w:tc>
        <w:tc>
          <w:tcPr>
            <w:tcW w:type="dxa" w:w="4703"/>
            <w:shd w:val="clear" w:color="auto" w:fill="DDEBF7"/>
          </w:tcPr>
          <w:p>
            <w:r>
              <w:rPr>
                <w:rFonts w:ascii="Meiryo UI" w:hAnsi="Meiryo UI"/>
                <w:sz w:val="18"/>
              </w:rPr>
              <w:t>91億7,400万円</w:t>
            </w:r>
          </w:p>
        </w:tc>
      </w:tr>
      <w:tr>
        <w:tc>
          <w:tcPr>
            <w:tcW w:type="dxa" w:w="4703"/>
          </w:tcPr>
          <w:p>
            <w:r>
              <w:rPr>
                <w:rFonts w:ascii="Meiryo UI" w:hAnsi="Meiryo UI"/>
                <w:sz w:val="18"/>
              </w:rPr>
              <w:t>現金及び預金</w:t>
            </w:r>
          </w:p>
        </w:tc>
        <w:tc>
          <w:tcPr>
            <w:tcW w:type="dxa" w:w="4703"/>
          </w:tcPr>
          <w:p>
            <w:r>
              <w:rPr>
                <w:rFonts w:ascii="Meiryo UI" w:hAnsi="Meiryo UI"/>
                <w:sz w:val="18"/>
              </w:rPr>
              <w:t>66億1,400万円</w:t>
            </w:r>
          </w:p>
        </w:tc>
      </w:tr>
      <w:tr>
        <w:tc>
          <w:tcPr>
            <w:tcW w:type="dxa" w:w="4703"/>
            <w:shd w:val="clear" w:color="auto" w:fill="DDEBF7"/>
          </w:tcPr>
          <w:p>
            <w:r>
              <w:rPr>
                <w:rFonts w:ascii="Meiryo UI" w:hAnsi="Meiryo UI"/>
                <w:sz w:val="18"/>
              </w:rPr>
              <w:t>短期借入金</w:t>
            </w:r>
          </w:p>
        </w:tc>
        <w:tc>
          <w:tcPr>
            <w:tcW w:type="dxa" w:w="4703"/>
            <w:shd w:val="clear" w:color="auto" w:fill="DDEBF7"/>
          </w:tcPr>
          <w:p>
            <w:r>
              <w:rPr>
                <w:rFonts w:ascii="Meiryo UI" w:hAnsi="Meiryo UI"/>
                <w:sz w:val="18"/>
              </w:rPr>
              <w:t>前期末比+3億円程度（軽微）</w:t>
            </w:r>
          </w:p>
        </w:tc>
      </w:tr>
      <w:tr>
        <w:tc>
          <w:tcPr>
            <w:tcW w:type="dxa" w:w="4703"/>
          </w:tcPr>
          <w:p>
            <w:r>
              <w:rPr>
                <w:rFonts w:ascii="Meiryo UI" w:hAnsi="Meiryo UI"/>
                <w:sz w:val="18"/>
              </w:rPr>
              <w:t>有利子負債/総資産</w:t>
            </w:r>
          </w:p>
        </w:tc>
        <w:tc>
          <w:tcPr>
            <w:tcW w:type="dxa" w:w="4703"/>
          </w:tcPr>
          <w:p>
            <w:r>
              <w:rPr>
                <w:rFonts w:ascii="Meiryo UI" w:hAnsi="Meiryo UI"/>
                <w:sz w:val="18"/>
              </w:rPr>
              <w:t>約1.8%（実質無借金に近い）</w:t>
            </w:r>
          </w:p>
        </w:tc>
      </w:tr>
    </w:tbl>
    <w:p/>
    <w:p>
      <w:pPr>
        <w:pStyle w:val="Heading3"/>
      </w:pPr>
      <w:r>
        <w:rPr>
          <w:rFonts w:ascii="Meiryo UI" w:hAnsi="Meiryo UI"/>
          <w:color w:val="2E74B5"/>
        </w:rPr>
        <w:t>ガイダンス（2026年3月期通期予想、最終修正なし）</w:t>
      </w:r>
    </w:p>
    <w:p/>
    <w:p>
      <w:pPr>
        <w:pStyle w:val="ListBullet"/>
      </w:pPr>
      <w:r>
        <w:rPr>
          <w:rFonts w:ascii="Meiryo UI" w:hAnsi="Meiryo UI"/>
          <w:sz w:val="20"/>
        </w:rPr>
        <w:t>売上高：360億2,000万円（+3.8%）</w:t>
      </w:r>
    </w:p>
    <w:p>
      <w:pPr>
        <w:pStyle w:val="ListBullet"/>
      </w:pPr>
      <w:r>
        <w:rPr>
          <w:rFonts w:ascii="Meiryo UI" w:hAnsi="Meiryo UI"/>
          <w:sz w:val="20"/>
        </w:rPr>
        <w:t>営業利益：9億9,000万円（+23.9%）</w:t>
      </w:r>
    </w:p>
    <w:p>
      <w:pPr>
        <w:pStyle w:val="ListBullet"/>
      </w:pPr>
      <w:r>
        <w:rPr>
          <w:rFonts w:ascii="Meiryo UI" w:hAnsi="Meiryo UI"/>
          <w:sz w:val="20"/>
        </w:rPr>
        <w:t>経常利益：10億5,000万円（+20.0%）</w:t>
      </w:r>
    </w:p>
    <w:p>
      <w:pPr>
        <w:pStyle w:val="ListBullet"/>
      </w:pPr>
      <w:r>
        <w:rPr>
          <w:rFonts w:ascii="Meiryo UI" w:hAnsi="Meiryo UI"/>
          <w:sz w:val="20"/>
        </w:rPr>
        <w:t>純利益：7億2,000万円（+22.4%）</w:t>
      </w:r>
    </w:p>
    <w:p>
      <w:pPr>
        <w:pStyle w:val="ListBullet"/>
      </w:pPr>
      <w:r>
        <w:rPr>
          <w:rFonts w:ascii="Meiryo UI" w:hAnsi="Meiryo UI"/>
          <w:sz w:val="20"/>
        </w:rPr>
        <w:t>配当予定：年間40円/株（前期比横ばい）</w:t>
      </w:r>
    </w:p>
    <w:p/>
    <w:p>
      <w:r>
        <w:rPr>
          <w:rFonts w:ascii="Meiryo UI" w:hAnsi="Meiryo UI"/>
          <w:sz w:val="20"/>
        </w:rPr>
        <w:t>5月14日の通期発表では、Q4（2026年1〜3月）にホルムズ封鎖・中国規制が重なった影響が確認できる。価格転嫁実績と来期ガイダンス（2027年3月期）が最大の株価カタリスト。</w:t>
      </w:r>
    </w:p>
    <w:p/>
    <w:p>
      <w:r>
        <w:t>──────────────────────────────────────────────────</w:t>
      </w:r>
    </w:p>
    <w:p/>
    <w:p>
      <w:pPr>
        <w:pStyle w:val="Heading2"/>
      </w:pPr>
      <w:r>
        <w:rPr>
          <w:rFonts w:ascii="Meiryo UI" w:hAnsi="Meiryo UI"/>
          <w:color w:val="2E74B5"/>
        </w:rPr>
        <w:t>4. バリュエーション【低PBR分析重点】</w:t>
      </w:r>
    </w:p>
    <w:p/>
    <w:p>
      <w:pPr>
        <w:pStyle w:val="Heading3"/>
      </w:pPr>
      <w:r>
        <w:rPr>
          <w:rFonts w:ascii="Meiryo UI" w:hAnsi="Meiryo UI"/>
          <w:color w:val="2E74B5"/>
        </w:rPr>
        <w:t>リアルタイム指標（yfinance取得、2026年4月27日）</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株価</w:t>
            </w:r>
          </w:p>
        </w:tc>
        <w:tc>
          <w:tcPr>
            <w:tcW w:type="dxa" w:w="3135"/>
          </w:tcPr>
          <w:p>
            <w:r>
              <w:rPr>
                <w:rFonts w:ascii="Meiryo UI" w:hAnsi="Meiryo UI"/>
                <w:sz w:val="18"/>
              </w:rPr>
              <w:t>¥1,949</w:t>
            </w:r>
          </w:p>
        </w:tc>
        <w:tc>
          <w:tcPr>
            <w:tcW w:type="dxa" w:w="3135"/>
          </w:tcPr>
          <w:p>
            <w:r>
              <w:rPr>
                <w:rFonts w:ascii="Meiryo UI" w:hAnsi="Meiryo UI"/>
                <w:sz w:val="18"/>
              </w:rPr>
              <w:t>yfinance（リアルタイム）</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0.52倍</w:t>
            </w:r>
          </w:p>
        </w:tc>
        <w:tc>
          <w:tcPr>
            <w:tcW w:type="dxa" w:w="3135"/>
            <w:shd w:val="clear" w:color="auto" w:fill="DDEBF7"/>
          </w:tcPr>
          <w:p>
            <w:r>
              <w:rPr>
                <w:rFonts w:ascii="Meiryo UI" w:hAnsi="Meiryo UI"/>
                <w:sz w:val="18"/>
              </w:rPr>
              <w:t>yfinance（リアルタイム）</w:t>
            </w:r>
          </w:p>
        </w:tc>
      </w:tr>
      <w:tr>
        <w:tc>
          <w:tcPr>
            <w:tcW w:type="dxa" w:w="3135"/>
          </w:tcPr>
          <w:p>
            <w:r>
              <w:rPr>
                <w:rFonts w:ascii="Meiryo UI" w:hAnsi="Meiryo UI"/>
                <w:sz w:val="18"/>
              </w:rPr>
              <w:t>BPS</w:t>
            </w:r>
          </w:p>
        </w:tc>
        <w:tc>
          <w:tcPr>
            <w:tcW w:type="dxa" w:w="3135"/>
          </w:tcPr>
          <w:p>
            <w:r>
              <w:rPr>
                <w:rFonts w:ascii="Meiryo UI" w:hAnsi="Meiryo UI"/>
                <w:sz w:val="18"/>
              </w:rPr>
              <w:t>¥3,728</w:t>
            </w:r>
          </w:p>
        </w:tc>
        <w:tc>
          <w:tcPr>
            <w:tcW w:type="dxa" w:w="3135"/>
          </w:tcPr>
          <w:p>
            <w:r>
              <w:rPr>
                <w:rFonts w:ascii="Meiryo UI" w:hAnsi="Meiryo UI"/>
                <w:sz w:val="18"/>
              </w:rPr>
              <w:t>yfinance（リアルタイム）</w:t>
            </w:r>
          </w:p>
        </w:tc>
      </w:tr>
      <w:tr>
        <w:tc>
          <w:tcPr>
            <w:tcW w:type="dxa" w:w="3135"/>
            <w:shd w:val="clear" w:color="auto" w:fill="DDEBF7"/>
          </w:tcPr>
          <w:p>
            <w:r>
              <w:rPr>
                <w:rFonts w:ascii="Meiryo UI" w:hAnsi="Meiryo UI"/>
                <w:sz w:val="18"/>
              </w:rPr>
              <w:t>PER（実績）</w:t>
            </w:r>
          </w:p>
        </w:tc>
        <w:tc>
          <w:tcPr>
            <w:tcW w:type="dxa" w:w="3135"/>
            <w:shd w:val="clear" w:color="auto" w:fill="DDEBF7"/>
          </w:tcPr>
          <w:p>
            <w:r>
              <w:rPr>
                <w:rFonts w:ascii="Meiryo UI" w:hAnsi="Meiryo UI"/>
                <w:sz w:val="18"/>
              </w:rPr>
              <w:t>11.3倍</w:t>
            </w:r>
          </w:p>
        </w:tc>
        <w:tc>
          <w:tcPr>
            <w:tcW w:type="dxa" w:w="3135"/>
            <w:shd w:val="clear" w:color="auto" w:fill="DDEBF7"/>
          </w:tcPr>
          <w:p>
            <w:r>
              <w:rPr>
                <w:rFonts w:ascii="Meiryo UI" w:hAnsi="Meiryo UI"/>
                <w:sz w:val="18"/>
              </w:rPr>
              <w:t>yfinance（リアルタイム）</w:t>
            </w:r>
          </w:p>
        </w:tc>
      </w:tr>
      <w:tr>
        <w:tc>
          <w:tcPr>
            <w:tcW w:type="dxa" w:w="3135"/>
          </w:tcPr>
          <w:p>
            <w:r>
              <w:rPr>
                <w:rFonts w:ascii="Meiryo UI" w:hAnsi="Meiryo UI"/>
                <w:sz w:val="18"/>
              </w:rPr>
              <w:t>ROE</w:t>
            </w:r>
          </w:p>
        </w:tc>
        <w:tc>
          <w:tcPr>
            <w:tcW w:type="dxa" w:w="3135"/>
          </w:tcPr>
          <w:p>
            <w:r>
              <w:rPr>
                <w:rFonts w:ascii="Meiryo UI" w:hAnsi="Meiryo UI"/>
                <w:sz w:val="18"/>
              </w:rPr>
              <w:t>5.4%</w:t>
            </w:r>
          </w:p>
        </w:tc>
        <w:tc>
          <w:tcPr>
            <w:tcW w:type="dxa" w:w="3135"/>
          </w:tcPr>
          <w:p>
            <w:r>
              <w:rPr>
                <w:rFonts w:ascii="Meiryo UI" w:hAnsi="Meiryo UI"/>
                <w:sz w:val="18"/>
              </w:rPr>
              <w:t>yfinance（リアルタイム）</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約89億円</w:t>
            </w:r>
          </w:p>
        </w:tc>
        <w:tc>
          <w:tcPr>
            <w:tcW w:type="dxa" w:w="3135"/>
            <w:shd w:val="clear" w:color="auto" w:fill="DDEBF7"/>
          </w:tcPr>
          <w:p>
            <w:r>
              <w:rPr>
                <w:rFonts w:ascii="Meiryo UI" w:hAnsi="Meiryo UI"/>
                <w:sz w:val="18"/>
              </w:rPr>
              <w:t>yfinance（リアルタイム）</w:t>
            </w:r>
          </w:p>
        </w:tc>
      </w:tr>
      <w:tr>
        <w:tc>
          <w:tcPr>
            <w:tcW w:type="dxa" w:w="3135"/>
          </w:tcPr>
          <w:p>
            <w:r>
              <w:rPr>
                <w:rFonts w:ascii="Meiryo UI" w:hAnsi="Meiryo UI"/>
                <w:sz w:val="18"/>
              </w:rPr>
              <w:t>自己資本比率</w:t>
            </w:r>
          </w:p>
        </w:tc>
        <w:tc>
          <w:tcPr>
            <w:tcW w:type="dxa" w:w="3135"/>
          </w:tcPr>
          <w:p>
            <w:r>
              <w:rPr>
                <w:rFonts w:ascii="Meiryo UI" w:hAnsi="Meiryo UI"/>
                <w:sz w:val="18"/>
              </w:rPr>
              <w:t>65%</w:t>
            </w:r>
          </w:p>
        </w:tc>
        <w:tc>
          <w:tcPr>
            <w:tcW w:type="dxa" w:w="3135"/>
          </w:tcPr>
          <w:p>
            <w:r>
              <w:rPr>
                <w:rFonts w:ascii="Meiryo UI" w:hAnsi="Meiryo UI"/>
                <w:sz w:val="18"/>
              </w:rPr>
              <w:t>Q3決算短信（公式）</w:t>
            </w:r>
          </w:p>
        </w:tc>
      </w:tr>
    </w:tbl>
    <w:p/>
    <w:p>
      <w:pPr>
        <w:pStyle w:val="Heading3"/>
      </w:pPr>
      <w:r>
        <w:rPr>
          <w:rFonts w:ascii="Meiryo UI" w:hAnsi="Meiryo UI"/>
          <w:color w:val="2E74B5"/>
        </w:rPr>
        <w:t>BPS対比の安全域</w:t>
      </w:r>
    </w:p>
    <w:p/>
    <w:p>
      <w:pPr>
        <w:pStyle w:val="ListBullet"/>
      </w:pPr>
      <w:r>
        <w:rPr>
          <w:rFonts w:ascii="Meiryo UI" w:hAnsi="Meiryo UI"/>
          <w:sz w:val="20"/>
        </w:rPr>
        <w:t>BPS ¥3,728 vs 株価 ¥1,949 → 現値はBPSの52%</w:t>
      </w:r>
    </w:p>
    <w:p>
      <w:pPr>
        <w:pStyle w:val="ListBullet"/>
      </w:pPr>
      <w:r>
        <w:rPr>
          <w:rFonts w:ascii="Meiryo UI" w:hAnsi="Meiryo UI"/>
          <w:sz w:val="20"/>
        </w:rPr>
        <w:t>PBR 0.52倍は化学セクター平均（約1.0〜1.2倍）を大幅に下回る</w:t>
      </w:r>
    </w:p>
    <w:p>
      <w:pPr>
        <w:pStyle w:val="ListBullet"/>
      </w:pPr>
      <w:r>
        <w:rPr>
          <w:rFonts w:ascii="Meiryo UI" w:hAnsi="Meiryo UI"/>
          <w:sz w:val="20"/>
        </w:rPr>
        <w:t>理論上の解散価値水準でも47.7%の安全域を確保</w:t>
      </w:r>
    </w:p>
    <w:p/>
    <w:p>
      <w:pPr>
        <w:pStyle w:val="Heading3"/>
      </w:pPr>
      <w:r>
        <w:rPr>
          <w:rFonts w:ascii="Meiryo UI" w:hAnsi="Meiryo UI"/>
          <w:color w:val="2E74B5"/>
        </w:rPr>
        <w:t>DCF/NAV分析</w:t>
      </w:r>
    </w:p>
    <w:p/>
    <w:p>
      <w:pPr>
        <w:pStyle w:val="Heading4"/>
      </w:pPr>
      <w:r>
        <w:rPr>
          <w:rFonts w:ascii="Meiryo UI" w:hAnsi="Meiryo UI"/>
          <w:color w:val="2E74B5"/>
        </w:rPr>
        <w:t>簡易DCF（Base Caseシミュレーション）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2027年3月期正常化OP</w:t>
            </w:r>
          </w:p>
        </w:tc>
        <w:tc>
          <w:tcPr>
            <w:tcW w:type="dxa" w:w="3135"/>
          </w:tcPr>
          <w:p>
            <w:r>
              <w:rPr>
                <w:rFonts w:ascii="Meiryo UI" w:hAnsi="Meiryo UI"/>
                <w:sz w:val="18"/>
              </w:rPr>
              <w:t>13〜15億円</w:t>
            </w:r>
          </w:p>
        </w:tc>
        <w:tc>
          <w:tcPr>
            <w:tcW w:type="dxa" w:w="3135"/>
          </w:tcPr>
          <w:p>
            <w:r>
              <w:rPr>
                <w:rFonts w:ascii="Meiryo UI" w:hAnsi="Meiryo UI"/>
                <w:sz w:val="18"/>
              </w:rPr>
              <w:t>シンナー価格転嫁後（+75〜80%）の利益率改善</w:t>
            </w:r>
          </w:p>
        </w:tc>
      </w:tr>
      <w:tr>
        <w:tc>
          <w:tcPr>
            <w:tcW w:type="dxa" w:w="3135"/>
            <w:shd w:val="clear" w:color="auto" w:fill="DDEBF7"/>
          </w:tcPr>
          <w:p>
            <w:r>
              <w:rPr>
                <w:rFonts w:ascii="Meiryo UI" w:hAnsi="Meiryo UI"/>
                <w:sz w:val="18"/>
              </w:rPr>
              <w:t>減価償却費（推定）</w:t>
            </w:r>
          </w:p>
        </w:tc>
        <w:tc>
          <w:tcPr>
            <w:tcW w:type="dxa" w:w="3135"/>
            <w:shd w:val="clear" w:color="auto" w:fill="DDEBF7"/>
          </w:tcPr>
          <w:p>
            <w:r>
              <w:rPr>
                <w:rFonts w:ascii="Meiryo UI" w:hAnsi="Meiryo UI"/>
                <w:sz w:val="18"/>
              </w:rPr>
              <w:t>約3〜4億円</w:t>
            </w:r>
          </w:p>
        </w:tc>
        <w:tc>
          <w:tcPr>
            <w:tcW w:type="dxa" w:w="3135"/>
            <w:shd w:val="clear" w:color="auto" w:fill="DDEBF7"/>
          </w:tcPr>
          <w:p>
            <w:r>
              <w:rPr>
                <w:rFonts w:ascii="Meiryo UI" w:hAnsi="Meiryo UI"/>
                <w:sz w:val="18"/>
              </w:rPr>
              <w:t>固定資産規模から推定</w:t>
            </w:r>
          </w:p>
        </w:tc>
      </w:tr>
      <w:tr>
        <w:tc>
          <w:tcPr>
            <w:tcW w:type="dxa" w:w="3135"/>
          </w:tcPr>
          <w:p>
            <w:r>
              <w:rPr>
                <w:rFonts w:ascii="Meiryo UI" w:hAnsi="Meiryo UI"/>
                <w:sz w:val="18"/>
              </w:rPr>
              <w:t>EBITDA（推定）</w:t>
            </w:r>
          </w:p>
        </w:tc>
        <w:tc>
          <w:tcPr>
            <w:tcW w:type="dxa" w:w="3135"/>
          </w:tcPr>
          <w:p>
            <w:r>
              <w:rPr>
                <w:rFonts w:ascii="Meiryo UI" w:hAnsi="Meiryo UI"/>
                <w:sz w:val="18"/>
              </w:rPr>
              <w:t>約16〜19億円</w:t>
            </w:r>
          </w:p>
        </w:tc>
        <w:tc>
          <w:tcPr>
            <w:tcW w:type="dxa" w:w="3135"/>
          </w:tcPr>
          <w:p>
            <w:r>
              <w:rPr>
                <w:rFonts w:ascii="Meiryo UI" w:hAnsi="Meiryo UI"/>
                <w:sz w:val="18"/>
              </w:rPr>
              <w:t>上記合計</w:t>
            </w:r>
          </w:p>
        </w:tc>
      </w:tr>
      <w:tr>
        <w:tc>
          <w:tcPr>
            <w:tcW w:type="dxa" w:w="3135"/>
            <w:shd w:val="clear" w:color="auto" w:fill="DDEBF7"/>
          </w:tcPr>
          <w:p>
            <w:r>
              <w:rPr>
                <w:rFonts w:ascii="Meiryo UI" w:hAnsi="Meiryo UI"/>
                <w:sz w:val="18"/>
              </w:rPr>
              <w:t>EV/EBITDA（化学中小型）</w:t>
            </w:r>
          </w:p>
        </w:tc>
        <w:tc>
          <w:tcPr>
            <w:tcW w:type="dxa" w:w="3135"/>
            <w:shd w:val="clear" w:color="auto" w:fill="DDEBF7"/>
          </w:tcPr>
          <w:p>
            <w:r>
              <w:rPr>
                <w:rFonts w:ascii="Meiryo UI" w:hAnsi="Meiryo UI"/>
                <w:sz w:val="18"/>
              </w:rPr>
              <w:t>6〜8倍</w:t>
            </w:r>
          </w:p>
        </w:tc>
        <w:tc>
          <w:tcPr>
            <w:tcW w:type="dxa" w:w="3135"/>
            <w:shd w:val="clear" w:color="auto" w:fill="DDEBF7"/>
          </w:tcPr>
          <w:p>
            <w:r>
              <w:rPr>
                <w:rFonts w:ascii="Meiryo UI" w:hAnsi="Meiryo UI"/>
                <w:sz w:val="18"/>
              </w:rPr>
              <w:t>ピア比較</w:t>
            </w:r>
          </w:p>
        </w:tc>
      </w:tr>
      <w:tr>
        <w:tc>
          <w:tcPr>
            <w:tcW w:type="dxa" w:w="3135"/>
          </w:tcPr>
          <w:p>
            <w:r>
              <w:rPr>
                <w:rFonts w:ascii="Meiryo UI" w:hAnsi="Meiryo UI"/>
                <w:sz w:val="18"/>
              </w:rPr>
              <w:t>推定EV</w:t>
            </w:r>
          </w:p>
        </w:tc>
        <w:tc>
          <w:tcPr>
            <w:tcW w:type="dxa" w:w="3135"/>
          </w:tcPr>
          <w:p>
            <w:r>
              <w:rPr>
                <w:rFonts w:ascii="Meiryo UI" w:hAnsi="Meiryo UI"/>
                <w:sz w:val="18"/>
              </w:rPr>
              <w:t>96〜152億円</w:t>
            </w:r>
          </w:p>
        </w:tc>
        <w:tc>
          <w:tcPr>
            <w:tcW w:type="dxa" w:w="3135"/>
          </w:tcPr>
          <w:p>
            <w:r>
              <w:rPr>
                <w:rFonts w:ascii="Meiryo UI" w:hAnsi="Meiryo UI"/>
                <w:sz w:val="18"/>
              </w:rPr>
              <w:t>EBITDAレンジ×倍率</w:t>
            </w:r>
          </w:p>
        </w:tc>
      </w:tr>
      <w:tr>
        <w:tc>
          <w:tcPr>
            <w:tcW w:type="dxa" w:w="3135"/>
            <w:shd w:val="clear" w:color="auto" w:fill="DDEBF7"/>
          </w:tcPr>
          <w:p>
            <w:r>
              <w:rPr>
                <w:rFonts w:ascii="Meiryo UI" w:hAnsi="Meiryo UI"/>
                <w:sz w:val="18"/>
              </w:rPr>
              <w:t>ネットキャッシュ（推定）</w:t>
            </w:r>
          </w:p>
        </w:tc>
        <w:tc>
          <w:tcPr>
            <w:tcW w:type="dxa" w:w="3135"/>
            <w:shd w:val="clear" w:color="auto" w:fill="DDEBF7"/>
          </w:tcPr>
          <w:p>
            <w:r>
              <w:rPr>
                <w:rFonts w:ascii="Meiryo UI" w:hAnsi="Meiryo UI"/>
                <w:sz w:val="18"/>
              </w:rPr>
              <w:t>+約66億円（現金）- 有利子負債約3億円 = 約63億円</w:t>
            </w:r>
          </w:p>
        </w:tc>
        <w:tc>
          <w:tcPr>
            <w:tcW w:type="dxa" w:w="3135"/>
            <w:shd w:val="clear" w:color="auto" w:fill="DDEBF7"/>
          </w:tcPr>
          <w:p>
            <w:r>
              <w:rPr>
                <w:rFonts w:ascii="Meiryo UI" w:hAnsi="Meiryo UI"/>
                <w:sz w:val="18"/>
              </w:rPr>
              <w:t>Q3末貸借対照表</w:t>
            </w:r>
          </w:p>
        </w:tc>
      </w:tr>
      <w:tr>
        <w:tc>
          <w:tcPr>
            <w:tcW w:type="dxa" w:w="3135"/>
          </w:tcPr>
          <w:p>
            <w:r>
              <w:rPr>
                <w:rFonts w:ascii="Meiryo UI" w:hAnsi="Meiryo UI"/>
                <w:sz w:val="18"/>
              </w:rPr>
              <w:t>推定時価総額</w:t>
            </w:r>
          </w:p>
        </w:tc>
        <w:tc>
          <w:tcPr>
            <w:tcW w:type="dxa" w:w="3135"/>
          </w:tcPr>
          <w:p>
            <w:r>
              <w:rPr>
                <w:rFonts w:ascii="Meiryo UI" w:hAnsi="Meiryo UI"/>
                <w:sz w:val="18"/>
              </w:rPr>
              <w:t>159〜215億円</w:t>
            </w:r>
          </w:p>
        </w:tc>
        <w:tc>
          <w:tcPr>
            <w:tcW w:type="dxa" w:w="3135"/>
          </w:tcPr>
          <w:p>
            <w:r>
              <w:rPr>
                <w:rFonts w:ascii="Meiryo UI" w:hAnsi="Meiryo UI"/>
                <w:sz w:val="18"/>
              </w:rPr>
              <w:t>EV+ネットキャッシュ</w:t>
            </w:r>
          </w:p>
        </w:tc>
      </w:tr>
      <w:tr>
        <w:tc>
          <w:tcPr>
            <w:tcW w:type="dxa" w:w="3135"/>
            <w:shd w:val="clear" w:color="auto" w:fill="DDEBF7"/>
          </w:tcPr>
          <w:p>
            <w:r>
              <w:rPr>
                <w:rFonts w:ascii="Meiryo UI" w:hAnsi="Meiryo UI"/>
                <w:sz w:val="18"/>
              </w:rPr>
              <w:t>1株換算（発行済45.7万株×1,000）</w:t>
            </w:r>
          </w:p>
        </w:tc>
        <w:tc>
          <w:tcPr>
            <w:tcW w:type="dxa" w:w="3135"/>
            <w:shd w:val="clear" w:color="auto" w:fill="DDEBF7"/>
          </w:tcPr>
          <w:p>
            <w:r>
              <w:rPr>
                <w:rFonts w:ascii="Meiryo UI" w:hAnsi="Meiryo UI"/>
                <w:sz w:val="18"/>
              </w:rPr>
              <w:t>※未確認のため概算</w:t>
            </w:r>
          </w:p>
        </w:tc>
        <w:tc>
          <w:tcPr>
            <w:tcW w:type="dxa" w:w="3135"/>
            <w:shd w:val="clear" w:color="auto" w:fill="DDEBF7"/>
          </w:tcPr>
          <w:p>
            <w:r>
              <w:rPr>
                <w:rFonts w:ascii="Meiryo UI" w:hAnsi="Meiryo UI"/>
                <w:sz w:val="18"/>
              </w:rPr>
            </w:r>
          </w:p>
        </w:tc>
      </w:tr>
      <w:tr>
        <w:tc>
          <w:tcPr>
            <w:tcW w:type="dxa" w:w="3135"/>
          </w:tcPr>
          <w:p>
            <w:r>
              <w:rPr>
                <w:rFonts w:ascii="Meiryo UI" w:hAnsi="Meiryo UI"/>
                <w:sz w:val="18"/>
              </w:rPr>
              <w:t>Base TP</w:t>
            </w:r>
          </w:p>
        </w:tc>
        <w:tc>
          <w:tcPr>
            <w:tcW w:type="dxa" w:w="3135"/>
          </w:tcPr>
          <w:p>
            <w:r>
              <w:rPr>
                <w:rFonts w:ascii="Meiryo UI" w:hAnsi="Meiryo UI"/>
                <w:sz w:val="18"/>
              </w:rPr>
              <w:t>¥2,800</w:t>
            </w:r>
          </w:p>
        </w:tc>
        <w:tc>
          <w:tcPr>
            <w:tcW w:type="dxa" w:w="3135"/>
          </w:tcPr>
          <w:p>
            <w:r>
              <w:rPr>
                <w:rFonts w:ascii="Meiryo UI" w:hAnsi="Meiryo UI"/>
                <w:sz w:val="18"/>
              </w:rPr>
              <w:t>PBR 0.75倍相当・EV/EBITDA 7倍</w:t>
            </w:r>
          </w:p>
        </w:tc>
      </w:tr>
      <w:tr>
        <w:tc>
          <w:tcPr>
            <w:tcW w:type="dxa" w:w="3135"/>
            <w:shd w:val="clear" w:color="auto" w:fill="DDEBF7"/>
          </w:tcPr>
          <w:p>
            <w:r>
              <w:rPr>
                <w:rFonts w:ascii="Meiryo UI" w:hAnsi="Meiryo UI"/>
                <w:sz w:val="18"/>
              </w:rPr>
              <w:t>Bull TP</w:t>
            </w:r>
          </w:p>
        </w:tc>
        <w:tc>
          <w:tcPr>
            <w:tcW w:type="dxa" w:w="3135"/>
            <w:shd w:val="clear" w:color="auto" w:fill="DDEBF7"/>
          </w:tcPr>
          <w:p>
            <w:r>
              <w:rPr>
                <w:rFonts w:ascii="Meiryo UI" w:hAnsi="Meiryo UI"/>
                <w:sz w:val="18"/>
              </w:rPr>
              <w:t>¥3,600</w:t>
            </w:r>
          </w:p>
        </w:tc>
        <w:tc>
          <w:tcPr>
            <w:tcW w:type="dxa" w:w="3135"/>
            <w:shd w:val="clear" w:color="auto" w:fill="DDEBF7"/>
          </w:tcPr>
          <w:p>
            <w:r>
              <w:rPr>
                <w:rFonts w:ascii="Meiryo UI" w:hAnsi="Meiryo UI"/>
                <w:sz w:val="18"/>
              </w:rPr>
              <w:t>PBR 0.97倍相当・価格転嫁完全実現</w:t>
            </w:r>
          </w:p>
        </w:tc>
      </w:tr>
      <w:tr>
        <w:tc>
          <w:tcPr>
            <w:tcW w:type="dxa" w:w="3135"/>
          </w:tcPr>
          <w:p>
            <w:r>
              <w:rPr>
                <w:rFonts w:ascii="Meiryo UI" w:hAnsi="Meiryo UI"/>
                <w:sz w:val="18"/>
              </w:rPr>
              <w:t>Bear TP</w:t>
            </w:r>
          </w:p>
        </w:tc>
        <w:tc>
          <w:tcPr>
            <w:tcW w:type="dxa" w:w="3135"/>
          </w:tcPr>
          <w:p>
            <w:r>
              <w:rPr>
                <w:rFonts w:ascii="Meiryo UI" w:hAnsi="Meiryo UI"/>
                <w:sz w:val="18"/>
              </w:rPr>
              <w:t>¥1,600</w:t>
            </w:r>
          </w:p>
        </w:tc>
        <w:tc>
          <w:tcPr>
            <w:tcW w:type="dxa" w:w="3135"/>
          </w:tcPr>
          <w:p>
            <w:r>
              <w:rPr>
                <w:rFonts w:ascii="Meiryo UI" w:hAnsi="Meiryo UI"/>
                <w:sz w:val="18"/>
              </w:rPr>
              <w:t>PBR 0.43倍・ナフサ高止まりで利益圧縮</w:t>
            </w:r>
          </w:p>
        </w:tc>
      </w:tr>
    </w:tbl>
    <w:p/>
    <w:p>
      <w:r>
        <w:rPr>
          <w:rFonts w:ascii="Meiryo UI" w:hAnsi="Meiryo UI"/>
          <w:sz w:val="20"/>
        </w:rPr>
        <w:t>注：発行済株式数・詳細BS（土地・有形固定資産内訳）は有価証券報告書未確認のため、上記DCFは概算値。公式開示で確認後に精緻化が必要。</w:t>
      </w:r>
    </w:p>
    <w:p/>
    <w:p>
      <w:pPr>
        <w:pStyle w:val="Heading3"/>
      </w:pPr>
      <w:r>
        <w:rPr>
          <w:rFonts w:ascii="Meiryo UI" w:hAnsi="Meiryo UI"/>
          <w:color w:val="2E74B5"/>
        </w:rPr>
        <w:t>TP根拠詳細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TP</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Base ¥2,800</w:t>
            </w:r>
          </w:p>
        </w:tc>
        <w:tc>
          <w:tcPr>
            <w:tcW w:type="dxa" w:w="3135"/>
          </w:tcPr>
          <w:p>
            <w:r>
              <w:rPr>
                <w:rFonts w:ascii="Meiryo UI" w:hAnsi="Meiryo UI"/>
                <w:sz w:val="18"/>
              </w:rPr>
              <w:t>+43.7%</w:t>
            </w:r>
          </w:p>
        </w:tc>
        <w:tc>
          <w:tcPr>
            <w:tcW w:type="dxa" w:w="3135"/>
          </w:tcPr>
          <w:p>
            <w:r>
              <w:rPr>
                <w:rFonts w:ascii="Meiryo UI" w:hAnsi="Meiryo UI"/>
                <w:sz w:val="18"/>
              </w:rPr>
              <w:t>正常化PBR 0.75倍（化学中小型割安解消シナリオ）。シンナー値上げ50%分を転嫁・OP150〜200億円台回復</w:t>
            </w:r>
          </w:p>
        </w:tc>
      </w:tr>
      <w:tr>
        <w:tc>
          <w:tcPr>
            <w:tcW w:type="dxa" w:w="3135"/>
            <w:shd w:val="clear" w:color="auto" w:fill="DDEBF7"/>
          </w:tcPr>
          <w:p>
            <w:r>
              <w:rPr>
                <w:rFonts w:ascii="Meiryo UI" w:hAnsi="Meiryo UI"/>
                <w:sz w:val="18"/>
              </w:rPr>
              <w:t>Bull ¥3,600</w:t>
            </w:r>
          </w:p>
        </w:tc>
        <w:tc>
          <w:tcPr>
            <w:tcW w:type="dxa" w:w="3135"/>
            <w:shd w:val="clear" w:color="auto" w:fill="DDEBF7"/>
          </w:tcPr>
          <w:p>
            <w:r>
              <w:rPr>
                <w:rFonts w:ascii="Meiryo UI" w:hAnsi="Meiryo UI"/>
                <w:sz w:val="18"/>
              </w:rPr>
              <w:t>+84.7%</w:t>
            </w:r>
          </w:p>
        </w:tc>
        <w:tc>
          <w:tcPr>
            <w:tcW w:type="dxa" w:w="3135"/>
            <w:shd w:val="clear" w:color="auto" w:fill="DDEBF7"/>
          </w:tcPr>
          <w:p>
            <w:r>
              <w:rPr>
                <w:rFonts w:ascii="Meiryo UI" w:hAnsi="Meiryo UI"/>
                <w:sz w:val="18"/>
              </w:rPr>
              <w:t>価格転嫁75%が定着・PBR 0.97倍・BPS¥3,728接近。ホルムズ長期化=値上げ固定化シナリオ</w:t>
            </w:r>
          </w:p>
        </w:tc>
      </w:tr>
      <w:tr>
        <w:tc>
          <w:tcPr>
            <w:tcW w:type="dxa" w:w="3135"/>
          </w:tcPr>
          <w:p>
            <w:r>
              <w:rPr>
                <w:rFonts w:ascii="Meiryo UI" w:hAnsi="Meiryo UI"/>
                <w:sz w:val="18"/>
              </w:rPr>
              <w:t>Bear ¥1,600</w:t>
            </w:r>
          </w:p>
        </w:tc>
        <w:tc>
          <w:tcPr>
            <w:tcW w:type="dxa" w:w="3135"/>
          </w:tcPr>
          <w:p>
            <w:r>
              <w:rPr>
                <w:rFonts w:ascii="Meiryo UI" w:hAnsi="Meiryo UI"/>
                <w:sz w:val="18"/>
              </w:rPr>
              <w:t>▲17.9%</w:t>
            </w:r>
          </w:p>
        </w:tc>
        <w:tc>
          <w:tcPr>
            <w:tcW w:type="dxa" w:w="3135"/>
          </w:tcPr>
          <w:p>
            <w:r>
              <w:rPr>
                <w:rFonts w:ascii="Meiryo UI" w:hAnsi="Meiryo UI"/>
                <w:sz w:val="18"/>
              </w:rPr>
              <w:t>ホルムズ解決・ナフサ急落×値下げ圧力×コスト高固定。PBR 0.43倍</w:t>
            </w:r>
          </w:p>
        </w:tc>
      </w:tr>
    </w:tbl>
    <w:p/>
    <w:p>
      <w:r>
        <w:t>──────────────────────────────────────────────────</w:t>
      </w:r>
    </w:p>
    <w:p/>
    <w:p>
      <w:pPr>
        <w:pStyle w:val="Heading2"/>
      </w:pPr>
      <w:r>
        <w:rPr>
          <w:rFonts w:ascii="Meiryo UI" w:hAnsi="Meiryo UI"/>
          <w:color w:val="2E74B5"/>
        </w:rPr>
        <w:t>5. 中国シンナー規制・ホルムズ感応度分析【必須】</w:t>
      </w:r>
    </w:p>
    <w:p/>
    <w:p>
      <w:pPr>
        <w:pStyle w:val="Heading3"/>
      </w:pPr>
      <w:r>
        <w:rPr>
          <w:rFonts w:ascii="Meiryo UI" w:hAnsi="Meiryo UI"/>
          <w:color w:val="2E74B5"/>
        </w:rPr>
        <w:t>5-1. 中国軍民両用規制の影響（2026年1月6日発動）</w:t>
      </w:r>
    </w:p>
    <w:p/>
    <w:p>
      <w:r>
        <w:rPr>
          <w:rFonts w:ascii="Meiryo UI" w:hAnsi="Meiryo UI"/>
          <w:sz w:val="20"/>
        </w:rPr>
        <w:t>中国商務部は2026年1月6日、商務部公告2026年第1号により、日本の軍事エンドユーザー・用途向けの両用品目輸出を即日禁止した。トルエン・キシレンは中国では「第3類易制毒化学品」として規制下にあり、対日輸出規制品目リストへの該当リスクが浮上している。</w:t>
      </w:r>
    </w:p>
    <w:p/>
    <w:p>
      <w:r>
        <w:rPr>
          <w:rFonts w:ascii="Meiryo UI" w:hAnsi="Meiryo UI"/>
          <w:sz w:val="20"/>
        </w:rPr>
        <w:t>大伸化学への影響分析：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側面</w:t>
            </w:r>
          </w:p>
        </w:tc>
        <w:tc>
          <w:tcPr>
            <w:tcW w:type="dxa" w:w="3135"/>
            <w:shd w:val="clear" w:color="auto" w:fill="2E74B5"/>
          </w:tcPr>
          <w:p>
            <w:r>
              <w:rPr>
                <w:rFonts w:ascii="Meiryo UI" w:hAnsi="Meiryo UI"/>
                <w:b/>
                <w:color w:val="FFFFFF"/>
                <w:sz w:val="18"/>
              </w:rPr>
              <w:t>影響</w:t>
            </w:r>
          </w:p>
        </w:tc>
        <w:tc>
          <w:tcPr>
            <w:tcW w:type="dxa" w:w="3135"/>
            <w:shd w:val="clear" w:color="auto" w:fill="2E74B5"/>
          </w:tcPr>
          <w:p>
            <w:r>
              <w:rPr>
                <w:rFonts w:ascii="Meiryo UI" w:hAnsi="Meiryo UI"/>
                <w:b/>
                <w:color w:val="FFFFFF"/>
                <w:sz w:val="18"/>
              </w:rPr>
              <w:t>方向性</w:t>
            </w:r>
          </w:p>
        </w:tc>
      </w:tr>
      <w:tr>
        <w:tc>
          <w:tcPr>
            <w:tcW w:type="dxa" w:w="3135"/>
          </w:tcPr>
          <w:p>
            <w:r>
              <w:rPr>
                <w:rFonts w:ascii="Meiryo UI" w:hAnsi="Meiryo UI"/>
                <w:sz w:val="18"/>
              </w:rPr>
              <w:t>仕入コスト（トルエン・キシレン）</w:t>
            </w:r>
          </w:p>
        </w:tc>
        <w:tc>
          <w:tcPr>
            <w:tcW w:type="dxa" w:w="3135"/>
          </w:tcPr>
          <w:p>
            <w:r>
              <w:rPr>
                <w:rFonts w:ascii="Meiryo UI" w:hAnsi="Meiryo UI"/>
                <w:sz w:val="18"/>
              </w:rPr>
              <w:t>国内代替調達or輸入価格上昇</w:t>
            </w:r>
          </w:p>
        </w:tc>
        <w:tc>
          <w:tcPr>
            <w:tcW w:type="dxa" w:w="3135"/>
          </w:tcPr>
          <w:p>
            <w:r>
              <w:rPr>
                <w:rFonts w:ascii="Meiryo UI" w:hAnsi="Meiryo UI"/>
                <w:sz w:val="18"/>
              </w:rPr>
              <w:t>ネガティブ（コスト押し上げ）</w:t>
            </w:r>
          </w:p>
        </w:tc>
      </w:tr>
      <w:tr>
        <w:tc>
          <w:tcPr>
            <w:tcW w:type="dxa" w:w="3135"/>
            <w:shd w:val="clear" w:color="auto" w:fill="DDEBF7"/>
          </w:tcPr>
          <w:p>
            <w:r>
              <w:rPr>
                <w:rFonts w:ascii="Meiryo UI" w:hAnsi="Meiryo UI"/>
                <w:sz w:val="18"/>
              </w:rPr>
              <w:t>販売価格転嫁</w:t>
            </w:r>
          </w:p>
        </w:tc>
        <w:tc>
          <w:tcPr>
            <w:tcW w:type="dxa" w:w="3135"/>
            <w:shd w:val="clear" w:color="auto" w:fill="DDEBF7"/>
          </w:tcPr>
          <w:p>
            <w:r>
              <w:rPr>
                <w:rFonts w:ascii="Meiryo UI" w:hAnsi="Meiryo UI"/>
                <w:sz w:val="18"/>
              </w:rPr>
              <w:t>国内供給不足→競合も値上げ追随</w:t>
            </w:r>
          </w:p>
        </w:tc>
        <w:tc>
          <w:tcPr>
            <w:tcW w:type="dxa" w:w="3135"/>
            <w:shd w:val="clear" w:color="auto" w:fill="DDEBF7"/>
          </w:tcPr>
          <w:p>
            <w:r>
              <w:rPr>
                <w:rFonts w:ascii="Meiryo UI" w:hAnsi="Meiryo UI"/>
                <w:sz w:val="18"/>
              </w:rPr>
              <w:t>ポジティブ（価格転嫁余地拡大）</w:t>
            </w:r>
          </w:p>
        </w:tc>
      </w:tr>
      <w:tr>
        <w:tc>
          <w:tcPr>
            <w:tcW w:type="dxa" w:w="3135"/>
          </w:tcPr>
          <w:p>
            <w:r>
              <w:rPr>
                <w:rFonts w:ascii="Meiryo UI" w:hAnsi="Meiryo UI"/>
                <w:sz w:val="18"/>
              </w:rPr>
              <w:t>市場シェア</w:t>
            </w:r>
          </w:p>
        </w:tc>
        <w:tc>
          <w:tcPr>
            <w:tcW w:type="dxa" w:w="3135"/>
          </w:tcPr>
          <w:p>
            <w:r>
              <w:rPr>
                <w:rFonts w:ascii="Meiryo UI" w:hAnsi="Meiryo UI"/>
                <w:sz w:val="18"/>
              </w:rPr>
              <w:t>首位の調達力・仕入先多様化で追随者より有利</w:t>
            </w:r>
          </w:p>
        </w:tc>
        <w:tc>
          <w:tcPr>
            <w:tcW w:type="dxa" w:w="3135"/>
          </w:tcPr>
          <w:p>
            <w:r>
              <w:rPr>
                <w:rFonts w:ascii="Meiryo UI" w:hAnsi="Meiryo UI"/>
                <w:sz w:val="18"/>
              </w:rPr>
              <w:t>ポジティブ（相対優位）</w:t>
            </w:r>
          </w:p>
        </w:tc>
      </w:tr>
      <w:tr>
        <w:tc>
          <w:tcPr>
            <w:tcW w:type="dxa" w:w="3135"/>
            <w:shd w:val="clear" w:color="auto" w:fill="DDEBF7"/>
          </w:tcPr>
          <w:p>
            <w:r>
              <w:rPr>
                <w:rFonts w:ascii="Meiryo UI" w:hAnsi="Meiryo UI"/>
                <w:sz w:val="18"/>
              </w:rPr>
              <w:t>代替品需要</w:t>
            </w:r>
          </w:p>
        </w:tc>
        <w:tc>
          <w:tcPr>
            <w:tcW w:type="dxa" w:w="3135"/>
            <w:shd w:val="clear" w:color="auto" w:fill="DDEBF7"/>
          </w:tcPr>
          <w:p>
            <w:r>
              <w:rPr>
                <w:rFonts w:ascii="Meiryo UI" w:hAnsi="Meiryo UI"/>
                <w:sz w:val="18"/>
              </w:rPr>
              <w:t>三協化学等が代替品で一時新規停止→大伸に集中</w:t>
            </w:r>
          </w:p>
        </w:tc>
        <w:tc>
          <w:tcPr>
            <w:tcW w:type="dxa" w:w="3135"/>
            <w:shd w:val="clear" w:color="auto" w:fill="DDEBF7"/>
          </w:tcPr>
          <w:p>
            <w:r>
              <w:rPr>
                <w:rFonts w:ascii="Meiryo UI" w:hAnsi="Meiryo UI"/>
                <w:sz w:val="18"/>
              </w:rPr>
              <w:t>ポジティブ（引き合い増加）</w:t>
            </w:r>
          </w:p>
        </w:tc>
      </w:tr>
    </w:tbl>
    <w:p/>
    <w:p>
      <w:r>
        <w:rPr>
          <w:rFonts w:ascii="Meiryo UI" w:hAnsi="Meiryo UI"/>
          <w:sz w:val="20"/>
        </w:rPr>
        <w:t>総合評価：短期的にコスト上昇あるも、業界首位の転嫁力と代替品需要集中でネット・ポジティブ。</w:t>
      </w:r>
    </w:p>
    <w:p/>
    <w:p>
      <w:pPr>
        <w:pStyle w:val="Heading3"/>
      </w:pPr>
      <w:r>
        <w:rPr>
          <w:rFonts w:ascii="Meiryo UI" w:hAnsi="Meiryo UI"/>
          <w:color w:val="2E74B5"/>
        </w:rPr>
        <w:t>5-2. ホルムズ封鎖によるナフサ調達不安</w:t>
      </w:r>
    </w:p>
    <w:p/>
    <w:p>
      <w:r>
        <w:rPr>
          <w:rFonts w:ascii="Meiryo UI" w:hAnsi="Meiryo UI"/>
          <w:sz w:val="20"/>
        </w:rPr>
        <w:t>日本のナフサ調達は中東（ホルムズ海峡経由）依存度が高く、2026年2月末〜現在の実質封鎖でナフサ価格が$670/t→約$1,100/tに約64%急騰している。</w:t>
      </w:r>
    </w:p>
    <w:p/>
    <w:p>
      <w:r>
        <w:rPr>
          <w:rFonts w:ascii="Meiryo UI" w:hAnsi="Meiryo UI"/>
          <w:sz w:val="20"/>
        </w:rPr>
        <w:t>業績感応度試算（推定）：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年間仕入量（推定）</w:t>
            </w:r>
          </w:p>
        </w:tc>
        <w:tc>
          <w:tcPr>
            <w:tcW w:type="dxa" w:w="4703"/>
          </w:tcPr>
          <w:p>
            <w:r>
              <w:rPr>
                <w:rFonts w:ascii="Meiryo UI" w:hAnsi="Meiryo UI"/>
                <w:sz w:val="18"/>
              </w:rPr>
              <w:t>約13万トン（生産量ベース）</w:t>
            </w:r>
          </w:p>
        </w:tc>
      </w:tr>
      <w:tr>
        <w:tc>
          <w:tcPr>
            <w:tcW w:type="dxa" w:w="4703"/>
            <w:shd w:val="clear" w:color="auto" w:fill="DDEBF7"/>
          </w:tcPr>
          <w:p>
            <w:r>
              <w:rPr>
                <w:rFonts w:ascii="Meiryo UI" w:hAnsi="Meiryo UI"/>
                <w:sz w:val="18"/>
              </w:rPr>
              <w:t>原材料費/売上高比率（推定）</w:t>
            </w:r>
          </w:p>
        </w:tc>
        <w:tc>
          <w:tcPr>
            <w:tcW w:type="dxa" w:w="4703"/>
            <w:shd w:val="clear" w:color="auto" w:fill="DDEBF7"/>
          </w:tcPr>
          <w:p>
            <w:r>
              <w:rPr>
                <w:rFonts w:ascii="Meiryo UI" w:hAnsi="Meiryo UI"/>
                <w:sz w:val="18"/>
              </w:rPr>
              <w:t>約75〜80%（販売会社型ビジネス特性）</w:t>
            </w:r>
          </w:p>
        </w:tc>
      </w:tr>
      <w:tr>
        <w:tc>
          <w:tcPr>
            <w:tcW w:type="dxa" w:w="4703"/>
          </w:tcPr>
          <w:p>
            <w:r>
              <w:rPr>
                <w:rFonts w:ascii="Meiryo UI" w:hAnsi="Meiryo UI"/>
                <w:sz w:val="18"/>
              </w:rPr>
              <w:t>ナフサ価格+10%上昇（+$110/t）時の仕入コスト増</w:t>
            </w:r>
          </w:p>
        </w:tc>
        <w:tc>
          <w:tcPr>
            <w:tcW w:type="dxa" w:w="4703"/>
          </w:tcPr>
          <w:p>
            <w:r>
              <w:rPr>
                <w:rFonts w:ascii="Meiryo UI" w:hAnsi="Meiryo UI"/>
                <w:sz w:val="18"/>
              </w:rPr>
              <w:t>約13万トン×110$/t×150円/$≒約21億4,500万円増加</w:t>
            </w:r>
          </w:p>
        </w:tc>
      </w:tr>
      <w:tr>
        <w:tc>
          <w:tcPr>
            <w:tcW w:type="dxa" w:w="4703"/>
            <w:shd w:val="clear" w:color="auto" w:fill="DDEBF7"/>
          </w:tcPr>
          <w:p>
            <w:r>
              <w:rPr>
                <w:rFonts w:ascii="Meiryo UI" w:hAnsi="Meiryo UI"/>
                <w:sz w:val="18"/>
              </w:rPr>
              <w:t>販売価格75%値上げ転嫁の粗試算売上影響</w:t>
            </w:r>
          </w:p>
        </w:tc>
        <w:tc>
          <w:tcPr>
            <w:tcW w:type="dxa" w:w="4703"/>
            <w:shd w:val="clear" w:color="auto" w:fill="DDEBF7"/>
          </w:tcPr>
          <w:p>
            <w:r>
              <w:rPr>
                <w:rFonts w:ascii="Meiryo UI" w:hAnsi="Meiryo UI"/>
                <w:sz w:val="18"/>
              </w:rPr>
              <w:t>347億×75%転嫁分×一定割合= 数十億円規模の増収</w:t>
            </w:r>
          </w:p>
        </w:tc>
      </w:tr>
    </w:tbl>
    <w:p/>
    <w:p>
      <w:r>
        <w:rPr>
          <w:rFonts w:ascii="Meiryo UI" w:hAnsi="Meiryo UI"/>
          <w:sz w:val="20"/>
        </w:rPr>
        <w:t>注：上記は仕入量・ナフサ比率とも公式未確認の概算値。有価証券報告書・決算資料で要精緻化。</w:t>
      </w:r>
    </w:p>
    <w:p/>
    <w:p>
      <w:r>
        <w:rPr>
          <w:rFonts w:ascii="Meiryo UI" w:hAnsi="Meiryo UI"/>
          <w:sz w:val="20"/>
        </w:rPr>
        <w:t>重要なポイント：大伸化学は調達→ブレンド→販売の「特約卸型」ビジネスモデル。ナフサ価格上昇は仕入コスト増要因だが、日本ペイントのシンナー75%値上げに連動して販売価格を同水準引き上げれば利益率は改善する可能性がある。Q3累計で営業利益+79.6%を達成できた背景は、過去数年のナフサ安局面での利益改善であった。今後はナフサ高局面での価格転嫁力が試される。</w:t>
      </w:r>
    </w:p>
    <w:p/>
    <w:p>
      <w:pPr>
        <w:pStyle w:val="Heading3"/>
      </w:pPr>
      <w:r>
        <w:rPr>
          <w:rFonts w:ascii="Meiryo UI" w:hAnsi="Meiryo UI"/>
          <w:color w:val="2E74B5"/>
        </w:rPr>
        <w:t>5-3. 国内溶剤需給逼迫での価格転嫁余地</w:t>
      </w:r>
    </w:p>
    <w:p/>
    <w:p>
      <w:r>
        <w:rPr>
          <w:rFonts w:ascii="Meiryo UI" w:hAnsi="Meiryo UI"/>
          <w:sz w:val="20"/>
        </w:rPr>
        <w:t>2026年3月〜4月の状況（公開情報確認）：</w:t>
      </w:r>
    </w:p>
    <w:p>
      <w:pPr>
        <w:pStyle w:val="ListBullet"/>
      </w:pPr>
      <w:r>
        <w:rPr>
          <w:rFonts w:ascii="Meiryo UI" w:hAnsi="Meiryo UI"/>
          <w:sz w:val="20"/>
        </w:rPr>
        <w:t>日本ペイント：シンナー製品75%値上げ（3月19日〜）</w:t>
      </w:r>
    </w:p>
    <w:p>
      <w:pPr>
        <w:pStyle w:val="ListBullet"/>
      </w:pPr>
      <w:r>
        <w:rPr>
          <w:rFonts w:ascii="Meiryo UI" w:hAnsi="Meiryo UI"/>
          <w:sz w:val="20"/>
        </w:rPr>
        <w:t>国内メーカー：出荷制限・受注停止相次ぐ</w:t>
      </w:r>
    </w:p>
    <w:p>
      <w:pPr>
        <w:pStyle w:val="ListBullet"/>
      </w:pPr>
      <w:r>
        <w:rPr>
          <w:rFonts w:ascii="Meiryo UI" w:hAnsi="Meiryo UI"/>
          <w:sz w:val="20"/>
        </w:rPr>
        <w:t>品薄中間シナリオ：年内継続・20〜30%値上げ定着予想</w:t>
      </w:r>
    </w:p>
    <w:p>
      <w:pPr>
        <w:pStyle w:val="ListBullet"/>
      </w:pPr>
      <w:r>
        <w:rPr>
          <w:rFonts w:ascii="Meiryo UI" w:hAnsi="Meiryo UI"/>
          <w:sz w:val="20"/>
        </w:rPr>
        <w:t>大伸化学への影響：競合の出荷制限が取引先からの発注集中を誘発</w:t>
      </w:r>
    </w:p>
    <w:p/>
    <w:p>
      <w:r>
        <w:rPr>
          <w:rFonts w:ascii="Meiryo UI" w:hAnsi="Meiryo UI"/>
          <w:sz w:val="20"/>
        </w:rPr>
        <w:t>大伸化学の価格転嫁余地：大（首位×専業×代替品受け皿）</w:t>
      </w:r>
    </w:p>
    <w:p/>
    <w:p>
      <w:r>
        <w:t>──────────────────────────────────────────────────</w:t>
      </w:r>
    </w:p>
    <w:p/>
    <w:p>
      <w:pPr>
        <w:pStyle w:val="Heading2"/>
      </w:pPr>
      <w:r>
        <w:rPr>
          <w:rFonts w:ascii="Meiryo UI" w:hAnsi="Meiryo UI"/>
          <w:color w:val="2E74B5"/>
        </w:rPr>
        <w:t>6. 不動産含み益考察【必須】</w:t>
      </w:r>
    </w:p>
    <w:p/>
    <w:p>
      <w:pPr>
        <w:pStyle w:val="Heading3"/>
      </w:pPr>
      <w:r>
        <w:rPr>
          <w:rFonts w:ascii="Meiryo UI" w:hAnsi="Meiryo UI"/>
          <w:color w:val="2E74B5"/>
        </w:rPr>
        <w:t>判明している情報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総資産</w:t>
            </w:r>
          </w:p>
        </w:tc>
        <w:tc>
          <w:tcPr>
            <w:tcW w:type="dxa" w:w="3135"/>
          </w:tcPr>
          <w:p>
            <w:r>
              <w:rPr>
                <w:rFonts w:ascii="Meiryo UI" w:hAnsi="Meiryo UI"/>
                <w:sz w:val="18"/>
              </w:rPr>
              <w:t>262億3,300万円</w:t>
            </w:r>
          </w:p>
        </w:tc>
        <w:tc>
          <w:tcPr>
            <w:tcW w:type="dxa" w:w="3135"/>
          </w:tcPr>
          <w:p>
            <w:r>
              <w:rPr>
                <w:rFonts w:ascii="Meiryo UI" w:hAnsi="Meiryo UI"/>
                <w:sz w:val="18"/>
              </w:rPr>
              <w:t>Q3決算短信（公式）</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170億5,900万円</w:t>
            </w:r>
          </w:p>
        </w:tc>
        <w:tc>
          <w:tcPr>
            <w:tcW w:type="dxa" w:w="3135"/>
            <w:shd w:val="clear" w:color="auto" w:fill="DDEBF7"/>
          </w:tcPr>
          <w:p>
            <w:r>
              <w:rPr>
                <w:rFonts w:ascii="Meiryo UI" w:hAnsi="Meiryo UI"/>
                <w:sz w:val="18"/>
              </w:rPr>
              <w:t>Q3決算短信（公式）</w:t>
            </w:r>
          </w:p>
        </w:tc>
      </w:tr>
      <w:tr>
        <w:tc>
          <w:tcPr>
            <w:tcW w:type="dxa" w:w="3135"/>
          </w:tcPr>
          <w:p>
            <w:r>
              <w:rPr>
                <w:rFonts w:ascii="Meiryo UI" w:hAnsi="Meiryo UI"/>
                <w:sz w:val="18"/>
              </w:rPr>
              <w:t>流動資産</w:t>
            </w:r>
          </w:p>
        </w:tc>
        <w:tc>
          <w:tcPr>
            <w:tcW w:type="dxa" w:w="3135"/>
          </w:tcPr>
          <w:p>
            <w:r>
              <w:rPr>
                <w:rFonts w:ascii="Meiryo UI" w:hAnsi="Meiryo UI"/>
                <w:sz w:val="18"/>
              </w:rPr>
              <w:t>約203億円</w:t>
            </w:r>
          </w:p>
        </w:tc>
        <w:tc>
          <w:tcPr>
            <w:tcW w:type="dxa" w:w="3135"/>
          </w:tcPr>
          <w:p>
            <w:r>
              <w:rPr>
                <w:rFonts w:ascii="Meiryo UI" w:hAnsi="Meiryo UI"/>
                <w:sz w:val="18"/>
              </w:rPr>
              <w:t>SimplyWall St参照（概算）</w:t>
            </w:r>
          </w:p>
        </w:tc>
      </w:tr>
      <w:tr>
        <w:tc>
          <w:tcPr>
            <w:tcW w:type="dxa" w:w="3135"/>
            <w:shd w:val="clear" w:color="auto" w:fill="DDEBF7"/>
          </w:tcPr>
          <w:p>
            <w:r>
              <w:rPr>
                <w:rFonts w:ascii="Meiryo UI" w:hAnsi="Meiryo UI"/>
                <w:sz w:val="18"/>
              </w:rPr>
              <w:t>固定資産（推計）</w:t>
            </w:r>
          </w:p>
        </w:tc>
        <w:tc>
          <w:tcPr>
            <w:tcW w:type="dxa" w:w="3135"/>
            <w:shd w:val="clear" w:color="auto" w:fill="DDEBF7"/>
          </w:tcPr>
          <w:p>
            <w:r>
              <w:rPr>
                <w:rFonts w:ascii="Meiryo UI" w:hAnsi="Meiryo UI"/>
                <w:sz w:val="18"/>
              </w:rPr>
              <w:t>約59億円</w:t>
            </w:r>
          </w:p>
        </w:tc>
        <w:tc>
          <w:tcPr>
            <w:tcW w:type="dxa" w:w="3135"/>
            <w:shd w:val="clear" w:color="auto" w:fill="DDEBF7"/>
          </w:tcPr>
          <w:p>
            <w:r>
              <w:rPr>
                <w:rFonts w:ascii="Meiryo UI" w:hAnsi="Meiryo UI"/>
                <w:sz w:val="18"/>
              </w:rPr>
              <w:t>総資産-流動資産（概算）</w:t>
            </w:r>
          </w:p>
        </w:tc>
      </w:tr>
    </w:tbl>
    <w:p/>
    <w:p>
      <w:pPr>
        <w:pStyle w:val="Heading3"/>
      </w:pPr>
      <w:r>
        <w:rPr>
          <w:rFonts w:ascii="Meiryo UI" w:hAnsi="Meiryo UI"/>
          <w:color w:val="2E74B5"/>
        </w:rPr>
        <w:t>土地・建物の含み益推計</w:t>
      </w:r>
    </w:p>
    <w:p/>
    <w:p>
      <w:r>
        <w:rPr>
          <w:rFonts w:ascii="Meiryo UI" w:hAnsi="Meiryo UI"/>
          <w:sz w:val="20"/>
        </w:rPr>
        <w:t>公式の有価証券報告書（2025年3月期）から有形固定資産内訳・土地の帳簿価額は未取得のため、以下は概算推計。</w:t>
      </w:r>
    </w:p>
    <w:p/>
    <w:p>
      <w:pPr>
        <w:pStyle w:val="ListBullet"/>
      </w:pPr>
      <w:r>
        <w:rPr>
          <w:rFonts w:ascii="Meiryo UI" w:hAnsi="Meiryo UI"/>
          <w:sz w:val="20"/>
        </w:rPr>
        <w:t>越谷工場・兵庫工場という2拠点に加え、本社（港区）所在。</w:t>
      </w:r>
    </w:p>
    <w:p>
      <w:pPr>
        <w:pStyle w:val="ListBullet"/>
      </w:pPr>
      <w:r>
        <w:rPr>
          <w:rFonts w:ascii="Meiryo UI" w:hAnsi="Meiryo UI"/>
          <w:sz w:val="20"/>
        </w:rPr>
        <w:t>港区の商業地評価は帳簿価額に対して相当の含み益が見込まれる可能性がある。</w:t>
      </w:r>
    </w:p>
    <w:p>
      <w:pPr>
        <w:pStyle w:val="ListBullet"/>
      </w:pPr>
      <w:r>
        <w:rPr>
          <w:rFonts w:ascii="Meiryo UI" w:hAnsi="Meiryo UI"/>
          <w:sz w:val="20"/>
        </w:rPr>
        <w:t>1952年設立（74年）の老舗メーカーで、取得原価は現在の土地評価と乖離している可能性が高い。</w:t>
      </w:r>
    </w:p>
    <w:p>
      <w:pPr>
        <w:pStyle w:val="ListBullet"/>
      </w:pPr>
      <w:r>
        <w:rPr>
          <w:rFonts w:ascii="Meiryo UI" w:hAnsi="Meiryo UI"/>
          <w:sz w:val="20"/>
        </w:rPr>
        <w:t>推定含み益：数億円〜20億円程度（港区本社ビル・工場地相場ベース概算）</w:t>
      </w:r>
    </w:p>
    <w:p>
      <w:pPr>
        <w:pStyle w:val="ListBullet"/>
      </w:pPr>
      <w:r>
        <w:rPr>
          <w:rFonts w:ascii="Meiryo UI" w:hAnsi="Meiryo UI"/>
          <w:sz w:val="20"/>
        </w:rPr>
        <w:t>NAVへの影響：仮に含み益10億円の場合、1株NAV換算で+200〜250円程度の押し上げ要因。</w:t>
      </w:r>
    </w:p>
    <w:p/>
    <w:p>
      <w:r>
        <w:rPr>
          <w:rFonts w:ascii="Meiryo UI" w:hAnsi="Meiryo UI"/>
          <w:sz w:val="20"/>
        </w:rPr>
        <w:t>結論：詳細は有価証券報告書「有形固定資産明細」の確認が必須。IR質問状で照会予定。</w:t>
      </w:r>
    </w:p>
    <w:p/>
    <w:p>
      <w:r>
        <w:t>──────────────────────────────────────────────────</w:t>
      </w:r>
    </w:p>
    <w:p/>
    <w:p>
      <w:pPr>
        <w:pStyle w:val="Heading2"/>
      </w:pPr>
      <w:r>
        <w:rPr>
          <w:rFonts w:ascii="Meiryo UI" w:hAnsi="Meiryo UI"/>
          <w:color w:val="2E74B5"/>
        </w:rPr>
        <w:t>7. リスクシナリオ定量化</w:t>
      </w:r>
    </w:p>
    <w:p/>
    <w:p>
      <w:pPr>
        <w:pStyle w:val="Heading3"/>
      </w:pPr>
      <w:r>
        <w:rPr>
          <w:rFonts w:ascii="Meiryo UI" w:hAnsi="Meiryo UI"/>
          <w:color w:val="2E74B5"/>
        </w:rPr>
        <w:t>7-1. ナフサ価格上昇シナリオ（コスト先行・転嫁遅延）</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ナフサ価格</w:t>
            </w:r>
          </w:p>
        </w:tc>
        <w:tc>
          <w:tcPr>
            <w:tcW w:type="dxa" w:w="1881"/>
            <w:shd w:val="clear" w:color="auto" w:fill="2E74B5"/>
          </w:tcPr>
          <w:p>
            <w:r>
              <w:rPr>
                <w:rFonts w:ascii="Meiryo UI" w:hAnsi="Meiryo UI"/>
                <w:b/>
                <w:color w:val="FFFFFF"/>
                <w:sz w:val="18"/>
              </w:rPr>
              <w:t>仕入コスト増（推計）</w:t>
            </w:r>
          </w:p>
        </w:tc>
        <w:tc>
          <w:tcPr>
            <w:tcW w:type="dxa" w:w="1881"/>
            <w:shd w:val="clear" w:color="auto" w:fill="2E74B5"/>
          </w:tcPr>
          <w:p>
            <w:r>
              <w:rPr>
                <w:rFonts w:ascii="Meiryo UI" w:hAnsi="Meiryo UI"/>
                <w:b/>
                <w:color w:val="FFFFFF"/>
                <w:sz w:val="18"/>
              </w:rPr>
              <w:t>価格転嫁率</w:t>
            </w:r>
          </w:p>
        </w:tc>
        <w:tc>
          <w:tcPr>
            <w:tcW w:type="dxa" w:w="1881"/>
            <w:shd w:val="clear" w:color="auto" w:fill="2E74B5"/>
          </w:tcPr>
          <w:p>
            <w:r>
              <w:rPr>
                <w:rFonts w:ascii="Meiryo UI" w:hAnsi="Meiryo UI"/>
                <w:b/>
                <w:color w:val="FFFFFF"/>
                <w:sz w:val="18"/>
              </w:rPr>
              <w:t>OP影響（推計）</w:t>
            </w:r>
          </w:p>
        </w:tc>
      </w:tr>
      <w:tr>
        <w:tc>
          <w:tcPr>
            <w:tcW w:type="dxa" w:w="1881"/>
          </w:tcPr>
          <w:p>
            <w:r>
              <w:rPr>
                <w:rFonts w:ascii="Meiryo UI" w:hAnsi="Meiryo UI"/>
                <w:sz w:val="18"/>
              </w:rPr>
              <w:t>ベース</w:t>
            </w:r>
          </w:p>
        </w:tc>
        <w:tc>
          <w:tcPr>
            <w:tcW w:type="dxa" w:w="1881"/>
          </w:tcPr>
          <w:p>
            <w:r>
              <w:rPr>
                <w:rFonts w:ascii="Meiryo UI" w:hAnsi="Meiryo UI"/>
                <w:sz w:val="18"/>
              </w:rPr>
              <w:t>$1,100/t（+64%）</w:t>
            </w:r>
          </w:p>
        </w:tc>
        <w:tc>
          <w:tcPr>
            <w:tcW w:type="dxa" w:w="1881"/>
          </w:tcPr>
          <w:p>
            <w:r>
              <w:rPr>
                <w:rFonts w:ascii="Meiryo UI" w:hAnsi="Meiryo UI"/>
                <w:sz w:val="18"/>
              </w:rPr>
              <w:t>+21億円</w:t>
            </w:r>
          </w:p>
        </w:tc>
        <w:tc>
          <w:tcPr>
            <w:tcW w:type="dxa" w:w="1881"/>
          </w:tcPr>
          <w:p>
            <w:r>
              <w:rPr>
                <w:rFonts w:ascii="Meiryo UI" w:hAnsi="Meiryo UI"/>
                <w:sz w:val="18"/>
              </w:rPr>
              <w:t>80%</w:t>
            </w:r>
          </w:p>
        </w:tc>
        <w:tc>
          <w:tcPr>
            <w:tcW w:type="dxa" w:w="1881"/>
          </w:tcPr>
          <w:p>
            <w:r>
              <w:rPr>
                <w:rFonts w:ascii="Meiryo UI" w:hAnsi="Meiryo UI"/>
                <w:sz w:val="18"/>
              </w:rPr>
              <w:t>▲4億円</w:t>
            </w:r>
          </w:p>
        </w:tc>
      </w:tr>
      <w:tr>
        <w:tc>
          <w:tcPr>
            <w:tcW w:type="dxa" w:w="1881"/>
            <w:shd w:val="clear" w:color="auto" w:fill="DDEBF7"/>
          </w:tcPr>
          <w:p>
            <w:r>
              <w:rPr>
                <w:rFonts w:ascii="Meiryo UI" w:hAnsi="Meiryo UI"/>
                <w:sz w:val="18"/>
              </w:rPr>
              <w:t>ホルムズ長期化</w:t>
            </w:r>
          </w:p>
        </w:tc>
        <w:tc>
          <w:tcPr>
            <w:tcW w:type="dxa" w:w="1881"/>
            <w:shd w:val="clear" w:color="auto" w:fill="DDEBF7"/>
          </w:tcPr>
          <w:p>
            <w:r>
              <w:rPr>
                <w:rFonts w:ascii="Meiryo UI" w:hAnsi="Meiryo UI"/>
                <w:sz w:val="18"/>
              </w:rPr>
              <w:t>$1,300/t（+94%）</w:t>
            </w:r>
          </w:p>
        </w:tc>
        <w:tc>
          <w:tcPr>
            <w:tcW w:type="dxa" w:w="1881"/>
            <w:shd w:val="clear" w:color="auto" w:fill="DDEBF7"/>
          </w:tcPr>
          <w:p>
            <w:r>
              <w:rPr>
                <w:rFonts w:ascii="Meiryo UI" w:hAnsi="Meiryo UI"/>
                <w:sz w:val="18"/>
              </w:rPr>
              <w:t>+30億円</w:t>
            </w:r>
          </w:p>
        </w:tc>
        <w:tc>
          <w:tcPr>
            <w:tcW w:type="dxa" w:w="1881"/>
            <w:shd w:val="clear" w:color="auto" w:fill="DDEBF7"/>
          </w:tcPr>
          <w:p>
            <w:r>
              <w:rPr>
                <w:rFonts w:ascii="Meiryo UI" w:hAnsi="Meiryo UI"/>
                <w:sz w:val="18"/>
              </w:rPr>
              <w:t>90%</w:t>
            </w:r>
          </w:p>
        </w:tc>
        <w:tc>
          <w:tcPr>
            <w:tcW w:type="dxa" w:w="1881"/>
            <w:shd w:val="clear" w:color="auto" w:fill="DDEBF7"/>
          </w:tcPr>
          <w:p>
            <w:r>
              <w:rPr>
                <w:rFonts w:ascii="Meiryo UI" w:hAnsi="Meiryo UI"/>
                <w:sz w:val="18"/>
              </w:rPr>
              <w:t>▲3億円</w:t>
            </w:r>
          </w:p>
        </w:tc>
      </w:tr>
      <w:tr>
        <w:tc>
          <w:tcPr>
            <w:tcW w:type="dxa" w:w="1881"/>
          </w:tcPr>
          <w:p>
            <w:r>
              <w:rPr>
                <w:rFonts w:ascii="Meiryo UI" w:hAnsi="Meiryo UI"/>
                <w:sz w:val="18"/>
              </w:rPr>
              <w:t>ホルムズ長期化×転嫁遅延</w:t>
            </w:r>
          </w:p>
        </w:tc>
        <w:tc>
          <w:tcPr>
            <w:tcW w:type="dxa" w:w="1881"/>
          </w:tcPr>
          <w:p>
            <w:r>
              <w:rPr>
                <w:rFonts w:ascii="Meiryo UI" w:hAnsi="Meiryo UI"/>
                <w:sz w:val="18"/>
              </w:rPr>
              <w:t>$1,300/t</w:t>
            </w:r>
          </w:p>
        </w:tc>
        <w:tc>
          <w:tcPr>
            <w:tcW w:type="dxa" w:w="1881"/>
          </w:tcPr>
          <w:p>
            <w:r>
              <w:rPr>
                <w:rFonts w:ascii="Meiryo UI" w:hAnsi="Meiryo UI"/>
                <w:sz w:val="18"/>
              </w:rPr>
              <w:t>+30億円</w:t>
            </w:r>
          </w:p>
        </w:tc>
        <w:tc>
          <w:tcPr>
            <w:tcW w:type="dxa" w:w="1881"/>
          </w:tcPr>
          <w:p>
            <w:r>
              <w:rPr>
                <w:rFonts w:ascii="Meiryo UI" w:hAnsi="Meiryo UI"/>
                <w:sz w:val="18"/>
              </w:rPr>
              <w:t>50%</w:t>
            </w:r>
          </w:p>
        </w:tc>
        <w:tc>
          <w:tcPr>
            <w:tcW w:type="dxa" w:w="1881"/>
          </w:tcPr>
          <w:p>
            <w:r>
              <w:rPr>
                <w:rFonts w:ascii="Meiryo UI" w:hAnsi="Meiryo UI"/>
                <w:sz w:val="18"/>
              </w:rPr>
              <w:t>▲15億円</w:t>
            </w:r>
          </w:p>
        </w:tc>
      </w:tr>
    </w:tbl>
    <w:p/>
    <w:p>
      <w:r>
        <w:rPr>
          <w:rFonts w:ascii="Meiryo UI" w:hAnsi="Meiryo UI"/>
          <w:sz w:val="20"/>
        </w:rPr>
        <w:t>最悪ケース（転嫁遅延+ナフサ高止まり）ではOP赤字転落リスクあり。ただし2026年3月期Q3での+79.6%増益は原材料安局面での先行利益確保であり、一定の弾力あり。</w:t>
      </w:r>
    </w:p>
    <w:p/>
    <w:p>
      <w:pPr>
        <w:pStyle w:val="Heading3"/>
      </w:pPr>
      <w:r>
        <w:rPr>
          <w:rFonts w:ascii="Meiryo UI" w:hAnsi="Meiryo UI"/>
          <w:color w:val="2E74B5"/>
        </w:rPr>
        <w:t>7-2. ホルムズ解決時の影響（バックキャスト）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影響</w:t>
            </w:r>
          </w:p>
        </w:tc>
        <w:tc>
          <w:tcPr>
            <w:tcW w:type="dxa" w:w="3135"/>
            <w:shd w:val="clear" w:color="auto" w:fill="2E74B5"/>
          </w:tcPr>
          <w:p>
            <w:r>
              <w:rPr>
                <w:rFonts w:ascii="Meiryo UI" w:hAnsi="Meiryo UI"/>
                <w:b/>
                <w:color w:val="FFFFFF"/>
                <w:sz w:val="18"/>
              </w:rPr>
              <w:t>定量試算</w:t>
            </w:r>
          </w:p>
        </w:tc>
      </w:tr>
      <w:tr>
        <w:tc>
          <w:tcPr>
            <w:tcW w:type="dxa" w:w="3135"/>
          </w:tcPr>
          <w:p>
            <w:r>
              <w:rPr>
                <w:rFonts w:ascii="Meiryo UI" w:hAnsi="Meiryo UI"/>
                <w:sz w:val="18"/>
              </w:rPr>
              <w:t>ナフサ価格急落（$1,100→$700）</w:t>
            </w:r>
          </w:p>
        </w:tc>
        <w:tc>
          <w:tcPr>
            <w:tcW w:type="dxa" w:w="3135"/>
          </w:tcPr>
          <w:p>
            <w:r>
              <w:rPr>
                <w:rFonts w:ascii="Meiryo UI" w:hAnsi="Meiryo UI"/>
                <w:sz w:val="18"/>
              </w:rPr>
              <w:t>仕入コスト▲約16億円改善</w:t>
            </w:r>
          </w:p>
        </w:tc>
        <w:tc>
          <w:tcPr>
            <w:tcW w:type="dxa" w:w="3135"/>
          </w:tcPr>
          <w:p>
            <w:r>
              <w:rPr>
                <w:rFonts w:ascii="Meiryo UI" w:hAnsi="Meiryo UI"/>
                <w:sz w:val="18"/>
              </w:rPr>
              <w:t>OP+7〜10億円（転嫁維持の場合）</w:t>
            </w:r>
          </w:p>
        </w:tc>
      </w:tr>
      <w:tr>
        <w:tc>
          <w:tcPr>
            <w:tcW w:type="dxa" w:w="3135"/>
            <w:shd w:val="clear" w:color="auto" w:fill="DDEBF7"/>
          </w:tcPr>
          <w:p>
            <w:r>
              <w:rPr>
                <w:rFonts w:ascii="Meiryo UI" w:hAnsi="Meiryo UI"/>
                <w:sz w:val="18"/>
              </w:rPr>
              <w:t>販売価格も急落（競合が値下げ）</w:t>
            </w:r>
          </w:p>
        </w:tc>
        <w:tc>
          <w:tcPr>
            <w:tcW w:type="dxa" w:w="3135"/>
            <w:shd w:val="clear" w:color="auto" w:fill="DDEBF7"/>
          </w:tcPr>
          <w:p>
            <w:r>
              <w:rPr>
                <w:rFonts w:ascii="Meiryo UI" w:hAnsi="Meiryo UI"/>
                <w:sz w:val="18"/>
              </w:rPr>
              <w:t>売上急減</w:t>
            </w:r>
          </w:p>
        </w:tc>
        <w:tc>
          <w:tcPr>
            <w:tcW w:type="dxa" w:w="3135"/>
            <w:shd w:val="clear" w:color="auto" w:fill="DDEBF7"/>
          </w:tcPr>
          <w:p>
            <w:r>
              <w:rPr>
                <w:rFonts w:ascii="Meiryo UI" w:hAnsi="Meiryo UI"/>
                <w:sz w:val="18"/>
              </w:rPr>
              <w:t>OP±0（転嫁なければコスト安のみ恩恵）</w:t>
            </w:r>
          </w:p>
        </w:tc>
      </w:tr>
      <w:tr>
        <w:tc>
          <w:tcPr>
            <w:tcW w:type="dxa" w:w="3135"/>
          </w:tcPr>
          <w:p>
            <w:r>
              <w:rPr>
                <w:rFonts w:ascii="Meiryo UI" w:hAnsi="Meiryo UI"/>
                <w:sz w:val="18"/>
              </w:rPr>
              <w:t>中国規制継続×ナフサ急落</w:t>
            </w:r>
          </w:p>
        </w:tc>
        <w:tc>
          <w:tcPr>
            <w:tcW w:type="dxa" w:w="3135"/>
          </w:tcPr>
          <w:p>
            <w:r>
              <w:rPr>
                <w:rFonts w:ascii="Meiryo UI" w:hAnsi="Meiryo UI"/>
                <w:sz w:val="18"/>
              </w:rPr>
              <w:t>トルエン・キシレン国内品薄継続</w:t>
            </w:r>
          </w:p>
        </w:tc>
        <w:tc>
          <w:tcPr>
            <w:tcW w:type="dxa" w:w="3135"/>
          </w:tcPr>
          <w:p>
            <w:r>
              <w:rPr>
                <w:rFonts w:ascii="Meiryo UI" w:hAnsi="Meiryo UI"/>
                <w:sz w:val="18"/>
              </w:rPr>
              <w:t>最善シナリオ：OP15億円超</w:t>
            </w:r>
          </w:p>
        </w:tc>
      </w:tr>
    </w:tbl>
    <w:p/>
    <w:p>
      <w:r>
        <w:rPr>
          <w:rFonts w:ascii="Meiryo UI" w:hAnsi="Meiryo UI"/>
          <w:sz w:val="20"/>
        </w:rPr>
        <w:t>評価：ホルムズ解決後も中国規制が続く場合は溶剤品薄継続→大伸化学の価格転嫁力維持。ナフサ安+価格維持の「ゴールデンゾーン」が最大の上昇シナリオ。</w:t>
      </w:r>
    </w:p>
    <w:p/>
    <w:p>
      <w:r>
        <w:t>──────────────────────────────────────────────────</w:t>
      </w:r>
    </w:p>
    <w:p/>
    <w:p>
      <w:pPr>
        <w:pStyle w:val="Heading2"/>
      </w:pPr>
      <w:r>
        <w:rPr>
          <w:rFonts w:ascii="Meiryo UI" w:hAnsi="Meiryo UI"/>
          <w:color w:val="2E74B5"/>
        </w:rPr>
        <w:t>8. 浅井スコア</w:t>
      </w:r>
    </w:p>
    <w:p/>
    <w:p>
      <w:pPr>
        <w:pStyle w:val="Heading3"/>
      </w:pPr>
      <w:r>
        <w:rPr>
          <w:rFonts w:ascii="Meiryo UI" w:hAnsi="Meiryo UI"/>
          <w:color w:val="2E74B5"/>
        </w:rPr>
        <w:t>スコア：+72（BUY）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バリュエーション（低PBR）</w:t>
            </w:r>
          </w:p>
        </w:tc>
        <w:tc>
          <w:tcPr>
            <w:tcW w:type="dxa" w:w="3135"/>
          </w:tcPr>
          <w:p>
            <w:r>
              <w:rPr>
                <w:rFonts w:ascii="Meiryo UI" w:hAnsi="Meiryo UI"/>
                <w:sz w:val="18"/>
              </w:rPr>
              <w:t>+25</w:t>
            </w:r>
          </w:p>
        </w:tc>
        <w:tc>
          <w:tcPr>
            <w:tcW w:type="dxa" w:w="3135"/>
          </w:tcPr>
          <w:p>
            <w:r>
              <w:rPr>
                <w:rFonts w:ascii="Meiryo UI" w:hAnsi="Meiryo UI"/>
                <w:sz w:val="18"/>
              </w:rPr>
              <w:t>PBR 0.52倍はリスクプレミアム過大。解散価値対比47%ディスカウント</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自己資本比率65%・有利子負債/総資産1.8%・現金66億円超</w:t>
            </w:r>
          </w:p>
        </w:tc>
      </w:tr>
      <w:tr>
        <w:tc>
          <w:tcPr>
            <w:tcW w:type="dxa" w:w="3135"/>
          </w:tcPr>
          <w:p>
            <w:r>
              <w:rPr>
                <w:rFonts w:ascii="Meiryo UI" w:hAnsi="Meiryo UI"/>
                <w:sz w:val="18"/>
              </w:rPr>
              <w:t>需給カタリスト（シンナー品薄）</w:t>
            </w:r>
          </w:p>
        </w:tc>
        <w:tc>
          <w:tcPr>
            <w:tcW w:type="dxa" w:w="3135"/>
          </w:tcPr>
          <w:p>
            <w:r>
              <w:rPr>
                <w:rFonts w:ascii="Meiryo UI" w:hAnsi="Meiryo UI"/>
                <w:sz w:val="18"/>
              </w:rPr>
              <w:t>+15</w:t>
            </w:r>
          </w:p>
        </w:tc>
        <w:tc>
          <w:tcPr>
            <w:tcW w:type="dxa" w:w="3135"/>
          </w:tcPr>
          <w:p>
            <w:r>
              <w:rPr>
                <w:rFonts w:ascii="Meiryo UI" w:hAnsi="Meiryo UI"/>
                <w:sz w:val="18"/>
              </w:rPr>
              <w:t>ホルムズ+中国規制ダブル需給逼迫×国内首位の転嫁力</w:t>
            </w:r>
          </w:p>
        </w:tc>
      </w:tr>
      <w:tr>
        <w:tc>
          <w:tcPr>
            <w:tcW w:type="dxa" w:w="3135"/>
            <w:shd w:val="clear" w:color="auto" w:fill="DDEBF7"/>
          </w:tcPr>
          <w:p>
            <w:r>
              <w:rPr>
                <w:rFonts w:ascii="Meiryo UI" w:hAnsi="Meiryo UI"/>
                <w:sz w:val="18"/>
              </w:rPr>
              <w:t>業績モメンタム</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Q3累計OP+79.6%・進捗率96.1%・通期上振れ濃厚</w:t>
            </w:r>
          </w:p>
        </w:tc>
      </w:tr>
      <w:tr>
        <w:tc>
          <w:tcPr>
            <w:tcW w:type="dxa" w:w="3135"/>
          </w:tcPr>
          <w:p>
            <w:r>
              <w:rPr>
                <w:rFonts w:ascii="Meiryo UI" w:hAnsi="Meiryo UI"/>
                <w:sz w:val="18"/>
              </w:rPr>
              <w:t>流動性・規模リスク</w:t>
            </w:r>
          </w:p>
        </w:tc>
        <w:tc>
          <w:tcPr>
            <w:tcW w:type="dxa" w:w="3135"/>
          </w:tcPr>
          <w:p>
            <w:r>
              <w:rPr>
                <w:rFonts w:ascii="Meiryo UI" w:hAnsi="Meiryo UI"/>
                <w:sz w:val="18"/>
              </w:rPr>
              <w:t>▲8</w:t>
            </w:r>
          </w:p>
        </w:tc>
        <w:tc>
          <w:tcPr>
            <w:tcW w:type="dxa" w:w="3135"/>
          </w:tcPr>
          <w:p>
            <w:r>
              <w:rPr>
                <w:rFonts w:ascii="Meiryo UI" w:hAnsi="Meiryo UI"/>
                <w:sz w:val="18"/>
              </w:rPr>
              <w:t>時価総額89億円の小型株・スタンダード市場</w:t>
            </w:r>
          </w:p>
        </w:tc>
      </w:tr>
      <w:tr>
        <w:tc>
          <w:tcPr>
            <w:tcW w:type="dxa" w:w="3135"/>
            <w:shd w:val="clear" w:color="auto" w:fill="DDEBF7"/>
          </w:tcPr>
          <w:p>
            <w:r>
              <w:rPr>
                <w:rFonts w:ascii="Meiryo UI" w:hAnsi="Meiryo UI"/>
                <w:sz w:val="18"/>
              </w:rPr>
              <w:t>ホルムズ長期化コスト不確実性</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転嫁タイミングラグ・Q4以降の調達コスト急騰リスク</w:t>
            </w:r>
          </w:p>
        </w:tc>
      </w:tr>
    </w:tbl>
    <w:p/>
    <w:p>
      <w:r>
        <w:rPr>
          <w:rFonts w:ascii="Meiryo UI" w:hAnsi="Meiryo UI"/>
          <w:sz w:val="20"/>
        </w:rPr>
        <w:t>合計：+72（BUY）</w:t>
      </w:r>
    </w:p>
    <w:p/>
    <w:p>
      <w:r>
        <w:t>──────────────────────────────────────────────────</w:t>
      </w:r>
    </w:p>
    <w:p/>
    <w:p>
      <w:pPr>
        <w:pStyle w:val="Heading2"/>
      </w:pPr>
      <w:r>
        <w:rPr>
          <w:rFonts w:ascii="Meiryo UI" w:hAnsi="Meiryo UI"/>
          <w:color w:val="2E74B5"/>
        </w:rPr>
        <w:t>9. IR質問状【必須】</w:t>
      </w:r>
    </w:p>
    <w:p/>
    <w:p>
      <w:r>
        <w:t>──────────────────────────────────────────────────</w:t>
      </w:r>
    </w:p>
    <w:p/>
    <w:p>
      <w:r>
        <w:rPr>
          <w:rFonts w:ascii="Meiryo UI" w:hAnsi="Meiryo UI"/>
          <w:sz w:val="20"/>
        </w:rPr>
        <w:t>To: 大伸化学株式会社 IR担当部署</w:t>
      </w:r>
    </w:p>
    <w:p>
      <w:r>
        <w:rPr>
          <w:rFonts w:ascii="Meiryo UI" w:hAnsi="Meiryo UI"/>
          <w:sz w:val="20"/>
        </w:rPr>
        <w:t>（問い合わせフォーム：https://www.daishin-chemical.co.jp/inquiry/）</w:t>
      </w:r>
    </w:p>
    <w:p/>
    <w:p>
      <w:r>
        <w:rPr>
          <w:rFonts w:ascii="Meiryo UI" w:hAnsi="Meiryo UI"/>
          <w:sz w:val="20"/>
        </w:rPr>
        <w:t>From: 竹村トレードカンパニー 投資調査部</w:t>
      </w:r>
    </w:p>
    <w:p>
      <w:r>
        <w:rPr>
          <w:rFonts w:ascii="Meiryo UI" w:hAnsi="Meiryo UI"/>
          <w:sz w:val="20"/>
        </w:rPr>
        <w:t>件名: 【IR照会】4629 大伸化学 投資分析に関するご質問（竹村トレードカンパニー）</w:t>
      </w:r>
    </w:p>
    <w:p>
      <w:r>
        <w:rPr>
          <w:rFonts w:ascii="Meiryo UI" w:hAnsi="Meiryo UI"/>
          <w:sz w:val="20"/>
        </w:rPr>
        <w:t>日付: 2026年4月27日</w:t>
      </w:r>
    </w:p>
    <w:p/>
    <w:p>
      <w:r>
        <w:t>──────────────────────────────────────────────────</w:t>
      </w:r>
    </w:p>
    <w:p/>
    <w:p>
      <w:r>
        <w:rPr>
          <w:rFonts w:ascii="Meiryo UI" w:hAnsi="Meiryo UI"/>
          <w:sz w:val="20"/>
        </w:rPr>
        <w:t>大伸化学株式会社 IR担当者様</w:t>
      </w:r>
    </w:p>
    <w:p/>
    <w:p>
      <w:r>
        <w:rPr>
          <w:rFonts w:ascii="Meiryo UI" w:hAnsi="Meiryo UI"/>
          <w:sz w:val="20"/>
        </w:rPr>
        <w:t>竹村トレードカンパニー投資調査部の深井と申します。御社への投資判断を行うにあたり、以下の点についてご教示いただけますと幸いです。</w:t>
      </w:r>
    </w:p>
    <w:p/>
    <w:p>
      <w:r>
        <w:rPr>
          <w:rFonts w:ascii="Meiryo UI" w:hAnsi="Meiryo UI"/>
          <w:sz w:val="20"/>
        </w:rPr>
        <w:t>質問1：ナフサ・トルエン・キシレン等原材料の調達コスト影響について</w:t>
      </w:r>
    </w:p>
    <w:p>
      <w:r>
        <w:rPr>
          <w:rFonts w:ascii="Meiryo UI" w:hAnsi="Meiryo UI"/>
          <w:sz w:val="20"/>
        </w:rPr>
        <w:t>2026年2月末以降のホルムズ海峡の実質的な封鎖により、ナフサ・トルエン・キシレン等の調達コストが急上昇していると認識しております。①御社の原材料調達における中東依存度（%）、②2026年3月〜4月の仕入価格変動幅の概算、③価格転嫁の実施状況（実施済み・未実施・計画中の別）についてお聞かせいただけますでしょうか。</w:t>
      </w:r>
    </w:p>
    <w:p/>
    <w:p>
      <w:r>
        <w:rPr>
          <w:rFonts w:ascii="Meiryo UI" w:hAnsi="Meiryo UI"/>
          <w:sz w:val="20"/>
        </w:rPr>
        <w:t>質問2：中国の軍民両用品規制（2026年1月発動）のトルエン・キシレン調達への影響</w:t>
      </w:r>
    </w:p>
    <w:p>
      <w:r>
        <w:rPr>
          <w:rFonts w:ascii="Meiryo UI" w:hAnsi="Meiryo UI"/>
          <w:sz w:val="20"/>
        </w:rPr>
        <w:t>中国が対日軍民両用品の輸出規制を強化したことで、御社が仕入れるトルエン・キシレン等の中国産溶剤に影響が生じているか教えてください。代替調達先（国産・東南アジア等）へのシフト状況と、それに伴うコスト増の影響も合わせてご確認させてください。</w:t>
      </w:r>
    </w:p>
    <w:p/>
    <w:p>
      <w:r>
        <w:rPr>
          <w:rFonts w:ascii="Meiryo UI" w:hAnsi="Meiryo UI"/>
          <w:sz w:val="20"/>
        </w:rPr>
        <w:t>質問3：有形固定資産の内訳（土地・建物）と含み益の有無</w:t>
      </w:r>
    </w:p>
    <w:p>
      <w:r>
        <w:rPr>
          <w:rFonts w:ascii="Meiryo UI" w:hAnsi="Meiryo UI"/>
          <w:sz w:val="20"/>
        </w:rPr>
        <w:t>直近の有価証券報告書における有形固定資産（土地・建物・構築物・機械装置）の帳簿価額と、御社が把握している時価（不動産鑑定等）との乖離の概算について教えてください。特に本社（港区）・越谷工場・兵庫工場の土地の取得時期と帳簿価額をお聞かせいただけますと幸いです。</w:t>
      </w:r>
    </w:p>
    <w:p/>
    <w:p>
      <w:r>
        <w:rPr>
          <w:rFonts w:ascii="Meiryo UI" w:hAnsi="Meiryo UI"/>
          <w:sz w:val="20"/>
        </w:rPr>
        <w:t>質問4：2027年3月期の業績見通しと配当方針</w:t>
      </w:r>
    </w:p>
    <w:p>
      <w:r>
        <w:rPr>
          <w:rFonts w:ascii="Meiryo UI" w:hAnsi="Meiryo UI"/>
          <w:sz w:val="20"/>
        </w:rPr>
        <w:t>2026年3月期通期決算（2026年5月14日発表予定）における来期（2027年3月期）のガイダンス発表見通しについて教えてください。また、現在年間40円/株の配当について、ホルムズ封鎖・価格転嫁進展に伴う増配・自社株買い等の株主還元強化の検討状況があればお聞かせください。</w:t>
      </w:r>
    </w:p>
    <w:p/>
    <w:p>
      <w:r>
        <w:rPr>
          <w:rFonts w:ascii="Meiryo UI" w:hAnsi="Meiryo UI"/>
          <w:sz w:val="20"/>
        </w:rPr>
        <w:t>質問5：シンナー市場での競合との価格差・シェア変動</w:t>
      </w:r>
    </w:p>
    <w:p>
      <w:r>
        <w:rPr>
          <w:rFonts w:ascii="Meiryo UI" w:hAnsi="Meiryo UI"/>
          <w:sz w:val="20"/>
        </w:rPr>
        <w:t>ホルムズ封鎖・中国規制による溶剤品薄局面で、競合他社（三協化学等）が出荷制限・受注停止を行っている中、御社への発注集中の度合いとシェア変動の方向性について概況をご説明いただけますでしょうか。</w:t>
      </w:r>
    </w:p>
    <w:p/>
    <w:p>
      <w:r>
        <w:rPr>
          <w:rFonts w:ascii="Meiryo UI" w:hAnsi="Meiryo UI"/>
          <w:sz w:val="20"/>
        </w:rPr>
        <w:t>ご多忙のところ誠に恐縮ですが、何卒よろしくお願い申し上げます。</w:t>
      </w:r>
    </w:p>
    <w:p/>
    <w:p>
      <w:r>
        <w:rPr>
          <w:rFonts w:ascii="Meiryo UI" w:hAnsi="Meiryo UI"/>
          <w:sz w:val="20"/>
        </w:rPr>
        <w:t>竹村トレードカンパニー 投資調査部</w:t>
      </w:r>
    </w:p>
    <w:p>
      <w:r>
        <w:rPr>
          <w:rFonts w:ascii="Meiryo UI" w:hAnsi="Meiryo UI"/>
          <w:sz w:val="20"/>
        </w:rPr>
        <w:t>担当：深井</w:t>
      </w:r>
    </w:p>
    <w:p/>
    <w:p>
      <w:r>
        <w:t>──────────────────────────────────────────────────</w:t>
      </w:r>
    </w:p>
    <w:p/>
    <w:p>
      <w:pPr>
        <w:pStyle w:val="Heading2"/>
      </w:pPr>
      <w:r>
        <w:rPr>
          <w:rFonts w:ascii="Meiryo UI" w:hAnsi="Meiryo UI"/>
          <w:color w:val="2E74B5"/>
        </w:rPr>
        <w:t>参考：データ整合性確認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出所</w:t>
            </w:r>
          </w:p>
        </w:tc>
        <w:tc>
          <w:tcPr>
            <w:tcW w:type="dxa" w:w="3135"/>
            <w:shd w:val="clear" w:color="auto" w:fill="2E74B5"/>
          </w:tcPr>
          <w:p>
            <w:r>
              <w:rPr>
                <w:rFonts w:ascii="Meiryo UI" w:hAnsi="Meiryo UI"/>
                <w:b/>
                <w:color w:val="FFFFFF"/>
                <w:sz w:val="18"/>
              </w:rPr>
              <w:t>確認ステータス</w:t>
            </w:r>
          </w:p>
        </w:tc>
      </w:tr>
      <w:tr>
        <w:tc>
          <w:tcPr>
            <w:tcW w:type="dxa" w:w="3135"/>
          </w:tcPr>
          <w:p>
            <w:r>
              <w:rPr>
                <w:rFonts w:ascii="Meiryo UI" w:hAnsi="Meiryo UI"/>
                <w:sz w:val="18"/>
              </w:rPr>
              <w:t>株価¥1,949</w:t>
            </w:r>
          </w:p>
        </w:tc>
        <w:tc>
          <w:tcPr>
            <w:tcW w:type="dxa" w:w="3135"/>
          </w:tcPr>
          <w:p>
            <w:r>
              <w:rPr>
                <w:rFonts w:ascii="Meiryo UI" w:hAnsi="Meiryo UI"/>
                <w:sz w:val="18"/>
              </w:rPr>
              <w:t>yfinance（リアルタイム取得）</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PBR 0.52倍</w:t>
            </w:r>
          </w:p>
        </w:tc>
        <w:tc>
          <w:tcPr>
            <w:tcW w:type="dxa" w:w="3135"/>
            <w:shd w:val="clear" w:color="auto" w:fill="DDEBF7"/>
          </w:tcPr>
          <w:p>
            <w:r>
              <w:rPr>
                <w:rFonts w:ascii="Meiryo UI" w:hAnsi="Meiryo UI"/>
                <w:sz w:val="18"/>
              </w:rPr>
              <w:t>yfinance（リアルタイム取得）</w:t>
            </w:r>
          </w:p>
        </w:tc>
        <w:tc>
          <w:tcPr>
            <w:tcW w:type="dxa" w:w="3135"/>
            <w:shd w:val="clear" w:color="auto" w:fill="DDEBF7"/>
          </w:tcPr>
          <w:p>
            <w:r>
              <w:rPr>
                <w:rFonts w:ascii="Meiryo UI" w:hAnsi="Meiryo UI"/>
                <w:sz w:val="18"/>
              </w:rPr>
              <w:t>確認済み</w:t>
            </w:r>
          </w:p>
        </w:tc>
      </w:tr>
      <w:tr>
        <w:tc>
          <w:tcPr>
            <w:tcW w:type="dxa" w:w="3135"/>
          </w:tcPr>
          <w:p>
            <w:r>
              <w:rPr>
                <w:rFonts w:ascii="Meiryo UI" w:hAnsi="Meiryo UI"/>
                <w:sz w:val="18"/>
              </w:rPr>
              <w:t>BPS ¥3,728</w:t>
            </w:r>
          </w:p>
        </w:tc>
        <w:tc>
          <w:tcPr>
            <w:tcW w:type="dxa" w:w="3135"/>
          </w:tcPr>
          <w:p>
            <w:r>
              <w:rPr>
                <w:rFonts w:ascii="Meiryo UI" w:hAnsi="Meiryo UI"/>
                <w:sz w:val="18"/>
              </w:rPr>
              <w:t>yfinance（リアルタイム取得）</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PER 11.3倍</w:t>
            </w:r>
          </w:p>
        </w:tc>
        <w:tc>
          <w:tcPr>
            <w:tcW w:type="dxa" w:w="3135"/>
            <w:shd w:val="clear" w:color="auto" w:fill="DDEBF7"/>
          </w:tcPr>
          <w:p>
            <w:r>
              <w:rPr>
                <w:rFonts w:ascii="Meiryo UI" w:hAnsi="Meiryo UI"/>
                <w:sz w:val="18"/>
              </w:rPr>
              <w:t>yfinance（リアルタイム取得）</w:t>
            </w:r>
          </w:p>
        </w:tc>
        <w:tc>
          <w:tcPr>
            <w:tcW w:type="dxa" w:w="3135"/>
            <w:shd w:val="clear" w:color="auto" w:fill="DDEBF7"/>
          </w:tcPr>
          <w:p>
            <w:r>
              <w:rPr>
                <w:rFonts w:ascii="Meiryo UI" w:hAnsi="Meiryo UI"/>
                <w:sz w:val="18"/>
              </w:rPr>
              <w:t>確認済み</w:t>
            </w:r>
          </w:p>
        </w:tc>
      </w:tr>
      <w:tr>
        <w:tc>
          <w:tcPr>
            <w:tcW w:type="dxa" w:w="3135"/>
          </w:tcPr>
          <w:p>
            <w:r>
              <w:rPr>
                <w:rFonts w:ascii="Meiryo UI" w:hAnsi="Meiryo UI"/>
                <w:sz w:val="18"/>
              </w:rPr>
              <w:t>ROE 5.4%</w:t>
            </w:r>
          </w:p>
        </w:tc>
        <w:tc>
          <w:tcPr>
            <w:tcW w:type="dxa" w:w="3135"/>
          </w:tcPr>
          <w:p>
            <w:r>
              <w:rPr>
                <w:rFonts w:ascii="Meiryo UI" w:hAnsi="Meiryo UI"/>
                <w:sz w:val="18"/>
              </w:rPr>
              <w:t>yfinance（リアルタイム取得）</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時価総額89億円</w:t>
            </w:r>
          </w:p>
        </w:tc>
        <w:tc>
          <w:tcPr>
            <w:tcW w:type="dxa" w:w="3135"/>
            <w:shd w:val="clear" w:color="auto" w:fill="DDEBF7"/>
          </w:tcPr>
          <w:p>
            <w:r>
              <w:rPr>
                <w:rFonts w:ascii="Meiryo UI" w:hAnsi="Meiryo UI"/>
                <w:sz w:val="18"/>
              </w:rPr>
              <w:t>yfinance（リアルタイム取得）</w:t>
            </w:r>
          </w:p>
        </w:tc>
        <w:tc>
          <w:tcPr>
            <w:tcW w:type="dxa" w:w="3135"/>
            <w:shd w:val="clear" w:color="auto" w:fill="DDEBF7"/>
          </w:tcPr>
          <w:p>
            <w:r>
              <w:rPr>
                <w:rFonts w:ascii="Meiryo UI" w:hAnsi="Meiryo UI"/>
                <w:sz w:val="18"/>
              </w:rPr>
              <w:t>確認済み</w:t>
            </w:r>
          </w:p>
        </w:tc>
      </w:tr>
      <w:tr>
        <w:tc>
          <w:tcPr>
            <w:tcW w:type="dxa" w:w="3135"/>
          </w:tcPr>
          <w:p>
            <w:r>
              <w:rPr>
                <w:rFonts w:ascii="Meiryo UI" w:hAnsi="Meiryo UI"/>
                <w:sz w:val="18"/>
              </w:rPr>
              <w:t>自己資本比率65%</w:t>
            </w:r>
          </w:p>
        </w:tc>
        <w:tc>
          <w:tcPr>
            <w:tcW w:type="dxa" w:w="3135"/>
          </w:tcPr>
          <w:p>
            <w:r>
              <w:rPr>
                <w:rFonts w:ascii="Meiryo UI" w:hAnsi="Meiryo UI"/>
                <w:sz w:val="18"/>
              </w:rPr>
              <w:t>Q3決算短信（公式）</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現金66億円</w:t>
            </w:r>
          </w:p>
        </w:tc>
        <w:tc>
          <w:tcPr>
            <w:tcW w:type="dxa" w:w="3135"/>
            <w:shd w:val="clear" w:color="auto" w:fill="DDEBF7"/>
          </w:tcPr>
          <w:p>
            <w:r>
              <w:rPr>
                <w:rFonts w:ascii="Meiryo UI" w:hAnsi="Meiryo UI"/>
                <w:sz w:val="18"/>
              </w:rPr>
              <w:t>Q3決算短信（公式）</w:t>
            </w:r>
          </w:p>
        </w:tc>
        <w:tc>
          <w:tcPr>
            <w:tcW w:type="dxa" w:w="3135"/>
            <w:shd w:val="clear" w:color="auto" w:fill="DDEBF7"/>
          </w:tcPr>
          <w:p>
            <w:r>
              <w:rPr>
                <w:rFonts w:ascii="Meiryo UI" w:hAnsi="Meiryo UI"/>
                <w:sz w:val="18"/>
              </w:rPr>
              <w:t>確認済み</w:t>
            </w:r>
          </w:p>
        </w:tc>
      </w:tr>
      <w:tr>
        <w:tc>
          <w:tcPr>
            <w:tcW w:type="dxa" w:w="3135"/>
          </w:tcPr>
          <w:p>
            <w:r>
              <w:rPr>
                <w:rFonts w:ascii="Meiryo UI" w:hAnsi="Meiryo UI"/>
                <w:sz w:val="18"/>
              </w:rPr>
              <w:t>総資産262億円</w:t>
            </w:r>
          </w:p>
        </w:tc>
        <w:tc>
          <w:tcPr>
            <w:tcW w:type="dxa" w:w="3135"/>
          </w:tcPr>
          <w:p>
            <w:r>
              <w:rPr>
                <w:rFonts w:ascii="Meiryo UI" w:hAnsi="Meiryo UI"/>
                <w:sz w:val="18"/>
              </w:rPr>
              <w:t>Q3決算短信（公式）</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業績推移（4期分）</w:t>
            </w:r>
          </w:p>
        </w:tc>
        <w:tc>
          <w:tcPr>
            <w:tcW w:type="dxa" w:w="3135"/>
            <w:shd w:val="clear" w:color="auto" w:fill="DDEBF7"/>
          </w:tcPr>
          <w:p>
            <w:r>
              <w:rPr>
                <w:rFonts w:ascii="Meiryo UI" w:hAnsi="Meiryo UI"/>
                <w:sz w:val="18"/>
              </w:rPr>
              <w:t>株予報Pro参照・公式決算短信ベース</w:t>
            </w:r>
          </w:p>
        </w:tc>
        <w:tc>
          <w:tcPr>
            <w:tcW w:type="dxa" w:w="3135"/>
            <w:shd w:val="clear" w:color="auto" w:fill="DDEBF7"/>
          </w:tcPr>
          <w:p>
            <w:r>
              <w:rPr>
                <w:rFonts w:ascii="Meiryo UI" w:hAnsi="Meiryo UI"/>
                <w:sz w:val="18"/>
              </w:rPr>
              <w:t>確認済み</w:t>
            </w:r>
          </w:p>
        </w:tc>
      </w:tr>
      <w:tr>
        <w:tc>
          <w:tcPr>
            <w:tcW w:type="dxa" w:w="3135"/>
          </w:tcPr>
          <w:p>
            <w:r>
              <w:rPr>
                <w:rFonts w:ascii="Meiryo UI" w:hAnsi="Meiryo UI"/>
                <w:sz w:val="18"/>
              </w:rPr>
              <w:t>品目別売上高</w:t>
            </w:r>
          </w:p>
        </w:tc>
        <w:tc>
          <w:tcPr>
            <w:tcW w:type="dxa" w:w="3135"/>
          </w:tcPr>
          <w:p>
            <w:r>
              <w:rPr>
                <w:rFonts w:ascii="Meiryo UI" w:hAnsi="Meiryo UI"/>
                <w:sz w:val="18"/>
              </w:rPr>
              <w:t>Yahoo Finance・公式開示ベース</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土地帳簿価額</w:t>
            </w:r>
          </w:p>
        </w:tc>
        <w:tc>
          <w:tcPr>
            <w:tcW w:type="dxa" w:w="3135"/>
            <w:shd w:val="clear" w:color="auto" w:fill="DDEBF7"/>
          </w:tcPr>
          <w:p>
            <w:r>
              <w:rPr>
                <w:rFonts w:ascii="Meiryo UI" w:hAnsi="Meiryo UI"/>
                <w:sz w:val="18"/>
              </w:rPr>
              <w:t>未確認（有価証券報告書要照会）</w:t>
            </w:r>
          </w:p>
        </w:tc>
        <w:tc>
          <w:tcPr>
            <w:tcW w:type="dxa" w:w="3135"/>
            <w:shd w:val="clear" w:color="auto" w:fill="DDEBF7"/>
          </w:tcPr>
          <w:p>
            <w:r>
              <w:rPr>
                <w:rFonts w:ascii="Meiryo UI" w:hAnsi="Meiryo UI"/>
                <w:sz w:val="18"/>
              </w:rPr>
              <w:t>未確認</w:t>
            </w:r>
          </w:p>
        </w:tc>
      </w:tr>
      <w:tr>
        <w:tc>
          <w:tcPr>
            <w:tcW w:type="dxa" w:w="3135"/>
          </w:tcPr>
          <w:p>
            <w:r>
              <w:rPr>
                <w:rFonts w:ascii="Meiryo UI" w:hAnsi="Meiryo UI"/>
                <w:sz w:val="18"/>
              </w:rPr>
              <w:t>仕入量・ナフサ依存度</w:t>
            </w:r>
          </w:p>
        </w:tc>
        <w:tc>
          <w:tcPr>
            <w:tcW w:type="dxa" w:w="3135"/>
          </w:tcPr>
          <w:p>
            <w:r>
              <w:rPr>
                <w:rFonts w:ascii="Meiryo UI" w:hAnsi="Meiryo UI"/>
                <w:sz w:val="18"/>
              </w:rPr>
              <w:t>未確認（公式資料未取得）</w:t>
            </w:r>
          </w:p>
        </w:tc>
        <w:tc>
          <w:tcPr>
            <w:tcW w:type="dxa" w:w="3135"/>
          </w:tcPr>
          <w:p>
            <w:r>
              <w:rPr>
                <w:rFonts w:ascii="Meiryo UI" w:hAnsi="Meiryo UI"/>
                <w:sz w:val="18"/>
              </w:rPr>
              <w:t>未確認</w:t>
            </w:r>
          </w:p>
        </w:tc>
      </w:tr>
      <w:tr>
        <w:tc>
          <w:tcPr>
            <w:tcW w:type="dxa" w:w="3135"/>
            <w:shd w:val="clear" w:color="auto" w:fill="DDEBF7"/>
          </w:tcPr>
          <w:p>
            <w:r>
              <w:rPr>
                <w:rFonts w:ascii="Meiryo UI" w:hAnsi="Meiryo UI"/>
                <w:sz w:val="18"/>
              </w:rPr>
              <w:t>発行済株式数詳細</w:t>
            </w:r>
          </w:p>
        </w:tc>
        <w:tc>
          <w:tcPr>
            <w:tcW w:type="dxa" w:w="3135"/>
            <w:shd w:val="clear" w:color="auto" w:fill="DDEBF7"/>
          </w:tcPr>
          <w:p>
            <w:r>
              <w:rPr>
                <w:rFonts w:ascii="Meiryo UI" w:hAnsi="Meiryo UI"/>
                <w:sz w:val="18"/>
              </w:rPr>
              <w:t>IRBANK（403エラー）</w:t>
            </w:r>
          </w:p>
        </w:tc>
        <w:tc>
          <w:tcPr>
            <w:tcW w:type="dxa" w:w="3135"/>
            <w:shd w:val="clear" w:color="auto" w:fill="DDEBF7"/>
          </w:tcPr>
          <w:p>
            <w:r>
              <w:rPr>
                <w:rFonts w:ascii="Meiryo UI" w:hAnsi="Meiryo UI"/>
                <w:sz w:val="18"/>
              </w:rPr>
              <w:t>一部未確認</w:t>
            </w:r>
          </w:p>
        </w:tc>
      </w:tr>
    </w:tbl>
    <w:p/>
    <w:p>
      <w:r>
        <w:t>──────────────────────────────────────────────────</w:t>
      </w:r>
    </w:p>
    <w:p/>
    <w:p>
      <w:r>
        <w:rPr>
          <w:rFonts w:ascii="Meiryo UI" w:hAnsi="Meiryo UI"/>
          <w:sz w:val="20"/>
        </w:rPr>
        <w:t>作成日：2026年4月27日　担当アナリスト：深井（竹村トレードカンパニー）</w:t>
      </w:r>
    </w:p>
    <w:p/>
    <w:p>
      <w:r>
        <w:rPr>
          <w:rFonts w:ascii="Meiryo UI" w:hAnsi="Meiryo UI"/>
          <w:sz w:val="20"/>
        </w:rPr>
        <w:t>Sources:</w:t>
      </w:r>
    </w:p>
    <w:p>
      <w:pPr>
        <w:pStyle w:val="ListBullet"/>
      </w:pPr>
      <w:r>
        <w:rPr>
          <w:rFonts w:ascii="Meiryo UI" w:hAnsi="Meiryo UI"/>
          <w:sz w:val="20"/>
        </w:rPr>
        <w:t>[4629 大伸化学 - IRBank](https://irbank.net/E00917)</w:t>
      </w:r>
    </w:p>
    <w:p>
      <w:pPr>
        <w:pStyle w:val="ListBullet"/>
      </w:pPr>
      <w:r>
        <w:rPr>
          <w:rFonts w:ascii="Meiryo UI" w:hAnsi="Meiryo UI"/>
          <w:sz w:val="20"/>
        </w:rPr>
        <w:t>[大伸化学公式IR](https://www.daishin-chemical.co.jp/ir/)</w:t>
      </w:r>
    </w:p>
    <w:p>
      <w:pPr>
        <w:pStyle w:val="ListBullet"/>
      </w:pPr>
      <w:r>
        <w:rPr>
          <w:rFonts w:ascii="Meiryo UI" w:hAnsi="Meiryo UI"/>
          <w:sz w:val="20"/>
        </w:rPr>
        <w:t>[株予報Pro - 4629業績](https://kabuyoho.jp/report?bcode=4629)</w:t>
      </w:r>
    </w:p>
    <w:p>
      <w:pPr>
        <w:pStyle w:val="ListBullet"/>
      </w:pPr>
      <w:r>
        <w:rPr>
          <w:rFonts w:ascii="Meiryo UI" w:hAnsi="Meiryo UI"/>
          <w:sz w:val="20"/>
        </w:rPr>
        <w:t>[三協化学 - ホルムズ起因溶剤品薄](https://www.sankyo-chem.com/news/post-14944/)</w:t>
      </w:r>
    </w:p>
    <w:p>
      <w:pPr>
        <w:pStyle w:val="ListBullet"/>
      </w:pPr>
      <w:r>
        <w:rPr>
          <w:rFonts w:ascii="Meiryo UI" w:hAnsi="Meiryo UI"/>
          <w:sz w:val="20"/>
        </w:rPr>
        <w:t>[日経 - 日本ペイントシンナー75%値上げ](https://www.nikkei.com/article/DGXZQOUC259VQ0V20C26A3000000/)</w:t>
      </w:r>
    </w:p>
    <w:p>
      <w:pPr>
        <w:pStyle w:val="ListBullet"/>
      </w:pPr>
      <w:r>
        <w:rPr>
          <w:rFonts w:ascii="Meiryo UI" w:hAnsi="Meiryo UI"/>
          <w:sz w:val="20"/>
        </w:rPr>
        <w:t>[JETRO - 中国デュアルユース輸出規制](https://www.jetro.go.jp/biznews/2026/01/daa0760fd28a2226.html)</w:t>
      </w:r>
    </w:p>
    <w:p>
      <w:pPr>
        <w:pStyle w:val="ListBullet"/>
      </w:pPr>
      <w:r>
        <w:rPr>
          <w:rFonts w:ascii="Meiryo UI" w:hAnsi="Meiryo UI"/>
          <w:sz w:val="20"/>
        </w:rPr>
        <w:t>[SimplyWall St - 4629財務健全性](https://simplywall.st/stocks/jp/materials/tse-4629/daishin-chemicalltd-shares/health)</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