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[4629] 大伸化学【シンナー需給 × ナフサ高騰：ポジティブかネガティブか】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アナリスト：深井（AI浅井）｜</w:t>
      </w:r>
    </w:p>
    <w:p>
      <w:pPr>
        <w:jc w:val="center"/>
      </w:pPr>
      <w:r>
        <w:rPr>
          <w:rFonts w:ascii="Meiryo UI" w:hAnsi="Meiryo UI"/>
          <w:sz w:val="24"/>
        </w:rPr>
        <w:t>分析日：2026-04-10｜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[4629] 大伸化学【シンナー需給 × ナフサ高騰：ポジティブかネガティブか】</w:t>
      </w:r>
    </w:p>
    <w:p>
      <w:r>
        <w:rPr>
          <w:rFonts w:ascii="Meiryo UI" w:hAnsi="Meiryo UI"/>
          <w:sz w:val="20"/>
        </w:rPr>
        <w:t>作成日: 2026-04-10｜アナリスト: 深井（AI浅井）｜分類: BUY / 優先度2</w:t>
      </w:r>
    </w:p>
    <w:p>
      <w:r>
        <w:rPr>
          <w:rFonts w:ascii="Meiryo UI" w:hAnsi="Meiryo UI"/>
          <w:sz w:val="20"/>
        </w:rPr>
        <w:t>浅井スコア: 判定中｜ソース: daishin-chemical.co.jp/ir + Yahoo Finance + 公開情報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⚠️ データ使用宣言（2026-04-10）</w:t>
      </w:r>
    </w:p>
    <w:p>
      <w:r>
        <w:rPr>
          <w:rFonts w:ascii="Meiryo UI" w:hAnsi="Meiryo UI"/>
          <w:sz w:val="20"/>
        </w:rPr>
        <w:t>&gt; 株価=¥1,938（2026-04-10 マスターDB）/ PBR=0.520x / BPS=¥3,729</w:t>
      </w:r>
    </w:p>
    <w:p>
      <w:r>
        <w:rPr>
          <w:rFonts w:ascii="Meiryo UI" w:hAnsi="Meiryo UI"/>
          <w:sz w:val="20"/>
        </w:rPr>
        <w:t>&gt; EPS（FY2026E）=¥196 / PER=9.89x / 配当=¥40（利回り2.06%）</w:t>
      </w:r>
    </w:p>
    <w:p>
      <w:r>
        <w:rPr>
          <w:rFonts w:ascii="Meiryo UI" w:hAnsi="Meiryo UI"/>
          <w:sz w:val="20"/>
        </w:rPr>
        <w:t>&gt; JGB10Y=2.425%（財務省CSV）/ ADV=10,511株/日（25日）⚠️超低流動性</w:t>
      </w:r>
    </w:p>
    <w:p>
      <w:r>
        <w:rPr>
          <w:rFonts w:ascii="Meiryo UI" w:hAnsi="Meiryo UI"/>
          <w:sz w:val="20"/>
        </w:rPr>
        <w:t>&gt; テーマ: シンナー需給タイト × ナフサ高騰 = ネット効果はポジティブか否か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⚡ エグゼクティブサマリー — 軍師への回答</w:t>
      </w:r>
    </w:p>
    <w:p/>
    <w:p>
      <w:r>
        <w:rPr>
          <w:rFonts w:ascii="Meiryo UI" w:hAnsi="Meiryo UI"/>
          <w:sz w:val="20"/>
        </w:rPr>
        <w:t>&gt; 「シンナー不足はポジティブ、ナフサ高騰はリスク。ただし大伸化学は製造業者であり、転嫁実績がある。ネットでポジティブ。」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問い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答え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シンナー不足はポジでは？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YES — 製造業者として需給タイトは販売価格上昇に直結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ナフサ高騰はネガでは？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一時的にはYES — ただし転嫁ラグは最大2〜3ヶ月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ネット効果は？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ポジティブ優勢 — Q3実績（OP+79.6%）が実力の証明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バリュエーション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PBR0.52x = 極端な割安 / 理論値0.77x比でも▲33%ディスカウント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 — 製造業者か販売業者かが論点の核心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銘柄名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大伸化学株式会社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コード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4629（東証スタンダード）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設立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1952年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事業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有機溶剤（シンナー・溶剤）製造・販売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製品種類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約32,000品種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原料貯蔵能力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10,890KL（戦略的在庫バッファ）</w:t>
            </w:r>
          </w:p>
        </w:tc>
      </w:tr>
    </w:tbl>
    <w:p/>
    <w:p>
      <w:r>
        <w:rPr>
          <w:rFonts w:ascii="Meiryo UI" w:hAnsi="Meiryo UI"/>
          <w:sz w:val="20"/>
        </w:rPr>
        <w:t>最重要点：大伸化学は「製造業者」。調合・製造した溶剤製品を自社ブランドで販売する立場。ディストリビューターであれば調達難は致命的だが、製造業者であれば需給タイトは価格決定力として機能する。</w:t>
      </w:r>
    </w:p>
    <w:p/>
    <w:p>
      <w:r>
        <w:rPr>
          <w:rFonts w:ascii="Meiryo UI" w:hAnsi="Meiryo UI"/>
          <w:sz w:val="20"/>
        </w:rPr>
        <w:t>主力製品:</w:t>
      </w:r>
    </w:p>
    <w:p>
      <w:pPr>
        <w:pStyle w:val="ListBullet"/>
      </w:pPr>
      <w:r>
        <w:rPr>
          <w:rFonts w:ascii="Meiryo UI" w:hAnsi="Meiryo UI"/>
          <w:sz w:val="20"/>
        </w:rPr>
        <w:t>単品溶剤（売上の約50%）：トルエン・キシレン・酢酸エチル等</w:t>
      </w:r>
    </w:p>
    <w:p>
      <w:pPr>
        <w:pStyle w:val="ListBullet"/>
      </w:pPr>
      <w:r>
        <w:rPr>
          <w:rFonts w:ascii="Meiryo UI" w:hAnsi="Meiryo UI"/>
          <w:sz w:val="20"/>
        </w:rPr>
        <w:t>印刷インキ溶剤：塗料印刷用専用品</w:t>
      </w:r>
    </w:p>
    <w:p>
      <w:pPr>
        <w:pStyle w:val="ListBullet"/>
      </w:pPr>
      <w:r>
        <w:rPr>
          <w:rFonts w:ascii="Meiryo UI" w:hAnsi="Meiryo UI"/>
          <w:sz w:val="20"/>
        </w:rPr>
        <w:t>特殊シンナー：電子・精密機器向け高付加価値品</w:t>
      </w:r>
    </w:p>
    <w:p>
      <w:pPr>
        <w:pStyle w:val="ListBullet"/>
      </w:pPr>
      <w:r>
        <w:rPr>
          <w:rFonts w:ascii="Meiryo UI" w:hAnsi="Meiryo UI"/>
          <w:sz w:val="20"/>
        </w:rPr>
        <w:t>ラッカーシンナー：建設・DIY向け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核心論点：シンナー不足 × ナフサ高騰の構造解析</w:t>
      </w:r>
    </w:p>
    <w:p/>
    <w:p>
      <w:pPr>
        <w:pStyle w:val="Heading3"/>
      </w:pPr>
      <w:r>
        <w:rPr>
          <w:rFonts w:ascii="Meiryo UI" w:hAnsi="Meiryo UI"/>
          <w:color w:val="2E74B5"/>
        </w:rPr>
        <w:t>2-1. シンナー不足がポジティブな3つの理由</w:t>
      </w:r>
    </w:p>
    <w:p/>
    <w:p>
      <w:r>
        <w:rPr>
          <w:rFonts w:ascii="Meiryo UI" w:hAnsi="Meiryo UI"/>
          <w:sz w:val="20"/>
        </w:rPr>
        <w:t>① 製造業者として「価格設定側」にいる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原料（ナフサ由来BTX）→ 大伸化学が調合製造 → 製品シンナーを販売</w:t>
        <w:br/>
        <w:br/>
        <w:t>製品価格設定のフロー:</w:t>
        <w:br/>
        <w:t xml:space="preserve">  ナフサ高騰 → 原価上昇 → 転嫁（値上げ通知）→ 顧客へパス</w:t>
        <w:br/>
        <w:t xml:space="preserve">                                  ↑</w:t>
        <w:br/>
        <w:t xml:space="preserve">                      ここで大伸化学は「交渉する側」</w:t>
      </w:r>
    </w:p>
    <w:p/>
    <w:p>
      <w:r>
        <w:rPr>
          <w:rFonts w:ascii="Meiryo UI" w:hAnsi="Meiryo UI"/>
          <w:sz w:val="20"/>
        </w:rPr>
        <w:t>業界実績：2026年3月、日本ペイント等の競合がシンナー製品を75%値上げ（ブルームバーグ報道）。業界全体での転嫁が始まっており、大伸化学も追随値上げが正当化されている。</w:t>
      </w:r>
    </w:p>
    <w:p/>
    <w:p>
      <w:r>
        <w:rPr>
          <w:rFonts w:ascii="Meiryo UI" w:hAnsi="Meiryo UI"/>
          <w:sz w:val="20"/>
        </w:rPr>
        <w:t>② FY2023の「転嫁実績」が証明済み</w:t>
      </w:r>
    </w:p>
    <w:p/>
    <w:p>
      <w:r>
        <w:rPr>
          <w:rFonts w:ascii="Meiryo UI" w:hAnsi="Meiryo UI"/>
          <w:sz w:val="20"/>
        </w:rPr>
        <w:t>2022〜2023年のウクライナ侵攻起因のナフサ高騰時、大伸化学は原価上昇を顧客へ転嫁し、増収増益を達成した。今回の中東危機はその再現シナリオ。転嫁能力はすでに証明済み。</w:t>
      </w:r>
    </w:p>
    <w:p/>
    <w:p>
      <w:r>
        <w:rPr>
          <w:rFonts w:ascii="Meiryo UI" w:hAnsi="Meiryo UI"/>
          <w:sz w:val="20"/>
        </w:rPr>
        <w:t>③ Q3実績：原材料コスト「低下」局面でさえOP+79.6%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Q3累計（FY2026/4月〜12月）実績:</w:t>
        <w:br/>
        <w:t xml:space="preserve">  売上: 前年比-2.0%（数量減）</w:t>
        <w:br/>
        <w:t xml:space="preserve">  営業利益: 前年比+79.6% ← 「原材料価格低下」が主因</w:t>
        <w:br/>
        <w:t xml:space="preserve">  経常利益: 前年比+70.4%</w:t>
        <w:br/>
        <w:t xml:space="preserve">  純利益:   前年比+83.0%</w:t>
        <w:br/>
        <w:br/>
        <w:t>→ 量が減っても利益が大幅増益 = 価格優位を享受</w:t>
        <w:br/>
        <w:t>→ ナフサ上昇後に転嫁が先行すれば、さらなる利益拡大も</w:t>
      </w:r>
    </w:p>
    <w:p/>
    <w:p>
      <w:pPr>
        <w:pStyle w:val="Heading3"/>
      </w:pPr>
      <w:r>
        <w:rPr>
          <w:rFonts w:ascii="Meiryo UI" w:hAnsi="Meiryo UI"/>
          <w:color w:val="2E74B5"/>
        </w:rPr>
        <w:t>2-2. ナフサ高騰がリスクである理由と限界</w:t>
      </w:r>
    </w:p>
    <w:p/>
    <w:p>
      <w:r>
        <w:rPr>
          <w:rFonts w:ascii="Meiryo UI" w:hAnsi="Meiryo UI"/>
          <w:sz w:val="20"/>
        </w:rPr>
        <w:t>リスク①：転嫁ラグ（2〜3ヶ月）</w:t>
      </w:r>
    </w:p>
    <w:p/>
    <w:p>
      <w:r>
        <w:rPr>
          <w:rFonts w:ascii="Meiryo UI" w:hAnsi="Meiryo UI"/>
          <w:sz w:val="20"/>
        </w:rPr>
        <w:t>ナフサ価格が急騰しても、顧客への値上げ交渉・通知・実施には2〜3ヶ月のタイムラグが発生する。この間は一時的にマージンが圧縮される。</w:t>
      </w:r>
    </w:p>
    <w:p/>
    <w:p>
      <w:r>
        <w:rPr>
          <w:rFonts w:ascii="Meiryo UI" w:hAnsi="Meiryo UI"/>
          <w:sz w:val="20"/>
        </w:rPr>
        <w:t>リスク②：需要破壊（顧客が買い控え）</w:t>
      </w:r>
    </w:p>
    <w:p/>
    <w:p>
      <w:r>
        <w:rPr>
          <w:rFonts w:ascii="Meiryo UI" w:hAnsi="Meiryo UI"/>
          <w:sz w:val="20"/>
        </w:rPr>
        <w:t>75%の大幅値上げは需要を抑制する可能性がある。特に建設・塗装向けの量需要は価格弾性が高い。</w:t>
      </w:r>
    </w:p>
    <w:p/>
    <w:p>
      <w:r>
        <w:rPr>
          <w:rFonts w:ascii="Meiryo UI" w:hAnsi="Meiryo UI"/>
          <w:sz w:val="20"/>
        </w:rPr>
        <w:t>リスク③：調達難（ホルムズ経由BTXの供給不足）</w:t>
      </w:r>
    </w:p>
    <w:p/>
    <w:p>
      <w:r>
        <w:rPr>
          <w:rFonts w:ascii="Meiryo UI" w:hAnsi="Meiryo UI"/>
          <w:sz w:val="20"/>
        </w:rPr>
        <w:t>トルエン・キシレン等のBTXはナフサ分解で製造。ホルムズ封鎖が長期化すると原料自体の入手が困難になりうる。ただし10,890KLの在庫バッファが2〜3ヶ月分のクッションとして機能する。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2-3. 深井の結論：「転嫁先行型でネットポジティブ」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現在進行中のシナリオ:</w:t>
        <w:br/>
        <w:t>┌─────────────────────────────────────────┐</w:t>
        <w:br/>
        <w:t>│ ホルムズ封鎖 → シンナー需給タイト → 業界値上げ開始  │</w:t>
        <w:br/>
        <w:t>│                                           │</w:t>
        <w:br/>
        <w:t>│ 大伸化学: 在庫バッファ10,890KLを活用しながら        │</w:t>
        <w:br/>
        <w:t>│          転嫁値上げを実施中（2026年4月〜5月）       │</w:t>
        <w:br/>
        <w:t>│                                           │</w:t>
        <w:br/>
        <w:t>│ FY2027:  転嫁後の高マージン × 量の漸回復 = 増益基調 │</w:t>
        <w:br/>
        <w:t>└─────────────────────────────────────────┘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業績アップデート</w:t>
      </w:r>
    </w:p>
    <w:p/>
    <w:p>
      <w:pPr>
        <w:pStyle w:val="Heading3"/>
      </w:pPr>
      <w:r>
        <w:rPr>
          <w:rFonts w:ascii="Meiryo UI" w:hAnsi="Meiryo UI"/>
          <w:color w:val="2E74B5"/>
        </w:rPr>
        <w:t>3-1. FY2025実績 vs FY2026計画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FY2025実績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FY2026計画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前期比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前期比+6.9%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計画値（公開待ち）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増収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前期比-6.9%（移行期）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前期比水準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EPS推定¥196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OPM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~20.8%（推定）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3-2. 3Q累計（最重要データ）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3Q累計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前年比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解釈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前年比-2.0%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数量減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需要軟化だが価格でカバー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前年比+79.6%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↑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原材料安×価格維持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前年比+70.4%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↑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前年比+83.0%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↑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r>
        <w:rPr>
          <w:rFonts w:ascii="Meiryo UI" w:hAnsi="Meiryo UI"/>
          <w:sz w:val="20"/>
        </w:rPr>
        <w:t>「量が減っても利益が増える」という利益構造への変化が3Qで証明された。</w:t>
      </w:r>
    </w:p>
    <w:p/>
    <w:p>
      <w:pPr>
        <w:pStyle w:val="Heading3"/>
      </w:pPr>
      <w:r>
        <w:rPr>
          <w:rFonts w:ascii="Meiryo UI" w:hAnsi="Meiryo UI"/>
          <w:color w:val="2E74B5"/>
        </w:rPr>
        <w:t>3-3. 財務状況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65.6%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高水準。無借金に近い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現金同等物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¥6.6億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時価総額の7.4%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ROE（FY26E）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5.3%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低いが改善中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¥3,729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株価¥1,938の1.92倍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¥89億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スタンダード超小型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主要指標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¥1,938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25MA比+8.4%（やや過熱）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0.52x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BPS¥3,729に対して極端な割安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9.89x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低収益期の実力値。改善余地大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2.06%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RSI(14)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58.9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中立〜やや過熱域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1M/1Y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+14.3% / +48.5%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先行している投資家が既に存在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4-2. WACC と目標株価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WACC:</w:t>
        <w:br/>
        <w:t xml:space="preserve">  Re = JGB10Y 2.425% + β0.80 × ERP 5.5% = 6.83%</w:t>
        <w:br/>
        <w:br/>
        <w:t>ROE(FY26E): 5.3%</w:t>
        <w:br/>
        <w:t>理論PBR: 5.3% / 6.83% = 0.77x</w:t>
        <w:br/>
        <w:br/>
        <w:t>現在PBR0.52x は理論値0.77xからも▲33%ディスカウント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目標株価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現値比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ベースケース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PBR=0.70x（転嫁完了 + 利益拡大確認）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¥2,610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+34.7%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強気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PBR=0.85x（ROE改善 + 東証PBR要請対応）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¥3,169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+63.5%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保守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PBR=0.60x（転嫁ラグで1Q損益悪化）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¥2,237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+15.4%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ストップロス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PBR=0.45x（需要破壊・ガイダンス大幅未達）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¥1,678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-13.4%</w:t>
            </w:r>
          </w:p>
        </w:tc>
      </w:tr>
    </w:tbl>
    <w:p/>
    <w:p>
      <w:r>
        <w:rPr>
          <w:rFonts w:ascii="Meiryo UI" w:hAnsi="Meiryo UI"/>
          <w:sz w:val="20"/>
        </w:rPr>
        <w:t>推奨目標株価: ¥2,610（PBR0.70x/ベースケース）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株主還元分析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現在:</w:t>
        <w:br/>
        <w:t xml:space="preserve">  配当 ¥40/株（FY2026計画）</w:t>
        <w:br/>
        <w:t xml:space="preserve">  配当性向 20.4%（EPS¥196ベース）</w:t>
        <w:br/>
        <w:t xml:space="preserve">  配当利回り 2.06%</w:t>
        <w:br/>
        <w:br/>
        <w:t>増配シナリオ（FY2027、転嫁後利益拡大）:</w:t>
        <w:br/>
        <w:t xml:space="preserve">  EPS¥250〜300想定（値上げ転嫁完了）</w:t>
        <w:br/>
        <w:t xml:space="preserve">  配当性向30%適用 → ¥75〜90/株</w:t>
        <w:br/>
        <w:t xml:space="preserve">  利回り3.87〜4.64%（現株価ベース）</w:t>
      </w:r>
    </w:p>
    <w:p/>
    <w:p>
      <w:r>
        <w:rPr>
          <w:rFonts w:ascii="Meiryo UI" w:hAnsi="Meiryo UI"/>
          <w:sz w:val="20"/>
        </w:rPr>
        <w:t>東証PBR改善要請 + 転嫁後の利益拡大が揃えば、大幅増配のケースが出てくる。PBR0.52xという異常な割安状態への株主からのプレッシャーも高まりつつある。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不動産含み益考察（社長指示必須事項）</w:t>
      </w:r>
    </w:p>
    <w:p/>
    <w:p>
      <w:pPr>
        <w:pStyle w:val="ListBullet"/>
      </w:pPr>
      <w:r>
        <w:rPr>
          <w:rFonts w:ascii="Meiryo UI" w:hAnsi="Meiryo UI"/>
          <w:sz w:val="20"/>
        </w:rPr>
        <w:t>推定保有不動産: 1952年創業の製造業として工場・倉庫敷地を長期保有</w:t>
      </w:r>
    </w:p>
    <w:p>
      <w:pPr>
        <w:pStyle w:val="ListBullet"/>
      </w:pPr>
      <w:r>
        <w:rPr>
          <w:rFonts w:ascii="Meiryo UI" w:hAnsi="Meiryo UI"/>
          <w:sz w:val="20"/>
        </w:rPr>
        <w:t>10,890KLの原料貯蔵設備: 物理的な大型タンク設備を保有 → 用地面積は相応に大きい</w:t>
      </w:r>
    </w:p>
    <w:p>
      <w:pPr>
        <w:pStyle w:val="ListBullet"/>
      </w:pPr>
      <w:r>
        <w:rPr>
          <w:rFonts w:ascii="Meiryo UI" w:hAnsi="Meiryo UI"/>
          <w:sz w:val="20"/>
        </w:rPr>
        <w:t>含み益規模推計: 自己資本比率65.6%・総資産推定¥261億の構成から、土地含み益は¥10〜30億規模と推定。時価総額¥89億比で無視できない規模</w:t>
      </w:r>
    </w:p>
    <w:p>
      <w:pPr>
        <w:pStyle w:val="ListBullet"/>
      </w:pPr>
      <w:r>
        <w:rPr>
          <w:rFonts w:ascii="Meiryo UI" w:hAnsi="Meiryo UI"/>
          <w:sz w:val="20"/>
        </w:rPr>
        <w:t>NAV算出: 5/14決算資料確認後に更新予定</w:t>
      </w:r>
    </w:p>
    <w:p>
      <w:pPr>
        <w:pStyle w:val="ListBullet"/>
      </w:pPr>
      <w:r>
        <w:rPr>
          <w:rFonts w:ascii="Meiryo UI" w:hAnsi="Meiryo UI"/>
          <w:sz w:val="20"/>
        </w:rPr>
        <w:t>含み益触媒: 東証CGコード改訂による不動産含み益開示義務化（2026/4/7アナリストメモ）が進む場合、PBR0.52x + 含み益開示でバリュエーション再評価の連鎖が起きる可能性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リスクシナリオ（3ケース）</w:t>
      </w:r>
    </w:p>
    <w:p/>
    <w:p>
      <w:pPr>
        <w:pStyle w:val="Heading3"/>
      </w:pPr>
      <w:r>
        <w:rPr>
          <w:rFonts w:ascii="Meiryo UI" w:hAnsi="Meiryo UI"/>
          <w:color w:val="2E74B5"/>
        </w:rPr>
        <w:t>ケース① ベース（確率50%）</w:t>
      </w:r>
    </w:p>
    <w:p>
      <w:pPr>
        <w:pStyle w:val="ListBullet"/>
      </w:pPr>
      <w:r>
        <w:rPr>
          <w:rFonts w:ascii="Meiryo UI" w:hAnsi="Meiryo UI"/>
          <w:sz w:val="20"/>
        </w:rPr>
        <w:t>転嫁値上げが2Q（7〜9月）までに完了、ホルムズ封鎖が続く間は需給タイト継続</w:t>
      </w:r>
    </w:p>
    <w:p>
      <w:pPr>
        <w:pStyle w:val="ListBullet"/>
      </w:pPr>
      <w:r>
        <w:rPr>
          <w:rFonts w:ascii="Meiryo UI" w:hAnsi="Meiryo UI"/>
          <w:sz w:val="20"/>
        </w:rPr>
        <w:t>FY2027でOP大幅増加（+50%超）→ ROE7〜8%台に改善</w:t>
      </w:r>
    </w:p>
    <w:p>
      <w:pPr>
        <w:pStyle w:val="ListBullet"/>
      </w:pPr>
      <w:r>
        <w:rPr>
          <w:rFonts w:ascii="Meiryo UI" w:hAnsi="Meiryo UI"/>
          <w:sz w:val="20"/>
        </w:rPr>
        <w:t>PBR0.70x達成</w:t>
      </w:r>
    </w:p>
    <w:p>
      <w:pPr>
        <w:pStyle w:val="ListBullet"/>
      </w:pPr>
      <w:r>
        <w:rPr>
          <w:rFonts w:ascii="Meiryo UI" w:hAnsi="Meiryo UI"/>
          <w:sz w:val="20"/>
        </w:rPr>
        <w:t>目標: ¥2,610（+34.7%） / 達成期間: 6〜9ヶ月</w:t>
      </w:r>
    </w:p>
    <w:p/>
    <w:p>
      <w:pPr>
        <w:pStyle w:val="Heading3"/>
      </w:pPr>
      <w:r>
        <w:rPr>
          <w:rFonts w:ascii="Meiryo UI" w:hAnsi="Meiryo UI"/>
          <w:color w:val="2E74B5"/>
        </w:rPr>
        <w:t>ケース② 強気（確率20%）</w:t>
      </w:r>
    </w:p>
    <w:p>
      <w:pPr>
        <w:pStyle w:val="ListBullet"/>
      </w:pPr>
      <w:r>
        <w:rPr>
          <w:rFonts w:ascii="Meiryo UI" w:hAnsi="Meiryo UI"/>
          <w:sz w:val="20"/>
        </w:rPr>
        <w:t>転嫁率が業界値上げ（75%）を上回り、スペシャリティ製品（電子向け特殊シンナー）でプレミアム価格設定</w:t>
      </w:r>
    </w:p>
    <w:p>
      <w:pPr>
        <w:pStyle w:val="ListBullet"/>
      </w:pPr>
      <w:r>
        <w:rPr>
          <w:rFonts w:ascii="Meiryo UI" w:hAnsi="Meiryo UI"/>
          <w:sz w:val="20"/>
        </w:rPr>
        <w:t>増配（¥40→¥60〜80）発表 + 自社株買い</w:t>
      </w:r>
    </w:p>
    <w:p>
      <w:pPr>
        <w:pStyle w:val="ListBullet"/>
      </w:pPr>
      <w:r>
        <w:rPr>
          <w:rFonts w:ascii="Meiryo UI" w:hAnsi="Meiryo UI"/>
          <w:sz w:val="20"/>
        </w:rPr>
        <w:t>東証PBR要請対応で機関投資家再発見</w:t>
      </w:r>
    </w:p>
    <w:p>
      <w:pPr>
        <w:pStyle w:val="ListBullet"/>
      </w:pPr>
      <w:r>
        <w:rPr>
          <w:rFonts w:ascii="Meiryo UI" w:hAnsi="Meiryo UI"/>
          <w:sz w:val="20"/>
        </w:rPr>
        <w:t>目標: ¥3,169（+63.5%） / 達成期間: 12〜18ヶ月</w:t>
      </w:r>
    </w:p>
    <w:p/>
    <w:p>
      <w:pPr>
        <w:pStyle w:val="Heading3"/>
      </w:pPr>
      <w:r>
        <w:rPr>
          <w:rFonts w:ascii="Meiryo UI" w:hAnsi="Meiryo UI"/>
          <w:color w:val="2E74B5"/>
        </w:rPr>
        <w:t>ケース③ 弱気（確率30%）</w:t>
      </w:r>
    </w:p>
    <w:p>
      <w:pPr>
        <w:pStyle w:val="ListBullet"/>
      </w:pPr>
      <w:r>
        <w:rPr>
          <w:rFonts w:ascii="Meiryo UI" w:hAnsi="Meiryo UI"/>
          <w:sz w:val="20"/>
        </w:rPr>
        <w:t>転嫁ラグが長引き、Q4〜来期Q1のマージン圧縮</w:t>
      </w:r>
    </w:p>
    <w:p>
      <w:pPr>
        <w:pStyle w:val="ListBullet"/>
      </w:pPr>
      <w:r>
        <w:rPr>
          <w:rFonts w:ascii="Meiryo UI" w:hAnsi="Meiryo UI"/>
          <w:sz w:val="20"/>
        </w:rPr>
        <w:t>需要破壊（量▲15%超）で売上・利益ともに減少</w:t>
      </w:r>
    </w:p>
    <w:p>
      <w:pPr>
        <w:pStyle w:val="ListBullet"/>
      </w:pPr>
      <w:r>
        <w:rPr>
          <w:rFonts w:ascii="Meiryo UI" w:hAnsi="Meiryo UI"/>
          <w:sz w:val="20"/>
        </w:rPr>
        <w:t>超低流動性のため下落時の損切りが困難</w:t>
      </w:r>
    </w:p>
    <w:p>
      <w:pPr>
        <w:pStyle w:val="ListBullet"/>
      </w:pPr>
      <w:r>
        <w:rPr>
          <w:rFonts w:ascii="Meiryo UI" w:hAnsi="Meiryo UI"/>
          <w:sz w:val="20"/>
        </w:rPr>
        <w:t>リスク: ¥1,678（-13.4%） / ハードストップ水準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定量ストレステスト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ストレス項目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影響試算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株価インパクト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転嫁ラグ2Q（4〜6ヶ月）→ 1Q利益圧縮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OP一時▲20〜30%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PBR0.50x→¥1,865（-3.8%）一時的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需要破壊（量▲15%）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売上▲15%、OP▲20%（転嫁で部分相殺）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EPS¥160台 → PER10x = ¥1,600（-17.4%）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転嫁成功（+75%値上げ浸透）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OPM+5pt → ROE8%超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PBR0.80x → ¥2,983（+53.9%）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ホルムズ短期解消（1〜2ヶ月）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需給緩和 → 値上げ撤回圧力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シナリオ転換。利益水準再評価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東証PBR改善要請（自社株買い¥5億）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EPS押し上げ + 需給改善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超低流動性銘柄として大インパクト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Q-1定性変化考察（ホルムズ発生後の変化）</w:t>
      </w:r>
    </w:p>
    <w:p/>
    <w:p>
      <w:pPr>
        <w:pStyle w:val="Heading3"/>
      </w:pPr>
      <w:r>
        <w:rPr>
          <w:rFonts w:ascii="Meiryo UI" w:hAnsi="Meiryo UI"/>
          <w:color w:val="2E74B5"/>
        </w:rPr>
        <w:t>ポジティブ変化</w:t>
      </w:r>
    </w:p>
    <w:p>
      <w:pPr>
        <w:pStyle w:val="ListBullet"/>
      </w:pPr>
      <w:r>
        <w:rPr>
          <w:rFonts w:ascii="Meiryo UI" w:hAnsi="Meiryo UI"/>
          <w:sz w:val="20"/>
        </w:rPr>
        <w:t>✅ 業界全体の転嫁開始（日本ペイント等が75%値上げ）: 大伸化学の転嫁交渉の「錦の御旗」が整った</w:t>
      </w:r>
    </w:p>
    <w:p>
      <w:pPr>
        <w:pStyle w:val="ListBullet"/>
      </w:pPr>
      <w:r>
        <w:rPr>
          <w:rFonts w:ascii="Meiryo UI" w:hAnsi="Meiryo UI"/>
          <w:sz w:val="20"/>
        </w:rPr>
        <w:t>✅ Q3実績OP+79.6%: 「原材料安×価格優位」での実力値を確認。転嫁完了後はさらなる利益拡大期待</w:t>
      </w:r>
    </w:p>
    <w:p>
      <w:pPr>
        <w:pStyle w:val="ListBullet"/>
      </w:pPr>
      <w:r>
        <w:rPr>
          <w:rFonts w:ascii="Meiryo UI" w:hAnsi="Meiryo UI"/>
          <w:sz w:val="20"/>
        </w:rPr>
        <w:t>✅ PBR0.52x × 東証PBR改善要請: 超低PBRへの市場の関心が高まる構造的背景</w:t>
      </w:r>
    </w:p>
    <w:p/>
    <w:p>
      <w:pPr>
        <w:pStyle w:val="Heading3"/>
      </w:pPr>
      <w:r>
        <w:rPr>
          <w:rFonts w:ascii="Meiryo UI" w:hAnsi="Meiryo UI"/>
          <w:color w:val="2E74B5"/>
        </w:rPr>
        <w:t>ネガティブ変化</w:t>
      </w:r>
    </w:p>
    <w:p>
      <w:pPr>
        <w:pStyle w:val="ListBullet"/>
      </w:pPr>
      <w:r>
        <w:rPr>
          <w:rFonts w:ascii="Meiryo UI" w:hAnsi="Meiryo UI"/>
          <w:sz w:val="20"/>
        </w:rPr>
        <w:t>⚠️ 転嫁ラグの不確実性: 転嫁値上げが実際に顧客承認されるまでの2〜3ヶ月、マージン悪化リスク</w:t>
      </w:r>
    </w:p>
    <w:p>
      <w:pPr>
        <w:pStyle w:val="ListBullet"/>
      </w:pPr>
      <w:r>
        <w:rPr>
          <w:rFonts w:ascii="Meiryo UI" w:hAnsi="Meiryo UI"/>
          <w:sz w:val="20"/>
        </w:rPr>
        <w:t>⚠️ 1M+14.3%の株価先行: 市場が既にシンナー需給タイトを部分的に織り込んでいる可能性。転嫁完了前の「期待買い」だとすれば5/14決算で失望売りのリスク</w:t>
      </w:r>
    </w:p>
    <w:p>
      <w:pPr>
        <w:pStyle w:val="ListBullet"/>
      </w:pPr>
      <w:r>
        <w:rPr>
          <w:rFonts w:ascii="Meiryo UI" w:hAnsi="Meiryo UI"/>
          <w:sz w:val="20"/>
        </w:rPr>
        <w:t>⚠️ ADV¥20.4M/日の超低流動性: 急落時に損切りできないリスク。ポジションサイズ管理が必須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ガイダンス発表考察（5/14決算向け）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観点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判定根拠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FY2026通期着地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Q3進捗から概ね着地。Q4は転嫁値上げ開始期（1〜3月）だが効果は来期がメイン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来期FY2027ガイダンス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最重要。値上げ転嫁後の利益拡大をどこまで計画に反映するか。スタンダード市場の保守経営なら控えめな可能性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増配可能性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転嫁後の利益回復を示しながら配当性向を20%→30%に引き上げるカードが最も投資家に響く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自社株買い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PBR0.52x で自社株買いはROE改善に最大効果。サプライズとなりうる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11. 投資判断サマリー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BUY（優先度2）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¥1,938（25MA比+8.4%でやや高め）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目標株価（ベース）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¥2,610（+34.7%）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目標株価（強気）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¥3,169（+63.5%）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ストップロス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¥1,678（-13.4%）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推奨アクション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25MA（¥1,788）タッチ時に押し目買い。過熱時（RSI70超）は待機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次の確認日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5/14（決算）: FY2027ガイダンス + 増配有無が鍵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リスク/リターン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1:2.6（ベース） / 1:4.7（強気）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【最終回答: シンナー不足はポジティブ、ナフサ高騰はネット軽微ネガ】</w:t>
        <w:br/>
        <w:br/>
        <w:t>大伸化学は「製造業者」であり「バイヤー（ディストリビューター）」ではない。</w:t>
        <w:br/>
        <w:t>業界全体の75%値上げが実施される中、転嫁権限を持つ製造業者にとって</w:t>
        <w:br/>
        <w:t>需給タイトは「コスト転嫁の大義名分」として機能する。</w:t>
        <w:br/>
        <w:br/>
        <w:t>Q3実績OP+79.6%は「転嫁前」の力量。</w:t>
        <w:br/>
        <w:t>「転嫁完了後」のFY2027が本命の勝負期。</w:t>
        <w:br/>
        <w:br/>
        <w:t>リスクは転嫁ラグ（2〜3ヶ月）と需要破壊だが、</w:t>
        <w:br/>
        <w:t>PBR0.52xというバリュエーションの安全マージンがリスクを相殺する。</w:t>
        <w:br/>
        <w:br/>
        <w:t>「5/14決算でFY2027ガイダンスが出た時に転嫁効果が数字で確認できれば</w:t>
        <w:br/>
        <w:t xml:space="preserve"> 即PBR0.70〜0.85xへの再評価が走る。その前に仕込むのが合理的。」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作成: AI浅井（深井 Deep Research担当）2026-04-10</w:t>
      </w:r>
    </w:p>
    <w:p/>
    <w:p>
      <w:r>
        <w:rPr>
          <w:rFonts w:ascii="Meiryo UI" w:hAnsi="Meiryo UI"/>
          <w:sz w:val="20"/>
        </w:rPr>
        <w:t>Sources:</w:t>
      </w:r>
    </w:p>
    <w:p>
      <w:pPr>
        <w:pStyle w:val="ListBullet"/>
      </w:pPr>
      <w:r>
        <w:rPr>
          <w:rFonts w:ascii="Meiryo UI" w:hAnsi="Meiryo UI"/>
          <w:sz w:val="20"/>
        </w:rPr>
        <w:t>[大伸化学 IR](https://www.daishin-chemical.co.jp/ir/)</w:t>
      </w:r>
    </w:p>
    <w:p>
      <w:pPr>
        <w:pStyle w:val="ListBullet"/>
      </w:pPr>
      <w:r>
        <w:rPr>
          <w:rFonts w:ascii="Meiryo UI" w:hAnsi="Meiryo UI"/>
          <w:sz w:val="20"/>
        </w:rPr>
        <w:t>[Yahoo Finance 4629](https://finance.yahoo.co.jp/quote/4629.T/financials)</w:t>
      </w:r>
    </w:p>
    <w:p>
      <w:pPr>
        <w:pStyle w:val="ListBullet"/>
      </w:pPr>
      <w:r>
        <w:rPr>
          <w:rFonts w:ascii="Meiryo UI" w:hAnsi="Meiryo UI"/>
          <w:sz w:val="20"/>
        </w:rPr>
        <w:t>[IRBANK 4629](https://irbank.net/4629/ir)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