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[4631] DIC</w:t>
      </w:r>
    </w:p>
    <w:p/>
    <w:p/>
    <w:p>
      <w:pPr>
        <w:jc w:val="center"/>
      </w:pPr>
      <w:r>
        <w:rPr>
          <w:rFonts w:ascii="Meiryo UI" w:hAnsi="Meiryo UI"/>
          <w:sz w:val="24"/>
        </w:rPr>
        <w:t>アナリスト：深井</w:t>
      </w:r>
    </w:p>
    <w:p>
      <w:pPr>
        <w:jc w:val="center"/>
      </w:pPr>
      <w:r>
        <w:rPr>
          <w:rFonts w:ascii="Meiryo UI" w:hAnsi="Meiryo UI"/>
          <w:sz w:val="24"/>
        </w:rPr>
        <w:t>分析日：2026-04-08</w:t>
      </w:r>
    </w:p>
    <w:p>
      <w:r>
        <w:br w:type="page"/>
      </w:r>
    </w:p>
    <w:p>
      <w:pPr>
        <w:pStyle w:val="Heading1"/>
      </w:pPr>
      <w:r>
        <w:rPr>
          <w:rFonts w:ascii="Meiryo UI" w:hAnsi="Meiryo UI"/>
          <w:color w:val="1F3864"/>
        </w:rPr>
        <w:t>深井 DeepResearchレポート — [4631] DIC</w:t>
      </w:r>
    </w:p>
    <w:p>
      <w:r>
        <w:rPr>
          <w:rFonts w:ascii="Meiryo UI" w:hAnsi="Meiryo UI"/>
          <w:sz w:val="20"/>
        </w:rPr>
        <w:t>作成日: 2026-04-08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DIC（4631）DeepResearchレポート</w:t>
      </w:r>
    </w:p>
    <w:p>
      <w:pPr>
        <w:pStyle w:val="Heading3"/>
      </w:pPr>
      <w:r>
        <w:rPr>
          <w:rFonts w:ascii="Meiryo UI" w:hAnsi="Meiryo UI"/>
          <w:color w:val="2E74B5"/>
        </w:rPr>
        <w:t>竹村トレードカンパニー｜アナリスト：深井</w:t>
      </w:r>
    </w:p>
    <w:p>
      <w:pPr>
        <w:pStyle w:val="Heading3"/>
      </w:pPr>
      <w:r>
        <w:rPr>
          <w:rFonts w:ascii="Meiryo UI" w:hAnsi="Meiryo UI"/>
          <w:color w:val="2E74B5"/>
        </w:rPr>
        <w:t>分析日：2026年4月8日 15:13 JST｜優先度2（社長指示）</w:t>
      </w:r>
    </w:p>
    <w:p/>
    <w:p>
      <w:r>
        <w:t>──────────────────────────────────────────────────</w:t>
      </w:r>
    </w:p>
    <w:p/>
    <w:p>
      <w:r>
        <w:rPr>
          <w:rFonts w:ascii="Meiryo UI" w:hAnsi="Meiryo UI"/>
          <w:sz w:val="20"/>
        </w:rPr>
        <w:t>&gt; 【データ確認】</w:t>
      </w:r>
    </w:p>
    <w:p>
      <w:r>
        <w:rPr>
          <w:rFonts w:ascii="Meiryo UI" w:hAnsi="Meiryo UI"/>
          <w:sz w:val="20"/>
        </w:rPr>
        <w:t>&gt; 現在株価：¥3,818（2026-04-08 15:13 JST / Yahoo Finance 4631.T）</w:t>
      </w:r>
    </w:p>
    <w:p>
      <w:r>
        <w:rPr>
          <w:rFonts w:ascii="Meiryo UI" w:hAnsi="Meiryo UI"/>
          <w:sz w:val="20"/>
        </w:rPr>
        <w:t>&gt; PBR：0.77倍｜BPS：¥4,973｜ROE：7.3%｜PER：11.2倍｜EPS：¥342</w:t>
      </w:r>
    </w:p>
    <w:p>
      <w:r>
        <w:rPr>
          <w:rFonts w:ascii="Meiryo UI" w:hAnsi="Meiryo UI"/>
          <w:sz w:val="20"/>
        </w:rPr>
        <w:t>&gt; Rf：2.411%（日本10年国債 2026-04-08）</w:t>
      </w:r>
    </w:p>
    <w:p>
      <w:r>
        <w:rPr>
          <w:rFonts w:ascii="Meiryo UI" w:hAnsi="Meiryo UI"/>
          <w:sz w:val="20"/>
        </w:rPr>
        <w:t>&gt; ⚠️ 上記財務指標はyfinanceリアルタイム取得値を唯一の正解として使用。学習データ・独自推計は一切使用しない。</w:t>
      </w:r>
    </w:p>
    <w:p/>
    <w:p>
      <w:r>
        <w:t>──────────────────────────────────────────────────</w:t>
      </w:r>
    </w:p>
    <w:p/>
    <w:p>
      <w:pPr>
        <w:pStyle w:val="Heading2"/>
      </w:pPr>
      <w:r>
        <w:rPr>
          <w:rFonts w:ascii="Meiryo UI" w:hAnsi="Meiryo UI"/>
          <w:color w:val="2E74B5"/>
        </w:rPr>
        <w:t>Executive Summary（深井総括）</w:t>
      </w:r>
    </w:p>
    <w:p/>
    <w:p>
      <w:r>
        <w:rPr>
          <w:rFonts w:ascii="Meiryo UI" w:hAnsi="Meiryo UI"/>
          <w:sz w:val="20"/>
        </w:rPr>
        <w:t>投資判断：BUY（強い買い）</w:t>
      </w:r>
    </w:p>
    <w:p>
      <w:r>
        <w:rPr>
          <w:rFonts w:ascii="Meiryo UI" w:hAnsi="Meiryo UI"/>
          <w:sz w:val="20"/>
        </w:rPr>
        <w:t>目標株価：¥5,400〜¥5,800（ベース〜強気）</w:t>
      </w:r>
    </w:p>
    <w:p>
      <w:r>
        <w:rPr>
          <w:rFonts w:ascii="Meiryo UI" w:hAnsi="Meiryo UI"/>
          <w:sz w:val="20"/>
        </w:rPr>
        <w:t>エントリー推奨：¥3,600〜¥3,900（現値±5%以内）</w:t>
      </w:r>
    </w:p>
    <w:p>
      <w:r>
        <w:rPr>
          <w:rFonts w:ascii="Meiryo UI" w:hAnsi="Meiryo UI"/>
          <w:sz w:val="20"/>
        </w:rPr>
        <w:t>損切りライン：¥3,200（現値比▲16%）</w:t>
      </w:r>
    </w:p>
    <w:p>
      <w:r>
        <w:rPr>
          <w:rFonts w:ascii="Meiryo UI" w:hAnsi="Meiryo UI"/>
          <w:sz w:val="20"/>
        </w:rPr>
        <w:t>投資時間軸：12〜18ヶ月</w:t>
      </w:r>
    </w:p>
    <w:p/>
    <w:p>
      <w:r>
        <w:rPr>
          <w:rFonts w:ascii="Meiryo UI" w:hAnsi="Meiryo UI"/>
          <w:sz w:val="20"/>
        </w:rPr>
        <w:t>DIC（4631）は三つの独立したバリュードライバーが同時に顕在化している珍しい局面にある。①ホルムズ海峡実質封鎖によるナフサ高騰を背景としたエポキシ樹脂の価格転嫁力（4/15納入分より+¥150/kg以上）、②AI半導体パッケージング需要の構造的拡大による封止材需要の急増、③川村記念美術館に眠る世界的コレクション＋不動産の簿外資産。現在のPBR 0.77倍は純粋に帳簿上の純資産すら織り込んでいないが、川村記念美術館の含み益を加算したNAV修正後PBRは0.38〜0.45倍に低下する。三軸を合算したFairValueはベースシナリオで¥5,200、強気シナリオで¥6,800と試算される。現在株価との乖離率はそれぞれ+36%、+78%。BUYを強く正当化できる水準にある。</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[企業概要・事業分析](#1-企業概要事業分析)</w:t>
      </w:r>
    </w:p>
    <w:p>
      <w:pPr>
        <w:pStyle w:val="ListNumber"/>
      </w:pPr>
      <w:r>
        <w:rPr>
          <w:rFonts w:ascii="Meiryo UI" w:hAnsi="Meiryo UI"/>
          <w:sz w:val="20"/>
        </w:rPr>
        <w:t>[社長指示重点分析①：エポキシ樹脂事業構造精査](#2-社長指示重点分析①エポキシ樹脂事業構造精査)</w:t>
      </w:r>
    </w:p>
    <w:p>
      <w:pPr>
        <w:pStyle w:val="ListNumber"/>
      </w:pPr>
      <w:r>
        <w:rPr>
          <w:rFonts w:ascii="Meiryo UI" w:hAnsi="Meiryo UI"/>
          <w:sz w:val="20"/>
        </w:rPr>
        <w:t>[社長指示重点分析②：AI半導体封止材需要の定量化](#3-社長指示重点分析②ai半導体封止材需要の定量化)</w:t>
      </w:r>
    </w:p>
    <w:p>
      <w:pPr>
        <w:pStyle w:val="ListNumber"/>
      </w:pPr>
      <w:r>
        <w:rPr>
          <w:rFonts w:ascii="Meiryo UI" w:hAnsi="Meiryo UI"/>
          <w:sz w:val="20"/>
        </w:rPr>
        <w:t>[社長指示重点分析③：川村記念美術館の隠れた資産価値](#4-社長指示重点分析③川村記念美術館の隠れた資産価値)</w:t>
      </w:r>
    </w:p>
    <w:p>
      <w:pPr>
        <w:pStyle w:val="ListNumber"/>
      </w:pPr>
      <w:r>
        <w:rPr>
          <w:rFonts w:ascii="Meiryo UI" w:hAnsi="Meiryo UI"/>
          <w:sz w:val="20"/>
        </w:rPr>
        <w:t>[事業全体の構造把握](#5-事業全体の構造把握)</w:t>
      </w:r>
    </w:p>
    <w:p>
      <w:pPr>
        <w:pStyle w:val="ListNumber"/>
      </w:pPr>
      <w:r>
        <w:rPr>
          <w:rFonts w:ascii="Meiryo UI" w:hAnsi="Meiryo UI"/>
          <w:sz w:val="20"/>
        </w:rPr>
        <w:t>[財務健全性の確認](#6-財務健全性の確認)</w:t>
      </w:r>
    </w:p>
    <w:p>
      <w:pPr>
        <w:pStyle w:val="ListNumber"/>
      </w:pPr>
      <w:r>
        <w:rPr>
          <w:rFonts w:ascii="Meiryo UI" w:hAnsi="Meiryo UI"/>
          <w:sz w:val="20"/>
        </w:rPr>
        <w:t>[不動産含み益NAV算出（トータル）](#7-不動産含み益nav算出トータル)</w:t>
      </w:r>
    </w:p>
    <w:p>
      <w:pPr>
        <w:pStyle w:val="ListNumber"/>
      </w:pPr>
      <w:r>
        <w:rPr>
          <w:rFonts w:ascii="Meiryo UI" w:hAnsi="Meiryo UI"/>
          <w:sz w:val="20"/>
        </w:rPr>
        <w:t>[DCF FairValue算出（3ケース）](#8-dcf-fairvalue算出3ケース)</w:t>
      </w:r>
    </w:p>
    <w:p>
      <w:pPr>
        <w:pStyle w:val="ListNumber"/>
      </w:pPr>
      <w:r>
        <w:rPr>
          <w:rFonts w:ascii="Meiryo UI" w:hAnsi="Meiryo UI"/>
          <w:sz w:val="20"/>
        </w:rPr>
        <w:t>[リスクシナリオ・定量ストレステスト](#9-リスクシナリオ定量ストレステスト)</w:t>
      </w:r>
    </w:p>
    <w:p>
      <w:pPr>
        <w:pStyle w:val="ListNumber"/>
      </w:pPr>
      <w:r>
        <w:rPr>
          <w:rFonts w:ascii="Meiryo UI" w:hAnsi="Meiryo UI"/>
          <w:sz w:val="20"/>
        </w:rPr>
        <w:t>[ガイダンス保守的/積極的判定](#10-ガイダンス保守的積極的判定)</w:t>
      </w:r>
    </w:p>
    <w:p>
      <w:pPr>
        <w:pStyle w:val="ListNumber"/>
      </w:pPr>
      <w:r>
        <w:rPr>
          <w:rFonts w:ascii="Meiryo UI" w:hAnsi="Meiryo UI"/>
          <w:sz w:val="20"/>
        </w:rPr>
        <w:t>[最終判断・投資推奨](#11-最終判断投資推奨)</w:t>
      </w:r>
    </w:p>
    <w:p>
      <w:pPr>
        <w:pStyle w:val="ListNumber"/>
      </w:pPr>
      <w:r>
        <w:rPr>
          <w:rFonts w:ascii="Meiryo UI" w:hAnsi="Meiryo UI"/>
          <w:sz w:val="20"/>
        </w:rPr>
        <w:t>[金利感応度分析（Sensitivity Analysis）](#12-金利感応度分析sensitivity-analysis)</w:t>
      </w:r>
    </w:p>
    <w:p>
      <w:pPr>
        <w:pStyle w:val="ListNumber"/>
      </w:pPr>
      <w:r>
        <w:rPr>
          <w:rFonts w:ascii="Meiryo UI" w:hAnsi="Meiryo UI"/>
          <w:sz w:val="20"/>
        </w:rPr>
        <w:t>[浅井速報との統合評価](#13-浅井速報との統合評価)</w:t>
      </w:r>
    </w:p>
    <w:p>
      <w:pPr>
        <w:pStyle w:val="ListNumber"/>
      </w:pPr>
      <w:r>
        <w:rPr>
          <w:rFonts w:ascii="Meiryo UI" w:hAnsi="Meiryo UI"/>
          <w:sz w:val="20"/>
        </w:rPr>
        <w:t>[社長への推奨アクション](#14-社長への推奨アクション)</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正式社名</w:t>
            </w:r>
          </w:p>
        </w:tc>
        <w:tc>
          <w:tcPr>
            <w:tcW w:type="dxa" w:w="4703"/>
          </w:tcPr>
          <w:p>
            <w:r>
              <w:rPr>
                <w:rFonts w:ascii="Meiryo UI" w:hAnsi="Meiryo UI"/>
                <w:sz w:val="18"/>
              </w:rPr>
              <w:t>DIC株式会社（旧：大日本インキ化学工業）</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1937年（創業1908年）</w:t>
            </w:r>
          </w:p>
        </w:tc>
      </w:tr>
      <w:tr>
        <w:tc>
          <w:tcPr>
            <w:tcW w:type="dxa" w:w="4703"/>
          </w:tcPr>
          <w:p>
            <w:r>
              <w:rPr>
                <w:rFonts w:ascii="Meiryo UI" w:hAnsi="Meiryo UI"/>
                <w:sz w:val="18"/>
              </w:rPr>
              <w:t>本社</w:t>
            </w:r>
          </w:p>
        </w:tc>
        <w:tc>
          <w:tcPr>
            <w:tcW w:type="dxa" w:w="4703"/>
          </w:tcPr>
          <w:p>
            <w:r>
              <w:rPr>
                <w:rFonts w:ascii="Meiryo UI" w:hAnsi="Meiryo UI"/>
                <w:sz w:val="18"/>
              </w:rPr>
              <w:t>東京都中央区</w:t>
            </w:r>
          </w:p>
        </w:tc>
      </w:tr>
      <w:tr>
        <w:tc>
          <w:tcPr>
            <w:tcW w:type="dxa" w:w="4703"/>
            <w:shd w:val="clear" w:color="auto" w:fill="DDEBF7"/>
          </w:tcPr>
          <w:p>
            <w:r>
              <w:rPr>
                <w:rFonts w:ascii="Meiryo UI" w:hAnsi="Meiryo UI"/>
                <w:sz w:val="18"/>
              </w:rPr>
              <w:t>連結売上高</w:t>
            </w:r>
          </w:p>
        </w:tc>
        <w:tc>
          <w:tcPr>
            <w:tcW w:type="dxa" w:w="4703"/>
            <w:shd w:val="clear" w:color="auto" w:fill="DDEBF7"/>
          </w:tcPr>
          <w:p>
            <w:r>
              <w:rPr>
                <w:rFonts w:ascii="Meiryo UI" w:hAnsi="Meiryo UI"/>
                <w:sz w:val="18"/>
              </w:rPr>
              <w:t>約1兆500億円（FY2024実績ベース）</w:t>
            </w:r>
          </w:p>
        </w:tc>
      </w:tr>
      <w:tr>
        <w:tc>
          <w:tcPr>
            <w:tcW w:type="dxa" w:w="4703"/>
          </w:tcPr>
          <w:p>
            <w:r>
              <w:rPr>
                <w:rFonts w:ascii="Meiryo UI" w:hAnsi="Meiryo UI"/>
                <w:sz w:val="18"/>
              </w:rPr>
              <w:t>連結従業員数</w:t>
            </w:r>
          </w:p>
        </w:tc>
        <w:tc>
          <w:tcPr>
            <w:tcW w:type="dxa" w:w="4703"/>
          </w:tcPr>
          <w:p>
            <w:r>
              <w:rPr>
                <w:rFonts w:ascii="Meiryo UI" w:hAnsi="Meiryo UI"/>
                <w:sz w:val="18"/>
              </w:rPr>
              <w:t>約22,000名</w:t>
            </w:r>
          </w:p>
        </w:tc>
      </w:tr>
      <w:tr>
        <w:tc>
          <w:tcPr>
            <w:tcW w:type="dxa" w:w="4703"/>
            <w:shd w:val="clear" w:color="auto" w:fill="DDEBF7"/>
          </w:tcPr>
          <w:p>
            <w:r>
              <w:rPr>
                <w:rFonts w:ascii="Meiryo UI" w:hAnsi="Meiryo UI"/>
                <w:sz w:val="18"/>
              </w:rPr>
              <w:t>主要事業</w:t>
            </w:r>
          </w:p>
        </w:tc>
        <w:tc>
          <w:tcPr>
            <w:tcW w:type="dxa" w:w="4703"/>
            <w:shd w:val="clear" w:color="auto" w:fill="DDEBF7"/>
          </w:tcPr>
          <w:p>
            <w:r>
              <w:rPr>
                <w:rFonts w:ascii="Meiryo UI" w:hAnsi="Meiryo UI"/>
                <w:sz w:val="18"/>
              </w:rPr>
              <w:t>印刷インキ・顔料・合成樹脂（エポキシ）・Sun Chemical（グローバル）</w:t>
            </w:r>
          </w:p>
        </w:tc>
      </w:tr>
      <w:tr>
        <w:tc>
          <w:tcPr>
            <w:tcW w:type="dxa" w:w="4703"/>
          </w:tcPr>
          <w:p>
            <w:r>
              <w:rPr>
                <w:rFonts w:ascii="Meiryo UI" w:hAnsi="Meiryo UI"/>
                <w:sz w:val="18"/>
              </w:rPr>
              <w:t>主要子会社</w:t>
            </w:r>
          </w:p>
        </w:tc>
        <w:tc>
          <w:tcPr>
            <w:tcW w:type="dxa" w:w="4703"/>
          </w:tcPr>
          <w:p>
            <w:r>
              <w:rPr>
                <w:rFonts w:ascii="Meiryo UI" w:hAnsi="Meiryo UI"/>
                <w:sz w:val="18"/>
              </w:rPr>
              <w:t>Sun Chemical Corporation（米国、世界最大の印刷インキメーカー）</w:t>
            </w:r>
          </w:p>
        </w:tc>
      </w:tr>
      <w:tr>
        <w:tc>
          <w:tcPr>
            <w:tcW w:type="dxa" w:w="4703"/>
            <w:shd w:val="clear" w:color="auto" w:fill="DDEBF7"/>
          </w:tcPr>
          <w:p>
            <w:r>
              <w:rPr>
                <w:rFonts w:ascii="Meiryo UI" w:hAnsi="Meiryo UI"/>
                <w:sz w:val="18"/>
              </w:rPr>
              <w:t>事業展開</w:t>
            </w:r>
          </w:p>
        </w:tc>
        <w:tc>
          <w:tcPr>
            <w:tcW w:type="dxa" w:w="4703"/>
            <w:shd w:val="clear" w:color="auto" w:fill="DDEBF7"/>
          </w:tcPr>
          <w:p>
            <w:r>
              <w:rPr>
                <w:rFonts w:ascii="Meiryo UI" w:hAnsi="Meiryo UI"/>
                <w:sz w:val="18"/>
              </w:rPr>
              <w:t>日本・米州・欧州・アジアパシフィック・中国</w:t>
            </w:r>
          </w:p>
        </w:tc>
      </w:tr>
    </w:tbl>
    <w:p/>
    <w:p>
      <w:pPr>
        <w:pStyle w:val="Heading3"/>
      </w:pPr>
      <w:r>
        <w:rPr>
          <w:rFonts w:ascii="Meiryo UI" w:hAnsi="Meiryo UI"/>
          <w:color w:val="2E74B5"/>
        </w:rPr>
        <w:t>1.2 事業セグメント構成（概要）</w:t>
      </w:r>
    </w:p>
    <w:p/>
    <w:p>
      <w:r>
        <w:rPr>
          <w:rFonts w:ascii="Meiryo UI" w:hAnsi="Meiryo UI"/>
          <w:sz w:val="20"/>
        </w:rPr>
        <w:t>DICの事業セグメントは大きく以下の5軸で構成される：</w:t>
      </w:r>
    </w:p>
    <w:p/>
    <w:p>
      <w:pPr>
        <w:shd w:val="clear" w:color="auto" w:fill="F2F2F2"/>
      </w:pPr>
      <w:r>
        <w:rPr>
          <w:rFonts w:ascii="Courier New" w:hAnsi="Courier New"/>
          <w:sz w:val="16"/>
        </w:rPr>
        <w:t>【DIC連結事業マップ】</w:t>
        <w:br/>
        <w:br/>
        <w:t>連結売上高 ≈ ¥1兆500億</w:t>
        <w:br/>
        <w:br/>
        <w:t>├─ パッケージング＆グラフィック（印刷インキ中心）</w:t>
        <w:br/>
        <w:t>│   ├─ 商業印刷用インキ（紙・金属・プラスチック）</w:t>
        <w:br/>
        <w:t>│   ├─ パッケージング用インキ（食品・医薬品包装）</w:t>
        <w:br/>
        <w:t>│   └─ Sun Chemical（米州・欧州の印刷インキ）</w:t>
        <w:br/>
        <w:t>│   　　売上構成比：約55〜58%</w:t>
        <w:br/>
        <w:t>│</w:t>
        <w:br/>
        <w:t>├─ 機能材料（Functional Materials）</w:t>
        <w:br/>
        <w:t>│   ├─ エポキシ樹脂・硬化剤（本分析の核心）</w:t>
        <w:br/>
        <w:t>│   ├─ 半導体封止材用樹脂</w:t>
        <w:br/>
        <w:t>│   ├─ 工業用塗料用樹脂</w:t>
        <w:br/>
        <w:t>│   └─ 電子材料（液晶材料・感光性材料）</w:t>
        <w:br/>
        <w:t>│   　　売上構成比：約18〜20%</w:t>
        <w:br/>
        <w:t>│</w:t>
        <w:br/>
        <w:t>├─ 有機顔料（Pigments）</w:t>
        <w:br/>
        <w:t>│   ├─ 印刷インキ用顔料</w:t>
        <w:br/>
        <w:t>│   ├─ 塗料用顔料</w:t>
        <w:br/>
        <w:t>│   └─ プラスチック着色用顔料</w:t>
        <w:br/>
        <w:t>│   　　売上構成比：約10〜12%</w:t>
        <w:br/>
        <w:t>│</w:t>
        <w:br/>
        <w:t>├─ ポリマー・化学品</w:t>
        <w:br/>
        <w:t>│   ├─ PPS樹脂（ポリフェニレンサルファイド）</w:t>
        <w:br/>
        <w:t>│   ├─ 液晶材料</w:t>
        <w:br/>
        <w:t>│   └─ その他化学品</w:t>
        <w:br/>
        <w:t>│   　　売上構成比：約8〜10%</w:t>
        <w:br/>
        <w:t>│</w:t>
        <w:br/>
        <w:t>└─ その他（美術館事業・不動産等）</w:t>
        <w:br/>
        <w:t xml:space="preserve">    売上構成比：約2〜3%</w:t>
      </w:r>
    </w:p>
    <w:p/>
    <w:p>
      <w:pPr>
        <w:pStyle w:val="Heading3"/>
      </w:pPr>
      <w:r>
        <w:rPr>
          <w:rFonts w:ascii="Meiryo UI" w:hAnsi="Meiryo UI"/>
          <w:color w:val="2E74B5"/>
        </w:rPr>
        <w:t>1.3 DICの競合優位性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強み</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グローバルインキ首位</w:t>
            </w:r>
          </w:p>
        </w:tc>
        <w:tc>
          <w:tcPr>
            <w:tcW w:type="dxa" w:w="4703"/>
          </w:tcPr>
          <w:p>
            <w:r>
              <w:rPr>
                <w:rFonts w:ascii="Meiryo UI" w:hAnsi="Meiryo UI"/>
                <w:sz w:val="18"/>
              </w:rPr>
              <w:t>Sun Chemical含む印刷インキで世界シェアトップクラス</w:t>
            </w:r>
          </w:p>
        </w:tc>
      </w:tr>
      <w:tr>
        <w:tc>
          <w:tcPr>
            <w:tcW w:type="dxa" w:w="4703"/>
            <w:shd w:val="clear" w:color="auto" w:fill="DDEBF7"/>
          </w:tcPr>
          <w:p>
            <w:r>
              <w:rPr>
                <w:rFonts w:ascii="Meiryo UI" w:hAnsi="Meiryo UI"/>
                <w:sz w:val="18"/>
              </w:rPr>
              <w:t>顔料の技術力</w:t>
            </w:r>
          </w:p>
        </w:tc>
        <w:tc>
          <w:tcPr>
            <w:tcW w:type="dxa" w:w="4703"/>
            <w:shd w:val="clear" w:color="auto" w:fill="DDEBF7"/>
          </w:tcPr>
          <w:p>
            <w:r>
              <w:rPr>
                <w:rFonts w:ascii="Meiryo UI" w:hAnsi="Meiryo UI"/>
                <w:sz w:val="18"/>
              </w:rPr>
              <w:t>有機顔料の品質・種類で国際的優位</w:t>
            </w:r>
          </w:p>
        </w:tc>
      </w:tr>
      <w:tr>
        <w:tc>
          <w:tcPr>
            <w:tcW w:type="dxa" w:w="4703"/>
          </w:tcPr>
          <w:p>
            <w:r>
              <w:rPr>
                <w:rFonts w:ascii="Meiryo UI" w:hAnsi="Meiryo UI"/>
                <w:sz w:val="18"/>
              </w:rPr>
              <w:t>エポキシ樹脂の専門性</w:t>
            </w:r>
          </w:p>
        </w:tc>
        <w:tc>
          <w:tcPr>
            <w:tcW w:type="dxa" w:w="4703"/>
          </w:tcPr>
          <w:p>
            <w:r>
              <w:rPr>
                <w:rFonts w:ascii="Meiryo UI" w:hAnsi="Meiryo UI"/>
                <w:sz w:val="18"/>
              </w:rPr>
              <w:t>特に半導体向け高純度エポキシ樹脂に強み</w:t>
            </w:r>
          </w:p>
        </w:tc>
      </w:tr>
      <w:tr>
        <w:tc>
          <w:tcPr>
            <w:tcW w:type="dxa" w:w="4703"/>
            <w:shd w:val="clear" w:color="auto" w:fill="DDEBF7"/>
          </w:tcPr>
          <w:p>
            <w:r>
              <w:rPr>
                <w:rFonts w:ascii="Meiryo UI" w:hAnsi="Meiryo UI"/>
                <w:sz w:val="18"/>
              </w:rPr>
              <w:t>Sun Chemical統合</w:t>
            </w:r>
          </w:p>
        </w:tc>
        <w:tc>
          <w:tcPr>
            <w:tcW w:type="dxa" w:w="4703"/>
            <w:shd w:val="clear" w:color="auto" w:fill="DDEBF7"/>
          </w:tcPr>
          <w:p>
            <w:r>
              <w:rPr>
                <w:rFonts w:ascii="Meiryo UI" w:hAnsi="Meiryo UI"/>
                <w:sz w:val="18"/>
              </w:rPr>
              <w:t>北米・欧州での流通・顧客基盤</w:t>
            </w:r>
          </w:p>
        </w:tc>
      </w:tr>
      <w:tr>
        <w:tc>
          <w:tcPr>
            <w:tcW w:type="dxa" w:w="4703"/>
          </w:tcPr>
          <w:p>
            <w:r>
              <w:rPr>
                <w:rFonts w:ascii="Meiryo UI" w:hAnsi="Meiryo UI"/>
                <w:sz w:val="18"/>
              </w:rPr>
              <w:t>日本国内品質</w:t>
            </w:r>
          </w:p>
        </w:tc>
        <w:tc>
          <w:tcPr>
            <w:tcW w:type="dxa" w:w="4703"/>
          </w:tcPr>
          <w:p>
            <w:r>
              <w:rPr>
                <w:rFonts w:ascii="Meiryo UI" w:hAnsi="Meiryo UI"/>
                <w:sz w:val="18"/>
              </w:rPr>
              <w:t>高品質製造でプレミアム価格維持</w:t>
            </w:r>
          </w:p>
        </w:tc>
      </w:tr>
    </w:tbl>
    <w:p/>
    <w:p>
      <w:r>
        <w:t>──────────────────────────────────────────────────</w:t>
      </w:r>
    </w:p>
    <w:p/>
    <w:p>
      <w:pPr>
        <w:pStyle w:val="Heading2"/>
      </w:pPr>
      <w:r>
        <w:rPr>
          <w:rFonts w:ascii="Meiryo UI" w:hAnsi="Meiryo UI"/>
          <w:color w:val="2E74B5"/>
        </w:rPr>
        <w:t>2. 社長指示重点分析①：エポキシ樹脂事業構造精査</w:t>
      </w:r>
    </w:p>
    <w:p/>
    <w:p>
      <w:pPr>
        <w:pStyle w:val="Heading3"/>
      </w:pPr>
      <w:r>
        <w:rPr>
          <w:rFonts w:ascii="Meiryo UI" w:hAnsi="Meiryo UI"/>
          <w:color w:val="2E74B5"/>
        </w:rPr>
        <w:t>2A. エポキシ樹脂・硬化剤の売上規模</w:t>
      </w:r>
    </w:p>
    <w:p/>
    <w:p>
      <w:r>
        <w:rPr>
          <w:rFonts w:ascii="Meiryo UI" w:hAnsi="Meiryo UI"/>
          <w:sz w:val="20"/>
        </w:rPr>
        <w:t>セグメント内訳推計：</w:t>
      </w:r>
    </w:p>
    <w:p/>
    <w:p>
      <w:r>
        <w:rPr>
          <w:rFonts w:ascii="Meiryo UI" w:hAnsi="Meiryo UI"/>
          <w:sz w:val="20"/>
        </w:rPr>
        <w:t>機能材料セグメント全体の売上高（推計）：</w:t>
      </w:r>
    </w:p>
    <w:p/>
    <w:p>
      <w:pPr>
        <w:shd w:val="clear" w:color="auto" w:fill="F2F2F2"/>
      </w:pPr>
      <w:r>
        <w:rPr>
          <w:rFonts w:ascii="Courier New" w:hAnsi="Courier New"/>
          <w:sz w:val="16"/>
        </w:rPr>
        <w:t>連結売上高 ¥10,500億 × 機能材料比率 ≈ 19% = ¥1,995億</w:t>
        <w:br/>
        <w:br/>
        <w:t>機能材料セグメント内訳：</w:t>
        <w:br/>
        <w:t>├─ エポキシ樹脂・硬化剤      ≈ ¥600〜700億</w:t>
        <w:br/>
        <w:t>│   ├─ 半導体封止材向け     ≈ ¥180〜220億（30〜32%）</w:t>
        <w:br/>
        <w:t>│   ├─ 工業用塗料向け       ≈ ¥200〜240億（33〜35%）</w:t>
        <w:br/>
        <w:t>│   ├─ 電気・電子部品向け   ≈ ¥120〜150億（20%）</w:t>
        <w:br/>
        <w:t>│   └─ 土木・建材向け       ≈ ¥80〜100億（13〜15%）</w:t>
        <w:br/>
        <w:t>├─ 液晶材料                  ≈ ¥400〜450億</w:t>
        <w:br/>
        <w:t>├─ 感光性材料                ≈ ¥200〜250億</w:t>
        <w:br/>
        <w:t>└─ PPS樹脂・その他           ≈ ¥400〜500億</w:t>
      </w:r>
    </w:p>
    <w:p/>
    <w:p>
      <w:r>
        <w:rPr>
          <w:rFonts w:ascii="Meiryo UI" w:hAnsi="Meiryo UI"/>
          <w:sz w:val="20"/>
        </w:rPr>
        <w:t>重要注記： DICはエポキシ樹脂の中でも「電子・半導体グレード」に特化しており、汎用グレードよりも高付加価値・高マージン製品が主体。年間販売量は約4〜5万トン（エポキシ樹脂全体）と推計する。</w:t>
      </w:r>
    </w:p>
    <w:p/>
    <w:p>
      <w:pPr>
        <w:pStyle w:val="Heading3"/>
      </w:pPr>
      <w:r>
        <w:rPr>
          <w:rFonts w:ascii="Meiryo UI" w:hAnsi="Meiryo UI"/>
          <w:color w:val="2E74B5"/>
        </w:rPr>
        <w:t>2B. 今回の値上げ（+¥150/kg以上）の利益インパクト試算</w:t>
      </w:r>
    </w:p>
    <w:p/>
    <w:p>
      <w:r>
        <w:rPr>
          <w:rFonts w:ascii="Meiryo UI" w:hAnsi="Meiryo UI"/>
          <w:sz w:val="20"/>
        </w:rPr>
        <w:t>ステップ1：販売量前提</w:t>
      </w:r>
    </w:p>
    <w:p/>
    <w:p>
      <w:pPr>
        <w:shd w:val="clear" w:color="auto" w:fill="F2F2F2"/>
      </w:pPr>
      <w:r>
        <w:rPr>
          <w:rFonts w:ascii="Courier New" w:hAnsi="Courier New"/>
          <w:sz w:val="16"/>
        </w:rPr>
        <w:t>エポキシ樹脂年間販売量試算：</w:t>
        <w:br/>
        <w:t xml:space="preserve"> 売上高 ¥650億（中央値） ÷ 単価 ¥1,300/kg(推計平均) = 約5万トン = 50,000,000 kg</w:t>
        <w:br/>
        <w:br/>
        <w:t>保守的前提：3万トン = 30,000,000 kg</w:t>
        <w:br/>
        <w:t>標準前提 ：4.5万トン = 45,000,000 kg</w:t>
        <w:br/>
        <w:t>積極前提 ：6万トン = 60,000,000 kg</w:t>
      </w:r>
    </w:p>
    <w:p/>
    <w:p>
      <w:r>
        <w:rPr>
          <w:rFonts w:ascii="Meiryo UI" w:hAnsi="Meiryo UI"/>
          <w:sz w:val="20"/>
        </w:rPr>
        <w:t>ステップ2：値上げによる増収額試算（値上げ幅 ¥150/kg）</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販売量</w:t>
            </w:r>
          </w:p>
        </w:tc>
        <w:tc>
          <w:tcPr>
            <w:tcW w:type="dxa" w:w="2351"/>
            <w:shd w:val="clear" w:color="auto" w:fill="2E74B5"/>
          </w:tcPr>
          <w:p>
            <w:r>
              <w:rPr>
                <w:rFonts w:ascii="Meiryo UI" w:hAnsi="Meiryo UI"/>
                <w:b/>
                <w:color w:val="FFFFFF"/>
                <w:sz w:val="18"/>
              </w:rPr>
              <w:t>値上げ幅</w:t>
            </w:r>
          </w:p>
        </w:tc>
        <w:tc>
          <w:tcPr>
            <w:tcW w:type="dxa" w:w="2351"/>
            <w:shd w:val="clear" w:color="auto" w:fill="2E74B5"/>
          </w:tcPr>
          <w:p>
            <w:r>
              <w:rPr>
                <w:rFonts w:ascii="Meiryo UI" w:hAnsi="Meiryo UI"/>
                <w:b/>
                <w:color w:val="FFFFFF"/>
                <w:sz w:val="18"/>
              </w:rPr>
              <w:t>年間増収額</w:t>
            </w:r>
          </w:p>
        </w:tc>
      </w:tr>
      <w:tr>
        <w:tc>
          <w:tcPr>
            <w:tcW w:type="dxa" w:w="2351"/>
          </w:tcPr>
          <w:p>
            <w:r>
              <w:rPr>
                <w:rFonts w:ascii="Meiryo UI" w:hAnsi="Meiryo UI"/>
                <w:sz w:val="18"/>
              </w:rPr>
              <w:t>保守的</w:t>
            </w:r>
          </w:p>
        </w:tc>
        <w:tc>
          <w:tcPr>
            <w:tcW w:type="dxa" w:w="2351"/>
          </w:tcPr>
          <w:p>
            <w:r>
              <w:rPr>
                <w:rFonts w:ascii="Meiryo UI" w:hAnsi="Meiryo UI"/>
                <w:sz w:val="18"/>
              </w:rPr>
              <w:t>3万t</w:t>
            </w:r>
          </w:p>
        </w:tc>
        <w:tc>
          <w:tcPr>
            <w:tcW w:type="dxa" w:w="2351"/>
          </w:tcPr>
          <w:p>
            <w:r>
              <w:rPr>
                <w:rFonts w:ascii="Meiryo UI" w:hAnsi="Meiryo UI"/>
                <w:sz w:val="18"/>
              </w:rPr>
              <w:t>¥150/kg</w:t>
            </w:r>
          </w:p>
        </w:tc>
        <w:tc>
          <w:tcPr>
            <w:tcW w:type="dxa" w:w="2351"/>
          </w:tcPr>
          <w:p>
            <w:r>
              <w:rPr>
                <w:rFonts w:ascii="Meiryo UI" w:hAnsi="Meiryo UI"/>
                <w:sz w:val="18"/>
              </w:rPr>
              <w:t>¥45億</w:t>
            </w:r>
          </w:p>
        </w:tc>
      </w:tr>
      <w:tr>
        <w:tc>
          <w:tcPr>
            <w:tcW w:type="dxa" w:w="2351"/>
            <w:shd w:val="clear" w:color="auto" w:fill="DDEBF7"/>
          </w:tcPr>
          <w:p>
            <w:r>
              <w:rPr>
                <w:rFonts w:ascii="Meiryo UI" w:hAnsi="Meiryo UI"/>
                <w:sz w:val="18"/>
              </w:rPr>
              <w:t>標準</w:t>
            </w:r>
          </w:p>
        </w:tc>
        <w:tc>
          <w:tcPr>
            <w:tcW w:type="dxa" w:w="2351"/>
            <w:shd w:val="clear" w:color="auto" w:fill="DDEBF7"/>
          </w:tcPr>
          <w:p>
            <w:r>
              <w:rPr>
                <w:rFonts w:ascii="Meiryo UI" w:hAnsi="Meiryo UI"/>
                <w:sz w:val="18"/>
              </w:rPr>
              <w:t>4.5万t</w:t>
            </w:r>
          </w:p>
        </w:tc>
        <w:tc>
          <w:tcPr>
            <w:tcW w:type="dxa" w:w="2351"/>
            <w:shd w:val="clear" w:color="auto" w:fill="DDEBF7"/>
          </w:tcPr>
          <w:p>
            <w:r>
              <w:rPr>
                <w:rFonts w:ascii="Meiryo UI" w:hAnsi="Meiryo UI"/>
                <w:sz w:val="18"/>
              </w:rPr>
              <w:t>¥150/kg</w:t>
            </w:r>
          </w:p>
        </w:tc>
        <w:tc>
          <w:tcPr>
            <w:tcW w:type="dxa" w:w="2351"/>
            <w:shd w:val="clear" w:color="auto" w:fill="DDEBF7"/>
          </w:tcPr>
          <w:p>
            <w:r>
              <w:rPr>
                <w:rFonts w:ascii="Meiryo UI" w:hAnsi="Meiryo UI"/>
                <w:sz w:val="18"/>
              </w:rPr>
              <w:t>¥67.5億</w:t>
            </w:r>
          </w:p>
        </w:tc>
      </w:tr>
      <w:tr>
        <w:tc>
          <w:tcPr>
            <w:tcW w:type="dxa" w:w="2351"/>
          </w:tcPr>
          <w:p>
            <w:r>
              <w:rPr>
                <w:rFonts w:ascii="Meiryo UI" w:hAnsi="Meiryo UI"/>
                <w:sz w:val="18"/>
              </w:rPr>
              <w:t>積極的</w:t>
            </w:r>
          </w:p>
        </w:tc>
        <w:tc>
          <w:tcPr>
            <w:tcW w:type="dxa" w:w="2351"/>
          </w:tcPr>
          <w:p>
            <w:r>
              <w:rPr>
                <w:rFonts w:ascii="Meiryo UI" w:hAnsi="Meiryo UI"/>
                <w:sz w:val="18"/>
              </w:rPr>
              <w:t>6万t</w:t>
            </w:r>
          </w:p>
        </w:tc>
        <w:tc>
          <w:tcPr>
            <w:tcW w:type="dxa" w:w="2351"/>
          </w:tcPr>
          <w:p>
            <w:r>
              <w:rPr>
                <w:rFonts w:ascii="Meiryo UI" w:hAnsi="Meiryo UI"/>
                <w:sz w:val="18"/>
              </w:rPr>
              <w:t>¥150/kg</w:t>
            </w:r>
          </w:p>
        </w:tc>
        <w:tc>
          <w:tcPr>
            <w:tcW w:type="dxa" w:w="2351"/>
          </w:tcPr>
          <w:p>
            <w:r>
              <w:rPr>
                <w:rFonts w:ascii="Meiryo UI" w:hAnsi="Meiryo UI"/>
                <w:sz w:val="18"/>
              </w:rPr>
              <w:t>¥90億</w:t>
            </w:r>
          </w:p>
        </w:tc>
      </w:tr>
      <w:tr>
        <w:tc>
          <w:tcPr>
            <w:tcW w:type="dxa" w:w="2351"/>
            <w:shd w:val="clear" w:color="auto" w:fill="DDEBF7"/>
          </w:tcPr>
          <w:p>
            <w:r>
              <w:rPr>
                <w:rFonts w:ascii="Meiryo UI" w:hAnsi="Meiryo UI"/>
                <w:sz w:val="18"/>
              </w:rPr>
              <w:t>硬化剤込（+¥160/kg）</w:t>
            </w:r>
          </w:p>
        </w:tc>
        <w:tc>
          <w:tcPr>
            <w:tcW w:type="dxa" w:w="2351"/>
            <w:shd w:val="clear" w:color="auto" w:fill="DDEBF7"/>
          </w:tcPr>
          <w:p>
            <w:r>
              <w:rPr>
                <w:rFonts w:ascii="Meiryo UI" w:hAnsi="Meiryo UI"/>
                <w:sz w:val="18"/>
              </w:rPr>
              <w:t>4.5万t</w:t>
            </w:r>
          </w:p>
        </w:tc>
        <w:tc>
          <w:tcPr>
            <w:tcW w:type="dxa" w:w="2351"/>
            <w:shd w:val="clear" w:color="auto" w:fill="DDEBF7"/>
          </w:tcPr>
          <w:p>
            <w:r>
              <w:rPr>
                <w:rFonts w:ascii="Meiryo UI" w:hAnsi="Meiryo UI"/>
                <w:sz w:val="18"/>
              </w:rPr>
              <w:t>¥155/kg</w:t>
            </w:r>
          </w:p>
        </w:tc>
        <w:tc>
          <w:tcPr>
            <w:tcW w:type="dxa" w:w="2351"/>
            <w:shd w:val="clear" w:color="auto" w:fill="DDEBF7"/>
          </w:tcPr>
          <w:p>
            <w:r>
              <w:rPr>
                <w:rFonts w:ascii="Meiryo UI" w:hAnsi="Meiryo UI"/>
                <w:sz w:val="18"/>
              </w:rPr>
              <w:t>¥70億</w:t>
            </w:r>
          </w:p>
        </w:tc>
      </w:tr>
    </w:tbl>
    <w:p/>
    <w:p>
      <w:r>
        <w:rPr>
          <w:rFonts w:ascii="Meiryo UI" w:hAnsi="Meiryo UI"/>
          <w:sz w:val="20"/>
        </w:rPr>
        <w:t>ステップ3：ネットマージン改善額の試算</w:t>
      </w:r>
    </w:p>
    <w:p/>
    <w:p>
      <w:r>
        <w:rPr>
          <w:rFonts w:ascii="Meiryo UI" w:hAnsi="Meiryo UI"/>
          <w:sz w:val="20"/>
        </w:rPr>
        <w:t>ナフサ価格の現況：</w:t>
      </w:r>
    </w:p>
    <w:p>
      <w:pPr>
        <w:pStyle w:val="ListBullet"/>
      </w:pPr>
      <w:r>
        <w:rPr>
          <w:rFonts w:ascii="Meiryo UI" w:hAnsi="Meiryo UI"/>
          <w:sz w:val="20"/>
        </w:rPr>
        <w:t>WTI原油：$95.77/bbl → ナフサ換算：約¥85,000〜90,000/t（120円/USD想定）</w:t>
      </w:r>
    </w:p>
    <w:p>
      <w:pPr>
        <w:pStyle w:val="ListBullet"/>
      </w:pPr>
      <w:r>
        <w:rPr>
          <w:rFonts w:ascii="Meiryo UI" w:hAnsi="Meiryo UI"/>
          <w:sz w:val="20"/>
        </w:rPr>
        <w:t>ナフサ原料コスト上昇分（前年比推計）：+¥30〜50/kg</w:t>
      </w:r>
    </w:p>
    <w:p/>
    <w:p>
      <w:pPr>
        <w:shd w:val="clear" w:color="auto" w:fill="F2F2F2"/>
      </w:pPr>
      <w:r>
        <w:rPr>
          <w:rFonts w:ascii="Courier New" w:hAnsi="Courier New"/>
          <w:sz w:val="16"/>
        </w:rPr>
        <w:t>値上げ幅（+¥150/kg）- ナフサ上昇相当（+¥40/kg） = ネット改善：+¥110/kg</w:t>
        <w:br/>
        <w:br/>
        <w:t>ネットマージン改善額（標準シナリオ）：</w:t>
        <w:br/>
        <w:t>45,000,000 kg × ¥110/kg = ¥49.5億</w:t>
        <w:br/>
        <w:br/>
        <w:t>税引前効果：¥49.5億</w:t>
        <w:br/>
        <w:t>実効税率30%適用後：¥34.6億の当期純利益貢献</w:t>
        <w:br/>
        <w:br/>
        <w:t>EPS押し上げ効果：</w:t>
        <w:br/>
        <w:t>発行済株式数 ≈ EPS÷ROE換算</w:t>
        <w:br/>
        <w:t>EPS ¥342 × PER 11.2倍 = 株価 ¥3,831（現在値ほぼ一致、整合確認）</w:t>
        <w:br/>
        <w:br/>
        <w:t>純利益規模推計：¥342 × 株数（BPS÷1株純資産比率から逆算）</w:t>
        <w:br/>
        <w:br/>
        <w:t>株数推計：</w:t>
        <w:br/>
        <w:t>BPS ¥4,973 × 自己資本比率 ≈ 連結純資産</w:t>
        <w:br/>
        <w:t>連結純資産推計：約¥3,500〜3,800億（DIC公開情報ベース）</w:t>
        <w:br/>
        <w:t>推計株数：¥3,600億 ÷ ¥4,973 ≈ 7,239万株</w:t>
        <w:br/>
        <w:br/>
        <w:t>EPS押し上げ：¥34.6億 ÷ 7,239万株 ≈ +¥47.8/株（+14%改善）</w:t>
      </w:r>
    </w:p>
    <w:p/>
    <w:p>
      <w:r>
        <w:rPr>
          <w:rFonts w:ascii="Meiryo UI" w:hAnsi="Meiryo UI"/>
          <w:sz w:val="20"/>
        </w:rPr>
        <w:t>→ 値上げ定着でEPSは¥342から¥390水準へ改善する可能性。</w:t>
      </w:r>
    </w:p>
    <w:p/>
    <w:p>
      <w:pPr>
        <w:pStyle w:val="Heading3"/>
      </w:pPr>
      <w:r>
        <w:rPr>
          <w:rFonts w:ascii="Meiryo UI" w:hAnsi="Meiryo UI"/>
          <w:color w:val="2E74B5"/>
        </w:rPr>
        <w:t>2C. 顧客別価格転嫁力の評価</w:t>
      </w:r>
    </w:p>
    <w:p/>
    <w:p>
      <w:pPr>
        <w:shd w:val="clear" w:color="auto" w:fill="F2F2F2"/>
      </w:pPr>
      <w:r>
        <w:rPr>
          <w:rFonts w:ascii="Courier New" w:hAnsi="Courier New"/>
          <w:sz w:val="16"/>
        </w:rPr>
        <w:t>【価格転嫁力マトリクス】</w:t>
        <w:br/>
        <w:br/>
        <w:t>顧客セグメント    転嫁力    理由</w:t>
        <w:br/>
        <w:t>─────────────────────────────────────────</w:t>
        <w:br/>
        <w:t>半導体封止材向け  ★★★★★  AI需要旺盛、代替困難、</w:t>
        <w:br/>
        <w:t>(TSMC/Samsung系)          仕様変更コスト高、</w:t>
        <w:br/>
        <w:t xml:space="preserve">                          顧客の価格受容力は業界最高</w:t>
        <w:br/>
        <w:t>─────────────────────────────────────────</w:t>
        <w:br/>
        <w:t>電気・電子部品向け ★★★★☆  EV・5G投資継続で需要堅調</w:t>
        <w:br/>
        <w:t>(コンデンサ・基板)         中長期で転嫁受け入れ</w:t>
        <w:br/>
        <w:t>─────────────────────────────────────────</w:t>
        <w:br/>
        <w:t>工業用塗料向け   ★★★☆☆  自動車・建設は交渉に時間</w:t>
        <w:br/>
        <w:t>(自動車・建設)             3〜6ヶ月のラグあり</w:t>
        <w:br/>
        <w:t xml:space="preserve">                          ただし大手自動車は最終的に受入</w:t>
        <w:br/>
        <w:t>─────────────────────────────────────────</w:t>
        <w:br/>
        <w:t>土木・建材向け   ★★☆☆☆  公共工事入札コストに組み込み</w:t>
        <w:br/>
        <w:t xml:space="preserve">                          転嫁期間が最も長い（6〜12ヶ月）</w:t>
        <w:br/>
        <w:t>─────────────────────────────────────────</w:t>
      </w:r>
    </w:p>
    <w:p/>
    <w:p>
      <w:r>
        <w:rPr>
          <w:rFonts w:ascii="Meiryo UI" w:hAnsi="Meiryo UI"/>
          <w:sz w:val="20"/>
        </w:rPr>
        <w:t>深井評価： 半導体封止材向けが売上の30〜32%を占め、かつ転嫁力が最も高い。全体の値上げ転嫁率は60〜70%（加重平均）と推計する。残り30〜40%はナフサコスト上昇で相殺されるが、それでもネット改善効果は実質的。</w:t>
      </w:r>
    </w:p>
    <w:p/>
    <w:p>
      <w:pPr>
        <w:pStyle w:val="Heading3"/>
      </w:pPr>
      <w:r>
        <w:rPr>
          <w:rFonts w:ascii="Meiryo UI" w:hAnsi="Meiryo UI"/>
          <w:color w:val="2E74B5"/>
        </w:rPr>
        <w:t>2D. 競合との比較：DICのエポキシ樹脂シェア</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企業</w:t>
            </w:r>
          </w:p>
        </w:tc>
        <w:tc>
          <w:tcPr>
            <w:tcW w:type="dxa" w:w="2351"/>
            <w:shd w:val="clear" w:color="auto" w:fill="2E74B5"/>
          </w:tcPr>
          <w:p>
            <w:r>
              <w:rPr>
                <w:rFonts w:ascii="Meiryo UI" w:hAnsi="Meiryo UI"/>
                <w:b/>
                <w:color w:val="FFFFFF"/>
                <w:sz w:val="18"/>
              </w:rPr>
              <w:t>エポキシ樹脂の強み</w:t>
            </w:r>
          </w:p>
        </w:tc>
        <w:tc>
          <w:tcPr>
            <w:tcW w:type="dxa" w:w="2351"/>
            <w:shd w:val="clear" w:color="auto" w:fill="2E74B5"/>
          </w:tcPr>
          <w:p>
            <w:r>
              <w:rPr>
                <w:rFonts w:ascii="Meiryo UI" w:hAnsi="Meiryo UI"/>
                <w:b/>
                <w:color w:val="FFFFFF"/>
                <w:sz w:val="18"/>
              </w:rPr>
              <w:t>半導体封止材シェア</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DIC</w:t>
            </w:r>
          </w:p>
        </w:tc>
        <w:tc>
          <w:tcPr>
            <w:tcW w:type="dxa" w:w="2351"/>
          </w:tcPr>
          <w:p>
            <w:r>
              <w:rPr>
                <w:rFonts w:ascii="Meiryo UI" w:hAnsi="Meiryo UI"/>
                <w:sz w:val="18"/>
              </w:rPr>
              <w:t>高純度電子グレード特化、硬化剤含む一貫提供</w:t>
            </w:r>
          </w:p>
        </w:tc>
        <w:tc>
          <w:tcPr>
            <w:tcW w:type="dxa" w:w="2351"/>
          </w:tcPr>
          <w:p>
            <w:r>
              <w:rPr>
                <w:rFonts w:ascii="Meiryo UI" w:hAnsi="Meiryo UI"/>
                <w:sz w:val="18"/>
              </w:rPr>
              <w:t>国内3〜5位推計（10〜15%）</w:t>
            </w:r>
          </w:p>
        </w:tc>
        <w:tc>
          <w:tcPr>
            <w:tcW w:type="dxa" w:w="2351"/>
          </w:tcPr>
          <w:p>
            <w:r>
              <w:rPr>
                <w:rFonts w:ascii="Meiryo UI" w:hAnsi="Meiryo UI"/>
                <w:sz w:val="18"/>
              </w:rPr>
              <w:t>専門性◎</w:t>
            </w:r>
          </w:p>
        </w:tc>
      </w:tr>
      <w:tr>
        <w:tc>
          <w:tcPr>
            <w:tcW w:type="dxa" w:w="2351"/>
            <w:shd w:val="clear" w:color="auto" w:fill="DDEBF7"/>
          </w:tcPr>
          <w:p>
            <w:r>
              <w:rPr>
                <w:rFonts w:ascii="Meiryo UI" w:hAnsi="Meiryo UI"/>
                <w:sz w:val="18"/>
              </w:rPr>
              <w:t>三菱ケミカルG</w:t>
            </w:r>
          </w:p>
        </w:tc>
        <w:tc>
          <w:tcPr>
            <w:tcW w:type="dxa" w:w="2351"/>
            <w:shd w:val="clear" w:color="auto" w:fill="DDEBF7"/>
          </w:tcPr>
          <w:p>
            <w:r>
              <w:rPr>
                <w:rFonts w:ascii="Meiryo UI" w:hAnsi="Meiryo UI"/>
                <w:sz w:val="18"/>
              </w:rPr>
              <w:t>汎用〜電子グレードの幅広いポートフォリオ</w:t>
            </w:r>
          </w:p>
        </w:tc>
        <w:tc>
          <w:tcPr>
            <w:tcW w:type="dxa" w:w="2351"/>
            <w:shd w:val="clear" w:color="auto" w:fill="DDEBF7"/>
          </w:tcPr>
          <w:p>
            <w:r>
              <w:rPr>
                <w:rFonts w:ascii="Meiryo UI" w:hAnsi="Meiryo UI"/>
                <w:sz w:val="18"/>
              </w:rPr>
              <w:t>国内1〜2位（25〜30%）</w:t>
            </w:r>
          </w:p>
        </w:tc>
        <w:tc>
          <w:tcPr>
            <w:tcW w:type="dxa" w:w="2351"/>
            <w:shd w:val="clear" w:color="auto" w:fill="DDEBF7"/>
          </w:tcPr>
          <w:p>
            <w:r>
              <w:rPr>
                <w:rFonts w:ascii="Meiryo UI" w:hAnsi="Meiryo UI"/>
                <w:sz w:val="18"/>
              </w:rPr>
              <w:t>規模◎</w:t>
            </w:r>
          </w:p>
        </w:tc>
      </w:tr>
      <w:tr>
        <w:tc>
          <w:tcPr>
            <w:tcW w:type="dxa" w:w="2351"/>
          </w:tcPr>
          <w:p>
            <w:r>
              <w:rPr>
                <w:rFonts w:ascii="Meiryo UI" w:hAnsi="Meiryo UI"/>
                <w:sz w:val="18"/>
              </w:rPr>
              <w:t>昭和電工マテリアル（元日立化成）</w:t>
            </w:r>
          </w:p>
        </w:tc>
        <w:tc>
          <w:tcPr>
            <w:tcW w:type="dxa" w:w="2351"/>
          </w:tcPr>
          <w:p>
            <w:r>
              <w:rPr>
                <w:rFonts w:ascii="Meiryo UI" w:hAnsi="Meiryo UI"/>
                <w:sz w:val="18"/>
              </w:rPr>
              <w:t>封止材専業化、先端パッケージ向け強み</w:t>
            </w:r>
          </w:p>
        </w:tc>
        <w:tc>
          <w:tcPr>
            <w:tcW w:type="dxa" w:w="2351"/>
          </w:tcPr>
          <w:p>
            <w:r>
              <w:rPr>
                <w:rFonts w:ascii="Meiryo UI" w:hAnsi="Meiryo UI"/>
                <w:sz w:val="18"/>
              </w:rPr>
              <w:t>国内1位（30〜35%）</w:t>
            </w:r>
          </w:p>
        </w:tc>
        <w:tc>
          <w:tcPr>
            <w:tcW w:type="dxa" w:w="2351"/>
          </w:tcPr>
          <w:p>
            <w:r>
              <w:rPr>
                <w:rFonts w:ascii="Meiryo UI" w:hAnsi="Meiryo UI"/>
                <w:sz w:val="18"/>
              </w:rPr>
              <w:t>封止材特化◎</w:t>
            </w:r>
          </w:p>
        </w:tc>
      </w:tr>
      <w:tr>
        <w:tc>
          <w:tcPr>
            <w:tcW w:type="dxa" w:w="2351"/>
            <w:shd w:val="clear" w:color="auto" w:fill="DDEBF7"/>
          </w:tcPr>
          <w:p>
            <w:r>
              <w:rPr>
                <w:rFonts w:ascii="Meiryo UI" w:hAnsi="Meiryo UI"/>
                <w:sz w:val="18"/>
              </w:rPr>
              <w:t>住友ベークライト</w:t>
            </w:r>
          </w:p>
        </w:tc>
        <w:tc>
          <w:tcPr>
            <w:tcW w:type="dxa" w:w="2351"/>
            <w:shd w:val="clear" w:color="auto" w:fill="DDEBF7"/>
          </w:tcPr>
          <w:p>
            <w:r>
              <w:rPr>
                <w:rFonts w:ascii="Meiryo UI" w:hAnsi="Meiryo UI"/>
                <w:sz w:val="18"/>
              </w:rPr>
              <w:t>フェノール樹脂主体、エポキシは副次的</w:t>
            </w:r>
          </w:p>
        </w:tc>
        <w:tc>
          <w:tcPr>
            <w:tcW w:type="dxa" w:w="2351"/>
            <w:shd w:val="clear" w:color="auto" w:fill="DDEBF7"/>
          </w:tcPr>
          <w:p>
            <w:r>
              <w:rPr>
                <w:rFonts w:ascii="Meiryo UI" w:hAnsi="Meiryo UI"/>
                <w:sz w:val="18"/>
              </w:rPr>
              <w:t>国内3位（15〜20%）</w:t>
            </w:r>
          </w:p>
        </w:tc>
        <w:tc>
          <w:tcPr>
            <w:tcW w:type="dxa" w:w="2351"/>
            <w:shd w:val="clear" w:color="auto" w:fill="DDEBF7"/>
          </w:tcPr>
          <w:p>
            <w:r>
              <w:rPr>
                <w:rFonts w:ascii="Meiryo UI" w:hAnsi="Meiryo UI"/>
                <w:sz w:val="18"/>
              </w:rPr>
              <w:t>安定性◎</w:t>
            </w:r>
          </w:p>
        </w:tc>
      </w:tr>
      <w:tr>
        <w:tc>
          <w:tcPr>
            <w:tcW w:type="dxa" w:w="2351"/>
          </w:tcPr>
          <w:p>
            <w:r>
              <w:rPr>
                <w:rFonts w:ascii="Meiryo UI" w:hAnsi="Meiryo UI"/>
                <w:sz w:val="18"/>
              </w:rPr>
              <w:t>日本化薬</w:t>
            </w:r>
          </w:p>
        </w:tc>
        <w:tc>
          <w:tcPr>
            <w:tcW w:type="dxa" w:w="2351"/>
          </w:tcPr>
          <w:p>
            <w:r>
              <w:rPr>
                <w:rFonts w:ascii="Meiryo UI" w:hAnsi="Meiryo UI"/>
                <w:sz w:val="18"/>
              </w:rPr>
              <w:t>半導体特化エポキシ</w:t>
            </w:r>
          </w:p>
        </w:tc>
        <w:tc>
          <w:tcPr>
            <w:tcW w:type="dxa" w:w="2351"/>
          </w:tcPr>
          <w:p>
            <w:r>
              <w:rPr>
                <w:rFonts w:ascii="Meiryo UI" w:hAnsi="Meiryo UI"/>
                <w:sz w:val="18"/>
              </w:rPr>
              <w:t>国内4位（10〜15%）</w:t>
            </w:r>
          </w:p>
        </w:tc>
        <w:tc>
          <w:tcPr>
            <w:tcW w:type="dxa" w:w="2351"/>
          </w:tcPr>
          <w:p>
            <w:r>
              <w:rPr>
                <w:rFonts w:ascii="Meiryo UI" w:hAnsi="Meiryo UI"/>
                <w:sz w:val="18"/>
              </w:rPr>
              <w:t>ニッチ特化◎</w:t>
            </w:r>
          </w:p>
        </w:tc>
      </w:tr>
    </w:tbl>
    <w:p/>
    <w:p>
      <w:r>
        <w:rPr>
          <w:rFonts w:ascii="Meiryo UI" w:hAnsi="Meiryo UI"/>
          <w:sz w:val="20"/>
        </w:rPr>
        <w:t xml:space="preserve">DICの差別化ポイント： </w:t>
      </w:r>
    </w:p>
    <w:p>
      <w:pPr>
        <w:pStyle w:val="ListBullet"/>
      </w:pPr>
      <w:r>
        <w:rPr>
          <w:rFonts w:ascii="Meiryo UI" w:hAnsi="Meiryo UI"/>
          <w:sz w:val="20"/>
        </w:rPr>
        <w:t>エポキシ樹脂と硬化剤をセットで提供できる点で競合優位</w:t>
      </w:r>
    </w:p>
    <w:p>
      <w:pPr>
        <w:pStyle w:val="ListBullet"/>
      </w:pPr>
      <w:r>
        <w:rPr>
          <w:rFonts w:ascii="Meiryo UI" w:hAnsi="Meiryo UI"/>
          <w:sz w:val="20"/>
        </w:rPr>
        <w:t>今回の値上げ発表が「エポキシ樹脂+硬化剤」の両方同時発表は業界でDICが先導したケース</w:t>
      </w:r>
    </w:p>
    <w:p>
      <w:pPr>
        <w:pStyle w:val="ListBullet"/>
      </w:pPr>
      <w:r>
        <w:rPr>
          <w:rFonts w:ascii="Meiryo UI" w:hAnsi="Meiryo UI"/>
          <w:sz w:val="20"/>
        </w:rPr>
        <w:t>先導値上げは価格設定力のシグナル</w:t>
      </w:r>
    </w:p>
    <w:p/>
    <w:p>
      <w:r>
        <w:t>──────────────────────────────────────────────────</w:t>
      </w:r>
    </w:p>
    <w:p/>
    <w:p>
      <w:pPr>
        <w:pStyle w:val="Heading2"/>
      </w:pPr>
      <w:r>
        <w:rPr>
          <w:rFonts w:ascii="Meiryo UI" w:hAnsi="Meiryo UI"/>
          <w:color w:val="2E74B5"/>
        </w:rPr>
        <w:t>3. 社長指示重点分析②：AI半導体封止材需要の定量化</w:t>
      </w:r>
    </w:p>
    <w:p/>
    <w:p>
      <w:pPr>
        <w:pStyle w:val="Heading3"/>
      </w:pPr>
      <w:r>
        <w:rPr>
          <w:rFonts w:ascii="Meiryo UI" w:hAnsi="Meiryo UI"/>
          <w:color w:val="2E74B5"/>
        </w:rPr>
        <w:t>3A. AI半導体の封止材需要トレンド</w:t>
      </w:r>
    </w:p>
    <w:p/>
    <w:p>
      <w:r>
        <w:rPr>
          <w:rFonts w:ascii="Meiryo UI" w:hAnsi="Meiryo UI"/>
          <w:sz w:val="20"/>
        </w:rPr>
        <w:t>民生品 vs AI半導体の封止材使用量比較：</w:t>
      </w:r>
    </w:p>
    <w:p/>
    <w:p>
      <w:pPr>
        <w:shd w:val="clear" w:color="auto" w:fill="F2F2F2"/>
      </w:pPr>
      <w:r>
        <w:rPr>
          <w:rFonts w:ascii="Courier New" w:hAnsi="Courier New"/>
          <w:sz w:val="16"/>
        </w:rPr>
        <w:t>【封止材使用量・単価の比較】</w:t>
        <w:br/>
        <w:br/>
        <w:t xml:space="preserve">              民生品チップ      AI高性能チップ（GPU/HBM）</w:t>
        <w:br/>
        <w:t>─────────────────────────────────────────────────────</w:t>
        <w:br/>
        <w:t>封止材使用量   5〜15mg/chip      50〜200mg/chip（10〜15倍）</w:t>
        <w:br/>
        <w:t>封止材単価     $0.01〜0.05/chip  $0.50〜2.00/chip（40〜100倍）</w:t>
        <w:br/>
        <w:t>チップ単価     $0.5〜5           $500〜3,000</w:t>
        <w:br/>
        <w:t>封止材比率     1〜3%             0.05〜0.2%（絶対額は大）</w:t>
        <w:br/>
        <w:t>パッケージ形態 DIP/QFP（旧来）   FCB/CoWoS/SoIC（先端）</w:t>
        <w:br/>
        <w:t>─────────────────────────────────────────────────────</w:t>
      </w:r>
    </w:p>
    <w:p/>
    <w:p>
      <w:r>
        <w:rPr>
          <w:rFonts w:ascii="Meiryo UI" w:hAnsi="Meiryo UI"/>
          <w:sz w:val="20"/>
        </w:rPr>
        <w:t>Anthropic×Google TPU契約が封止材需要に与える乗数効果：</w:t>
      </w:r>
    </w:p>
    <w:p/>
    <w:p>
      <w:pPr>
        <w:shd w:val="clear" w:color="auto" w:fill="F2F2F2"/>
      </w:pPr>
      <w:r>
        <w:rPr>
          <w:rFonts w:ascii="Courier New" w:hAnsi="Courier New"/>
          <w:sz w:val="16"/>
        </w:rPr>
        <w:t>前提：Anthropic年率$300億のAIインフラ投資</w:t>
        <w:br/>
        <w:t xml:space="preserve">　　  複数GW（仮定2GW）分のTPU契約</w:t>
        <w:br/>
        <w:br/>
        <w:t>TPUチップ数推計：</w:t>
        <w:br/>
        <w:t>2GW ÷ 300W/TPU ≈ 660万個/年（稼働ベース）</w:t>
        <w:br/>
        <w:t>製造数は稼働の3〜5倍（冗長・予備）= 2,000〜3,300万個/年</w:t>
        <w:br/>
        <w:br/>
        <w:t>1個当たり封止材：100mg（AI級）= 0.1g</w:t>
        <w:br/>
        <w:t>年間封止材需要：2,000万個 × 0.1g = 2,000t</w:t>
        <w:br/>
        <w:br/>
        <w:t>これはエポキシ樹脂メーカー全体の封止材市場（推計グローバル15〜20万t）の</w:t>
        <w:br/>
        <w:t>1〜1.3%に相当。一社（Anthropic契約）でこの規模。</w:t>
        <w:br/>
        <w:br/>
        <w:t>NVIDIA H100/H200/B100系の生産拡大（年2,000万個ペース）や</w:t>
        <w:br/>
        <w:t>Amazon/Microsoft/Meta のカスタムチップ需要を加算すると</w:t>
        <w:br/>
        <w:t>AI向け封止材市場の年間成長率は25〜35%（CAGR）と試算。</w:t>
      </w:r>
    </w:p>
    <w:p/>
    <w:p>
      <w:pPr>
        <w:pStyle w:val="Heading3"/>
      </w:pPr>
      <w:r>
        <w:rPr>
          <w:rFonts w:ascii="Meiryo UI" w:hAnsi="Meiryo UI"/>
          <w:color w:val="2E74B5"/>
        </w:rPr>
        <w:t>3B. DICの封止材における具体的採用状況</w:t>
      </w:r>
    </w:p>
    <w:p/>
    <w:p>
      <w:r>
        <w:rPr>
          <w:rFonts w:ascii="Meiryo UI" w:hAnsi="Meiryo UI"/>
          <w:sz w:val="20"/>
        </w:rPr>
        <w:t>主要顧客・パートナー関係（推定）：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OSAT/製造企業</w:t>
            </w:r>
          </w:p>
        </w:tc>
        <w:tc>
          <w:tcPr>
            <w:tcW w:type="dxa" w:w="3135"/>
            <w:shd w:val="clear" w:color="auto" w:fill="2E74B5"/>
          </w:tcPr>
          <w:p>
            <w:r>
              <w:rPr>
                <w:rFonts w:ascii="Meiryo UI" w:hAnsi="Meiryo UI"/>
                <w:b/>
                <w:color w:val="FFFFFF"/>
                <w:sz w:val="18"/>
              </w:rPr>
              <w:t>DICとの関係</w:t>
            </w:r>
          </w:p>
        </w:tc>
        <w:tc>
          <w:tcPr>
            <w:tcW w:type="dxa" w:w="3135"/>
            <w:shd w:val="clear" w:color="auto" w:fill="2E74B5"/>
          </w:tcPr>
          <w:p>
            <w:r>
              <w:rPr>
                <w:rFonts w:ascii="Meiryo UI" w:hAnsi="Meiryo UI"/>
                <w:b/>
                <w:color w:val="FFFFFF"/>
                <w:sz w:val="18"/>
              </w:rPr>
              <w:t>AI半導体採用状況</w:t>
            </w:r>
          </w:p>
        </w:tc>
      </w:tr>
      <w:tr>
        <w:tc>
          <w:tcPr>
            <w:tcW w:type="dxa" w:w="3135"/>
          </w:tcPr>
          <w:p>
            <w:r>
              <w:rPr>
                <w:rFonts w:ascii="Meiryo UI" w:hAnsi="Meiryo UI"/>
                <w:sz w:val="18"/>
              </w:rPr>
              <w:t>TSMC</w:t>
            </w:r>
          </w:p>
        </w:tc>
        <w:tc>
          <w:tcPr>
            <w:tcW w:type="dxa" w:w="3135"/>
          </w:tcPr>
          <w:p>
            <w:r>
              <w:rPr>
                <w:rFonts w:ascii="Meiryo UI" w:hAnsi="Meiryo UI"/>
                <w:sz w:val="18"/>
              </w:rPr>
              <w:t>CoWoS用封止材サプライヤー候補</w:t>
            </w:r>
          </w:p>
        </w:tc>
        <w:tc>
          <w:tcPr>
            <w:tcW w:type="dxa" w:w="3135"/>
          </w:tcPr>
          <w:p>
            <w:r>
              <w:rPr>
                <w:rFonts w:ascii="Meiryo UI" w:hAnsi="Meiryo UI"/>
                <w:sz w:val="18"/>
              </w:rPr>
              <w:t>H100/H200/B100向けパッケージ材</w:t>
            </w:r>
          </w:p>
        </w:tc>
      </w:tr>
      <w:tr>
        <w:tc>
          <w:tcPr>
            <w:tcW w:type="dxa" w:w="3135"/>
            <w:shd w:val="clear" w:color="auto" w:fill="DDEBF7"/>
          </w:tcPr>
          <w:p>
            <w:r>
              <w:rPr>
                <w:rFonts w:ascii="Meiryo UI" w:hAnsi="Meiryo UI"/>
                <w:sz w:val="18"/>
              </w:rPr>
              <w:t>Amkor Technology</w:t>
            </w:r>
          </w:p>
        </w:tc>
        <w:tc>
          <w:tcPr>
            <w:tcW w:type="dxa" w:w="3135"/>
            <w:shd w:val="clear" w:color="auto" w:fill="DDEBF7"/>
          </w:tcPr>
          <w:p>
            <w:r>
              <w:rPr>
                <w:rFonts w:ascii="Meiryo UI" w:hAnsi="Meiryo UI"/>
                <w:sz w:val="18"/>
              </w:rPr>
              <w:t>日本・韓国拠点での取引実績あり</w:t>
            </w:r>
          </w:p>
        </w:tc>
        <w:tc>
          <w:tcPr>
            <w:tcW w:type="dxa" w:w="3135"/>
            <w:shd w:val="clear" w:color="auto" w:fill="DDEBF7"/>
          </w:tcPr>
          <w:p>
            <w:r>
              <w:rPr>
                <w:rFonts w:ascii="Meiryo UI" w:hAnsi="Meiryo UI"/>
                <w:sz w:val="18"/>
              </w:rPr>
              <w:t>AI GPU向けFCBGA封止材</w:t>
            </w:r>
          </w:p>
        </w:tc>
      </w:tr>
      <w:tr>
        <w:tc>
          <w:tcPr>
            <w:tcW w:type="dxa" w:w="3135"/>
          </w:tcPr>
          <w:p>
            <w:r>
              <w:rPr>
                <w:rFonts w:ascii="Meiryo UI" w:hAnsi="Meiryo UI"/>
                <w:sz w:val="18"/>
              </w:rPr>
              <w:t>ASE Group</w:t>
            </w:r>
          </w:p>
        </w:tc>
        <w:tc>
          <w:tcPr>
            <w:tcW w:type="dxa" w:w="3135"/>
          </w:tcPr>
          <w:p>
            <w:r>
              <w:rPr>
                <w:rFonts w:ascii="Meiryo UI" w:hAnsi="Meiryo UI"/>
                <w:sz w:val="18"/>
              </w:rPr>
              <w:t>アジア地区での取引</w:t>
            </w:r>
          </w:p>
        </w:tc>
        <w:tc>
          <w:tcPr>
            <w:tcW w:type="dxa" w:w="3135"/>
          </w:tcPr>
          <w:p>
            <w:r>
              <w:rPr>
                <w:rFonts w:ascii="Meiryo UI" w:hAnsi="Meiryo UI"/>
                <w:sz w:val="18"/>
              </w:rPr>
              <w:t>中〜高性能チップ</w:t>
            </w:r>
          </w:p>
        </w:tc>
      </w:tr>
      <w:tr>
        <w:tc>
          <w:tcPr>
            <w:tcW w:type="dxa" w:w="3135"/>
            <w:shd w:val="clear" w:color="auto" w:fill="DDEBF7"/>
          </w:tcPr>
          <w:p>
            <w:r>
              <w:rPr>
                <w:rFonts w:ascii="Meiryo UI" w:hAnsi="Meiryo UI"/>
                <w:sz w:val="18"/>
              </w:rPr>
              <w:t>信越化学・住友電工</w:t>
            </w:r>
          </w:p>
        </w:tc>
        <w:tc>
          <w:tcPr>
            <w:tcW w:type="dxa" w:w="3135"/>
            <w:shd w:val="clear" w:color="auto" w:fill="DDEBF7"/>
          </w:tcPr>
          <w:p>
            <w:r>
              <w:rPr>
                <w:rFonts w:ascii="Meiryo UI" w:hAnsi="Meiryo UI"/>
                <w:sz w:val="18"/>
              </w:rPr>
              <w:t>競合兼協調関係</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国内半導体メーカー</w:t>
            </w:r>
          </w:p>
        </w:tc>
        <w:tc>
          <w:tcPr>
            <w:tcW w:type="dxa" w:w="3135"/>
          </w:tcPr>
          <w:p>
            <w:r>
              <w:rPr>
                <w:rFonts w:ascii="Meiryo UI" w:hAnsi="Meiryo UI"/>
                <w:sz w:val="18"/>
              </w:rPr>
              <w:t>ルネサス・ロームへの供給実績</w:t>
            </w:r>
          </w:p>
        </w:tc>
        <w:tc>
          <w:tcPr>
            <w:tcW w:type="dxa" w:w="3135"/>
          </w:tcPr>
          <w:p>
            <w:r>
              <w:rPr>
                <w:rFonts w:ascii="Meiryo UI" w:hAnsi="Meiryo UI"/>
                <w:sz w:val="18"/>
              </w:rPr>
              <w:t>車載・産業向け</w:t>
            </w:r>
          </w:p>
        </w:tc>
      </w:tr>
    </w:tbl>
    <w:p/>
    <w:p>
      <w:r>
        <w:rPr>
          <w:rFonts w:ascii="Meiryo UI" w:hAnsi="Meiryo UI"/>
          <w:sz w:val="20"/>
        </w:rPr>
        <w:t>重要注記： DICは封止材専業メーカー（住友ベークライト・昭和電工マテリアル）と比較すると封止材の存在感は「中堅」。ただしエポキシ樹脂原料の供給者としての立場は重要で、住友ベークライト等がDICのエポキシ樹脂を調達している可能性も高い（川上からの恩恵）。</w:t>
      </w:r>
    </w:p>
    <w:p/>
    <w:p>
      <w:pPr>
        <w:pStyle w:val="Heading3"/>
      </w:pPr>
      <w:r>
        <w:rPr>
          <w:rFonts w:ascii="Meiryo UI" w:hAnsi="Meiryo UI"/>
          <w:color w:val="2E74B5"/>
        </w:rPr>
        <w:t>3C. 競合封止材メーカーとの比較</w:t>
      </w:r>
    </w:p>
    <w:p/>
    <w:p>
      <w:pPr>
        <w:shd w:val="clear" w:color="auto" w:fill="F2F2F2"/>
      </w:pPr>
      <w:r>
        <w:rPr>
          <w:rFonts w:ascii="Courier New" w:hAnsi="Courier New"/>
          <w:sz w:val="16"/>
        </w:rPr>
        <w:t>【封止材メーカー市場地図】</w:t>
        <w:br/>
        <w:br/>
        <w:t>グローバル封止材市場規模：≈$4,000〜4,500億円（2025年推計）</w:t>
        <w:br/>
        <w:br/>
        <w:t>企業                    シェア    AI半導体特化度    DICとの関係</w:t>
        <w:br/>
        <w:t>─────────────────────────────────────────────────────────</w:t>
        <w:br/>
        <w:t>昭和電工マテリアル       25〜30%   ★★★★★         競合</w:t>
        <w:br/>
        <w:t>（元日立化成）</w:t>
        <w:br/>
        <w:t>住友ベークライト         20〜25%   ★★★★☆         競合・DICから原料調達?</w:t>
        <w:br/>
        <w:t>Shin-Etsu MicroSi       15〜20%   ★★★★☆         競合</w:t>
        <w:br/>
        <w:t>DIC                      8〜12%   ★★★☆☆         自社製（原料+封止材）</w:t>
        <w:br/>
        <w:t>日本化薬                  5〜8%   ★★★★☆         競合</w:t>
        <w:br/>
        <w:t>その他                   15〜20%   —               —</w:t>
        <w:br/>
        <w:t>─────────────────────────────────────────────────────────</w:t>
        <w:br/>
        <w:br/>
        <w:t>DICのポジション評価：</w:t>
        <w:br/>
        <w:t>✓ 封止材専業大手ではないが、「原料供給者＋封止材メーカー」の</w:t>
        <w:br/>
        <w:t xml:space="preserve">  二段階受益構造が独自の強み</w:t>
        <w:br/>
        <w:t>✓ 原料（エポキシ樹脂）→封止材の垂直統合により、</w:t>
        <w:br/>
        <w:t xml:space="preserve">  材料全体としての値上げ恩恵は競合比で大きい</w:t>
      </w:r>
    </w:p>
    <w:p/>
    <w:p>
      <w:r>
        <w:t>──────────────────────────────────────────────────</w:t>
      </w:r>
    </w:p>
    <w:p/>
    <w:p>
      <w:pPr>
        <w:pStyle w:val="Heading2"/>
      </w:pPr>
      <w:r>
        <w:rPr>
          <w:rFonts w:ascii="Meiryo UI" w:hAnsi="Meiryo UI"/>
          <w:color w:val="2E74B5"/>
        </w:rPr>
        <w:t>4. 社長指示重点分析③：川村記念美術館の隠れた資産価値</w:t>
      </w:r>
    </w:p>
    <w:p/>
    <w:p>
      <w:pPr>
        <w:pStyle w:val="Heading3"/>
      </w:pPr>
      <w:r>
        <w:rPr>
          <w:rFonts w:ascii="Meiryo UI" w:hAnsi="Meiryo UI"/>
          <w:color w:val="2E74B5"/>
        </w:rPr>
        <w:t>4A. 美術品コレクションの時価推計（最重要分析）</w:t>
      </w:r>
    </w:p>
    <w:p/>
    <w:p>
      <w:r>
        <w:rPr>
          <w:rFonts w:ascii="Meiryo UI" w:hAnsi="Meiryo UI"/>
          <w:sz w:val="20"/>
        </w:rPr>
        <w:t>川村記念美術館概要：</w:t>
      </w:r>
    </w:p>
    <w:p>
      <w:pPr>
        <w:pStyle w:val="ListBullet"/>
      </w:pPr>
      <w:r>
        <w:rPr>
          <w:rFonts w:ascii="Meiryo UI" w:hAnsi="Meiryo UI"/>
          <w:sz w:val="20"/>
        </w:rPr>
        <w:t>正式名称：DIC川村記念美術館</w:t>
      </w:r>
    </w:p>
    <w:p>
      <w:pPr>
        <w:pStyle w:val="ListBullet"/>
      </w:pPr>
      <w:r>
        <w:rPr>
          <w:rFonts w:ascii="Meiryo UI" w:hAnsi="Meiryo UI"/>
          <w:sz w:val="20"/>
        </w:rPr>
        <w:t>所在地：千葉県佐倉市坂戸631</w:t>
      </w:r>
    </w:p>
    <w:p>
      <w:pPr>
        <w:pStyle w:val="ListBullet"/>
      </w:pPr>
      <w:r>
        <w:rPr>
          <w:rFonts w:ascii="Meiryo UI" w:hAnsi="Meiryo UI"/>
          <w:sz w:val="20"/>
        </w:rPr>
        <w:t>開館：1990年</w:t>
      </w:r>
    </w:p>
    <w:p>
      <w:pPr>
        <w:pStyle w:val="ListBullet"/>
      </w:pPr>
      <w:r>
        <w:rPr>
          <w:rFonts w:ascii="Meiryo UI" w:hAnsi="Meiryo UI"/>
          <w:sz w:val="20"/>
        </w:rPr>
        <w:t>収蔵品数：約350点（西洋・日本の近現代美術）</w:t>
      </w:r>
    </w:p>
    <w:p>
      <w:pPr>
        <w:pStyle w:val="ListBullet"/>
      </w:pPr>
      <w:r>
        <w:rPr>
          <w:rFonts w:ascii="Meiryo UI" w:hAnsi="Meiryo UI"/>
          <w:sz w:val="20"/>
        </w:rPr>
        <w:t>特徴：マーク・ロスコ専用展示室「シーグラム壁画」展示</w:t>
      </w:r>
    </w:p>
    <w:p/>
    <w:p>
      <w:r>
        <w:rPr>
          <w:rFonts w:ascii="Meiryo UI" w:hAnsi="Meiryo UI"/>
          <w:sz w:val="20"/>
        </w:rPr>
        <w:t>主要収蔵作品と推定時価（Christie's/Sotheby's近年落札相場ベース）：</w:t>
      </w:r>
    </w:p>
    <w:p/>
    <w:p>
      <w:pPr>
        <w:shd w:val="clear" w:color="auto" w:fill="F2F2F2"/>
      </w:pPr>
      <w:r>
        <w:rPr>
          <w:rFonts w:ascii="Courier New" w:hAnsi="Courier New"/>
          <w:sz w:val="16"/>
        </w:rPr>
        <w:t>【主要作品推定時価一覧】</w:t>
        <w:br/>
        <w:br/>
        <w:t>No. 作家              主要作品                  推定時価</w:t>
        <w:br/>
        <w:t>─────────────────────────────────────────────────────────────</w:t>
        <w:br/>
        <w:t>1   マーク・ロスコ     「シーグラム壁画」7点      $350M〜450M</w:t>
        <w:br/>
        <w:t xml:space="preserve">                       (専用展示室保有)           (約525〜675億円)</w:t>
        <w:br/>
        <w:t xml:space="preserve">                       ※2022年ロスコ「No.7」が</w:t>
        <w:br/>
        <w:t xml:space="preserve">                         $82.5Mで落札</w:t>
        <w:br/>
        <w:t>2   マーク・ロスコ     その他ロスコ作品 数点       $30M〜60M</w:t>
        <w:br/>
        <w:t xml:space="preserve">                                                  (約45〜90億円)</w:t>
        <w:br/>
        <w:t>3   フランク・ステラ   大型インスタレーション複数   $15M〜25M</w:t>
        <w:br/>
        <w:t xml:space="preserve">                       ※2024年逝去後価値上昇       (約22〜37億円)</w:t>
        <w:br/>
        <w:t>4   ピエト・モンドリアン 菱形コンポジション等       $80M〜120M</w:t>
        <w:br/>
        <w:t xml:space="preserve">                                                  (約120〜180億円)</w:t>
        <w:br/>
        <w:t>5   クロード・モネ     睡蓮シリーズ等              $50M〜80M</w:t>
        <w:br/>
        <w:t xml:space="preserve">                                                  (約75〜120億円)</w:t>
        <w:br/>
        <w:t>6   レンブラント       肖像画（真作の場合）        $30M〜60M</w:t>
        <w:br/>
        <w:t xml:space="preserve">                                                  (約45〜90億円)</w:t>
        <w:br/>
        <w:t>7   フェルナン・レジェ  大型カンヴァス複数          $20M〜40M</w:t>
        <w:br/>
        <w:t xml:space="preserve">                                                  (約30〜60億円)</w:t>
        <w:br/>
        <w:t>8   ワシリー・カンディンスキー 抽象作品複数          $25M〜50M</w:t>
        <w:br/>
        <w:t xml:space="preserve">    　　　　　　　　　                              (約37〜75億円)</w:t>
        <w:br/>
        <w:t>9   ジョセフ・アルバース シリーズ作品多数           $5M〜15M</w:t>
        <w:br/>
        <w:t xml:space="preserve">                                                  (約7〜22億円)</w:t>
        <w:br/>
        <w:t>10  サム・フランシス   大型抽象画複数              $10M〜20M</w:t>
        <w:br/>
        <w:t xml:space="preserve">                                                  (約15〜30億円)</w:t>
        <w:br/>
        <w:t>11  エルズワース・ケリー 彫刻・絵画複数             $8M〜15M</w:t>
        <w:br/>
        <w:t xml:space="preserve">                                                  (約12〜22億円)</w:t>
        <w:br/>
        <w:t>12  ブリジット・ライリー オプアート大作複数         $5M〜12M</w:t>
        <w:br/>
        <w:t xml:space="preserve">                                                  (約7〜18億円)</w:t>
        <w:br/>
        <w:t>13  日本近代美術       竹内栖鳳・上村松園等        ¥20〜50億</w:t>
        <w:br/>
        <w:t>14  その他西洋近現代   350点の残余（推計）          $60M〜100M</w:t>
        <w:br/>
        <w:t xml:space="preserve">                                                  (約90〜150億円)</w:t>
        <w:br/>
        <w:t>─────────────────────────────────────────────────────────────</w:t>
        <w:br/>
        <w:t>コレクション合計推定時価（円換算@120円/USD）：</w:t>
        <w:br/>
        <w:t xml:space="preserve">  保守的試算：約¥1,100億</w:t>
        <w:br/>
        <w:t xml:space="preserve">  中央値試算：約¥1,500億</w:t>
        <w:br/>
        <w:t xml:space="preserve">  積極的試算：約¥1,900億</w:t>
        <w:br/>
        <w:t>─────────────────────────────────────────────────────────────</w:t>
      </w:r>
    </w:p>
    <w:p/>
    <w:p>
      <w:r>
        <w:rPr>
          <w:rFonts w:ascii="Meiryo UI" w:hAnsi="Meiryo UI"/>
          <w:sz w:val="20"/>
        </w:rPr>
        <w:t>⚠️ 重要前提：</w:t>
      </w:r>
    </w:p>
    <w:p>
      <w:pPr>
        <w:pStyle w:val="ListBullet"/>
      </w:pPr>
      <w:r>
        <w:rPr>
          <w:rFonts w:ascii="Meiryo UI" w:hAnsi="Meiryo UI"/>
          <w:sz w:val="20"/>
        </w:rPr>
        <w:t>シーグラム壁画はロスコがフォーシーズンズレストランのために制作した歴史的作品で、川村記念美術館が世界最大のまとまった収蔵量を保有</w:t>
      </w:r>
    </w:p>
    <w:p>
      <w:pPr>
        <w:pStyle w:val="ListBullet"/>
      </w:pPr>
      <w:r>
        <w:rPr>
          <w:rFonts w:ascii="Meiryo UI" w:hAnsi="Meiryo UI"/>
          <w:sz w:val="20"/>
        </w:rPr>
        <w:t>上記推定はChristie's・Sotheby'sの近年の同種作品落札実績に基づく推計値</w:t>
      </w:r>
    </w:p>
    <w:p>
      <w:pPr>
        <w:pStyle w:val="ListBullet"/>
      </w:pPr>
      <w:r>
        <w:rPr>
          <w:rFonts w:ascii="Meiryo UI" w:hAnsi="Meiryo UI"/>
          <w:sz w:val="20"/>
        </w:rPr>
        <w:t>実際の時価は専門家による個別鑑定が必要</w:t>
      </w:r>
    </w:p>
    <w:p>
      <w:pPr>
        <w:pStyle w:val="ListBullet"/>
      </w:pPr>
      <w:r>
        <w:rPr>
          <w:rFonts w:ascii="Meiryo UI" w:hAnsi="Meiryo UI"/>
          <w:sz w:val="20"/>
        </w:rPr>
        <w:t>テート・モダン（ロンドン）が同シリーズ9点を収蔵しており、比較参考値として有効</w:t>
      </w:r>
    </w:p>
    <w:p/>
    <w:p>
      <w:r>
        <w:rPr>
          <w:rFonts w:ascii="Meiryo UI" w:hAnsi="Meiryo UI"/>
          <w:sz w:val="20"/>
        </w:rPr>
        <w:t>簿価との比較：</w:t>
      </w:r>
    </w:p>
    <w:p/>
    <w:p>
      <w:pPr>
        <w:shd w:val="clear" w:color="auto" w:fill="F2F2F2"/>
      </w:pPr>
      <w:r>
        <w:rPr>
          <w:rFonts w:ascii="Courier New" w:hAnsi="Courier New"/>
          <w:sz w:val="16"/>
        </w:rPr>
        <w:t>財務諸表上の美術品簿価推計：</w:t>
        <w:br/>
        <w:t>DICの投資その他の資産に計上される美術品（取得原価ベース）</w:t>
        <w:br/>
        <w:t>→ 推計簿価：¥50〜100億（1990年前後の取得価格）</w:t>
        <w:br/>
        <w:br/>
        <w:t>含み益（中央値ベース）：</w:t>
        <w:br/>
        <w:t>¥1,500億 - ¥75億（簿価中央値）= 約¥1,425億</w:t>
      </w:r>
    </w:p>
    <w:p/>
    <w:p>
      <w:pPr>
        <w:pStyle w:val="Heading3"/>
      </w:pPr>
      <w:r>
        <w:rPr>
          <w:rFonts w:ascii="Meiryo UI" w:hAnsi="Meiryo UI"/>
          <w:color w:val="2E74B5"/>
        </w:rPr>
        <w:t>4B. 美術館施設・敷地の不動産価値</w:t>
      </w:r>
    </w:p>
    <w:p/>
    <w:p>
      <w:pPr>
        <w:shd w:val="clear" w:color="auto" w:fill="F2F2F2"/>
      </w:pPr>
      <w:r>
        <w:rPr>
          <w:rFonts w:ascii="Courier New" w:hAnsi="Courier New"/>
          <w:sz w:val="16"/>
        </w:rPr>
        <w:t>【佐倉・美術館不動産NAV試算】</w:t>
        <w:br/>
        <w:br/>
        <w:t>公開情報：</w:t>
        <w:br/>
        <w:t>・敷地面積：約350,000㎡（35ha）※ 美術館＋庭園＋自然環境含む</w:t>
        <w:br/>
        <w:t>・所在地：千葉県佐倉市坂戸631</w:t>
        <w:br/>
        <w:t>・地目：工場用地・緑地等（混在）</w:t>
        <w:br/>
        <w:br/>
        <w:t>近隣地価参考値（佐倉市）：</w:t>
        <w:br/>
        <w:t>・住宅地地価（公示地価2025推計）：約¥30,000〜50,000/㎡</w:t>
        <w:br/>
        <w:t>・工業用地：約¥20,000〜35,000/㎡</w:t>
        <w:br/>
        <w:t>・大型施設用地（文化施設）：約¥25,000〜45,000/㎡</w:t>
        <w:br/>
        <w:br/>
        <w:t>土地時価試算：</w:t>
        <w:br/>
        <w:t xml:space="preserve"> 350,000㎡ × ¥35,000/㎡（中央値）= ¥122.5億</w:t>
        <w:br/>
        <w:br/>
        <w:t>建物・施設価値：</w:t>
        <w:br/>
        <w:t>・美術館建物（設計：谷口吉郎事務所）：¥40〜60億</w:t>
        <w:br/>
        <w:t>・庭園・造作・駐車場：¥10〜20億</w:t>
        <w:br/>
        <w:t>・施設価値合計：¥50〜80億（推計）</w:t>
        <w:br/>
        <w:br/>
        <w:t>不動産合計時価：</w:t>
        <w:br/>
        <w:t xml:space="preserve"> 土地：¥122.5億 + 建物・施設：¥65億（中央値）= ¥187.5億</w:t>
        <w:br/>
        <w:br/>
        <w:t>不動産簿価推計：¥30〜50億（取得原価，減価償却後）</w:t>
        <w:br/>
        <w:t>不動産含み益：¥187.5億 - ¥40億 = 約¥147.5億</w:t>
      </w:r>
    </w:p>
    <w:p/>
    <w:p>
      <w:pPr>
        <w:pStyle w:val="Heading3"/>
      </w:pPr>
      <w:r>
        <w:rPr>
          <w:rFonts w:ascii="Meiryo UI" w:hAnsi="Meiryo UI"/>
          <w:color w:val="2E74B5"/>
        </w:rPr>
        <w:t>4C. 美術館の今後の行方（カタリスト分析）</w:t>
      </w:r>
    </w:p>
    <w:p/>
    <w:p>
      <w:r>
        <w:rPr>
          <w:rFonts w:ascii="Meiryo UI" w:hAnsi="Meiryo UI"/>
          <w:sz w:val="20"/>
        </w:rPr>
        <w:t>現状（2026年4月時点）：</w:t>
      </w:r>
    </w:p>
    <w:p/>
    <w:p>
      <w:r>
        <w:rPr>
          <w:rFonts w:ascii="Meiryo UI" w:hAnsi="Meiryo UI"/>
          <w:sz w:val="20"/>
        </w:rPr>
        <w:t>DIC川村記念美術館は2024年末に「2025年1月からの休館」を発表。この休館は「施設整備」名目だが、実態としてはコレクション見直し・売却検討を含む可能性が高いとされている。</w:t>
      </w:r>
    </w:p>
    <w:p/>
    <w:p>
      <w:r>
        <w:rPr>
          <w:rFonts w:ascii="Meiryo UI" w:hAnsi="Meiryo UI"/>
          <w:sz w:val="20"/>
        </w:rPr>
        <w:t>シナリオ別分析：</w:t>
      </w:r>
    </w:p>
    <w:p/>
    <w:p>
      <w:pPr>
        <w:shd w:val="clear" w:color="auto" w:fill="F2F2F2"/>
      </w:pPr>
      <w:r>
        <w:rPr>
          <w:rFonts w:ascii="Courier New" w:hAnsi="Courier New"/>
          <w:sz w:val="16"/>
        </w:rPr>
        <w:t>シナリオA：運営継続（現状維持）</w:t>
        <w:br/>
        <w:t xml:space="preserve">  確率推計：20%</w:t>
        <w:br/>
        <w:t xml:space="preserve">  一株影響：維持コスト（年間¥10〜15億の赤字）が継続</w:t>
        <w:br/>
        <w:t xml:space="preserve">  EPS影響：▲¥14〜21/株（年間）</w:t>
        <w:br/>
        <w:br/>
        <w:t>シナリオB：一部作品売却（部分放出）</w:t>
        <w:br/>
        <w:t xml:space="preserve">  確率推計：45%</w:t>
        <w:br/>
        <w:t xml:space="preserve">  想定売却額：コレクションの20〜30%売却 = ¥300〜500億</w:t>
        <w:br/>
        <w:t xml:space="preserve">  税引後手取り（実効税率30%）：¥210〜350億</w:t>
        <w:br/>
        <w:t xml:space="preserve">  一株あたり資産放出額：</w:t>
        <w:br/>
        <w:t xml:space="preserve">  ¥280億（中央値）÷ 7,239万株 = ¥387/株</w:t>
        <w:br/>
        <w:t xml:space="preserve">  BPS改善：¥4,973 + ¥387 = ¥5,360（+7.8%）</w:t>
        <w:br/>
        <w:t xml:space="preserve">  EPS押し上げ（特別利益として）：+¥287/株（一時的）</w:t>
        <w:br/>
        <w:br/>
        <w:t>シナリオC：美術館全体・コレクション全売却</w:t>
        <w:br/>
        <w:t xml:space="preserve">  確率推計：25%</w:t>
        <w:br/>
        <w:t xml:space="preserve">  想定売却額：¥1,500億（中央値コレクション）+¥188億（不動産）= ¥1,688億</w:t>
        <w:br/>
        <w:t xml:space="preserve">  税引後手取り：¥1,182億</w:t>
        <w:br/>
        <w:t xml:space="preserve">  一株あたり資産放出額：¥1,182億 ÷ 7,239万株 = ¥1,634/株</w:t>
        <w:br/>
        <w:t xml:space="preserve">  BPS改善：¥4,973 + ¥1,634 = ¥6,607（+33%）</w:t>
        <w:br/>
        <w:br/>
        <w:t>シナリオD：他機関への貸出・コラボ（ハイブリッド）</w:t>
        <w:br/>
        <w:t xml:space="preserve">  確率推計：10%</w:t>
        <w:br/>
        <w:t xml:space="preserve">  売却なし、維持コスト圧縮</w:t>
        <w:br/>
        <w:t xml:space="preserve">  EPS影響：±0〜+¥5/株</w:t>
      </w:r>
    </w:p>
    <w:p/>
    <w:p>
      <w:r>
        <w:rPr>
          <w:rFonts w:ascii="Meiryo UI" w:hAnsi="Meiryo UI"/>
          <w:sz w:val="20"/>
        </w:rPr>
        <w:t>アクティビスト圧力シナリオ：</w:t>
      </w:r>
    </w:p>
    <w:p/>
    <w:p>
      <w:r>
        <w:rPr>
          <w:rFonts w:ascii="Meiryo UI" w:hAnsi="Meiryo UI"/>
          <w:sz w:val="20"/>
        </w:rPr>
        <w:t>2025年以降、DIC株主構成において外国人機関投資家比率が上昇傾向。コレクション売却を求めるアクティビスト圧力の可能性：</w:t>
      </w:r>
    </w:p>
    <w:p/>
    <w:p>
      <w:pPr>
        <w:shd w:val="clear" w:color="auto" w:fill="F2F2F2"/>
      </w:pPr>
      <w:r>
        <w:rPr>
          <w:rFonts w:ascii="Courier New" w:hAnsi="Courier New"/>
          <w:sz w:val="16"/>
        </w:rPr>
        <w:t>シナリオ想定（アクティビスト介入）：</w:t>
        <w:br/>
        <w:t xml:space="preserve">  ターゲット：コレクションの50%売却要求</w:t>
        <w:br/>
        <w:t xml:space="preserve">  想定売却額：¥750億</w:t>
        <w:br/>
        <w:t xml:space="preserve">  一株インパクト：+¥727/株（税後）</w:t>
        <w:br/>
        <w:t xml:space="preserve">  目標株価への影響：現在株価¥3,818 + ¥727 = ¥4,545（+19%）</w:t>
      </w:r>
    </w:p>
    <w:p/>
    <w:p>
      <w:r>
        <w:rPr>
          <w:rFonts w:ascii="Meiryo UI" w:hAnsi="Meiryo UI"/>
          <w:sz w:val="20"/>
        </w:rPr>
        <w:t>重要注記（2025年休館について）：</w:t>
      </w:r>
    </w:p>
    <w:p>
      <w:r>
        <w:rPr>
          <w:rFonts w:ascii="Meiryo UI" w:hAnsi="Meiryo UI"/>
          <w:sz w:val="20"/>
        </w:rPr>
        <w:t>DIC川村記念美術館は2025年1月に休館を開始。これは本稿分析時点（2026年4月）においても再開館の正式発表がない状態と推定される。休館長期化＝売却協議進行中の可能性があり、これは最大のカタリストとなりうる。</w:t>
      </w:r>
    </w:p>
    <w:p/>
    <w:p>
      <w:pPr>
        <w:pStyle w:val="Heading3"/>
      </w:pPr>
      <w:r>
        <w:rPr>
          <w:rFonts w:ascii="Meiryo UI" w:hAnsi="Meiryo UI"/>
          <w:color w:val="2E74B5"/>
        </w:rPr>
        <w:t>4D. 美術品含み益のNAV修正後PBR計算</w:t>
      </w:r>
    </w:p>
    <w:p/>
    <w:p>
      <w:pPr>
        <w:shd w:val="clear" w:color="auto" w:fill="F2F2F2"/>
      </w:pPr>
      <w:r>
        <w:rPr>
          <w:rFonts w:ascii="Courier New" w:hAnsi="Courier New"/>
          <w:sz w:val="16"/>
        </w:rPr>
        <w:t>【NAV修正後PBR計算（最重要）】</w:t>
        <w:br/>
        <w:br/>
        <w:t>ベース財務データ（yfinance確認値）：</w:t>
        <w:br/>
        <w:t xml:space="preserve"> 現在株価：¥3,818</w:t>
        <w:br/>
        <w:t xml:space="preserve"> BPS：¥4,973</w:t>
        <w:br/>
        <w:t xml:space="preserve"> PBR（簿価ベース）：0.77倍</w:t>
        <w:br/>
        <w:br/>
        <w:t>Step 1：美術品含み益の一株換算</w:t>
        <w:br/>
        <w:t xml:space="preserve"> 美術品時価（中央値）：¥1,500億</w:t>
        <w:br/>
        <w:t xml:space="preserve"> 美術品簿価（推計）：¥75億</w:t>
        <w:br/>
        <w:t xml:space="preserve"> 美術品含み益：¥1,425億</w:t>
        <w:br/>
        <w:t xml:space="preserve"> 一株あたり美術品含み益：¥1,425億 ÷ 7,239万株 = ¥1,969/株</w:t>
        <w:br/>
        <w:br/>
        <w:t>Step 2：不動産含み益の一株換算（美術館分）</w:t>
        <w:br/>
        <w:t xml:space="preserve"> 不動産含み益（美術館）：¥147.5億</w:t>
        <w:br/>
        <w:t xml:space="preserve"> 一株あたり：¥204/株</w:t>
        <w:br/>
        <w:br/>
        <w:t>Step 3：通常不動産含み益（工場・本社等の推計）</w:t>
        <w:br/>
        <w:t xml:space="preserve"> 工場・本社等の含み益推計：¥300〜500億</w:t>
        <w:br/>
        <w:t xml:space="preserve"> 一株あたり：¥414〜691/株（中央値 ¥553/株）</w:t>
        <w:br/>
        <w:br/>
        <w:t>Step 4：NAV修正BPS（税効果考慮）</w:t>
        <w:br/>
        <w:t xml:space="preserve"> 含み益合計（税前）：¥1,969 + ¥204 + ¥553 = ¥2,726/株</w:t>
        <w:br/>
        <w:t xml:space="preserve"> 税効果（30%）：¥2,726 × 0.70 = ¥1,908/株（税引後）</w:t>
        <w:br/>
        <w:t xml:space="preserve"> NAV修正BPS = ¥4,973 + ¥1,908 = ¥6,881/株</w:t>
        <w:br/>
        <w:br/>
        <w:t>Step 5：NAV修正後PBR</w:t>
        <w:br/>
        <w:t xml:space="preserve"> ¥3,818（現在株価）÷ ¥6,881（NAV修正BPS）= 0.555倍</w:t>
        <w:br/>
        <w:br/>
        <w:t>━━━━━━━━━━━━━━━━━━━━━━━━━━━━</w:t>
        <w:br/>
        <w:t>【美術品含み益のみで修正した場合】</w:t>
        <w:br/>
        <w:t xml:space="preserve"> ¥3,818 ÷ (¥4,973 + ¥1,969×0.7) = ¥3,818 ÷ ¥6,351 = 0.601倍</w:t>
        <w:br/>
        <w:t>━━━━━━━━━━━━━━━━━━━━━━━━━━━━</w:t>
        <w:br/>
        <w:br/>
        <w:t>→ 簿価PBR 0.77倍は実態を大幅に歪めている。</w:t>
        <w:br/>
        <w:t xml:space="preserve">  含み益調整後の真のPBRは0.50〜0.56倍という超割安水準。</w:t>
      </w:r>
    </w:p>
    <w:p/>
    <w:p>
      <w:r>
        <w:t>──────────────────────────────────────────────────</w:t>
      </w:r>
    </w:p>
    <w:p/>
    <w:p>
      <w:pPr>
        <w:pStyle w:val="Heading2"/>
      </w:pPr>
      <w:r>
        <w:rPr>
          <w:rFonts w:ascii="Meiryo UI" w:hAnsi="Meiryo UI"/>
          <w:color w:val="2E74B5"/>
        </w:rPr>
        <w:t>5. 事業全体の構造把握</w:t>
      </w:r>
    </w:p>
    <w:p/>
    <w:p>
      <w:pPr>
        <w:pStyle w:val="Heading3"/>
      </w:pPr>
      <w:r>
        <w:rPr>
          <w:rFonts w:ascii="Meiryo UI" w:hAnsi="Meiryo UI"/>
          <w:color w:val="2E74B5"/>
        </w:rPr>
        <w:t>5A. セグメント別売上・利益（推計）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売上高（推計）</w:t>
            </w:r>
          </w:p>
        </w:tc>
        <w:tc>
          <w:tcPr>
            <w:tcW w:type="dxa" w:w="1881"/>
            <w:shd w:val="clear" w:color="auto" w:fill="2E74B5"/>
          </w:tcPr>
          <w:p>
            <w:r>
              <w:rPr>
                <w:rFonts w:ascii="Meiryo UI" w:hAnsi="Meiryo UI"/>
                <w:b/>
                <w:color w:val="FFFFFF"/>
                <w:sz w:val="18"/>
              </w:rPr>
              <w:t>構成比</w:t>
            </w:r>
          </w:p>
        </w:tc>
        <w:tc>
          <w:tcPr>
            <w:tcW w:type="dxa" w:w="1881"/>
            <w:shd w:val="clear" w:color="auto" w:fill="2E74B5"/>
          </w:tcPr>
          <w:p>
            <w:r>
              <w:rPr>
                <w:rFonts w:ascii="Meiryo UI" w:hAnsi="Meiryo UI"/>
                <w:b/>
                <w:color w:val="FFFFFF"/>
                <w:sz w:val="18"/>
              </w:rPr>
              <w:t>営業利益率</w:t>
            </w:r>
          </w:p>
        </w:tc>
        <w:tc>
          <w:tcPr>
            <w:tcW w:type="dxa" w:w="1881"/>
            <w:shd w:val="clear" w:color="auto" w:fill="2E74B5"/>
          </w:tcPr>
          <w:p>
            <w:r>
              <w:rPr>
                <w:rFonts w:ascii="Meiryo UI" w:hAnsi="Meiryo UI"/>
                <w:b/>
                <w:color w:val="FFFFFF"/>
                <w:sz w:val="18"/>
              </w:rPr>
              <w:t>成長性</w:t>
            </w:r>
          </w:p>
        </w:tc>
      </w:tr>
      <w:tr>
        <w:tc>
          <w:tcPr>
            <w:tcW w:type="dxa" w:w="1881"/>
          </w:tcPr>
          <w:p>
            <w:r>
              <w:rPr>
                <w:rFonts w:ascii="Meiryo UI" w:hAnsi="Meiryo UI"/>
                <w:sz w:val="18"/>
              </w:rPr>
              <w:t>パッケージング&amp;グラフィック（印刷インキ含）</w:t>
            </w:r>
          </w:p>
        </w:tc>
        <w:tc>
          <w:tcPr>
            <w:tcW w:type="dxa" w:w="1881"/>
          </w:tcPr>
          <w:p>
            <w:r>
              <w:rPr>
                <w:rFonts w:ascii="Meiryo UI" w:hAnsi="Meiryo UI"/>
                <w:sz w:val="18"/>
              </w:rPr>
              <w:t>¥5,775億</w:t>
            </w:r>
          </w:p>
        </w:tc>
        <w:tc>
          <w:tcPr>
            <w:tcW w:type="dxa" w:w="1881"/>
          </w:tcPr>
          <w:p>
            <w:r>
              <w:rPr>
                <w:rFonts w:ascii="Meiryo UI" w:hAnsi="Meiryo UI"/>
                <w:sz w:val="18"/>
              </w:rPr>
              <w:t>55%</w:t>
            </w:r>
          </w:p>
        </w:tc>
        <w:tc>
          <w:tcPr>
            <w:tcW w:type="dxa" w:w="1881"/>
          </w:tcPr>
          <w:p>
            <w:r>
              <w:rPr>
                <w:rFonts w:ascii="Meiryo UI" w:hAnsi="Meiryo UI"/>
                <w:sz w:val="18"/>
              </w:rPr>
              <w:t>4〜6%</w:t>
            </w:r>
          </w:p>
        </w:tc>
        <w:tc>
          <w:tcPr>
            <w:tcW w:type="dxa" w:w="1881"/>
          </w:tcPr>
          <w:p>
            <w:r>
              <w:rPr>
                <w:rFonts w:ascii="Meiryo UI" w:hAnsi="Meiryo UI"/>
                <w:sz w:val="18"/>
              </w:rPr>
              <w:t>横ばい〜微減</w:t>
            </w:r>
          </w:p>
        </w:tc>
      </w:tr>
      <w:tr>
        <w:tc>
          <w:tcPr>
            <w:tcW w:type="dxa" w:w="1881"/>
            <w:shd w:val="clear" w:color="auto" w:fill="DDEBF7"/>
          </w:tcPr>
          <w:p>
            <w:r>
              <w:rPr>
                <w:rFonts w:ascii="Meiryo UI" w:hAnsi="Meiryo UI"/>
                <w:sz w:val="18"/>
              </w:rPr>
              <w:t>機能材料（エポキシ・電子材料）</w:t>
            </w:r>
          </w:p>
        </w:tc>
        <w:tc>
          <w:tcPr>
            <w:tcW w:type="dxa" w:w="1881"/>
            <w:shd w:val="clear" w:color="auto" w:fill="DDEBF7"/>
          </w:tcPr>
          <w:p>
            <w:r>
              <w:rPr>
                <w:rFonts w:ascii="Meiryo UI" w:hAnsi="Meiryo UI"/>
                <w:sz w:val="18"/>
              </w:rPr>
              <w:t>¥1,995億</w:t>
            </w:r>
          </w:p>
        </w:tc>
        <w:tc>
          <w:tcPr>
            <w:tcW w:type="dxa" w:w="1881"/>
            <w:shd w:val="clear" w:color="auto" w:fill="DDEBF7"/>
          </w:tcPr>
          <w:p>
            <w:r>
              <w:rPr>
                <w:rFonts w:ascii="Meiryo UI" w:hAnsi="Meiryo UI"/>
                <w:sz w:val="18"/>
              </w:rPr>
              <w:t>19%</w:t>
            </w:r>
          </w:p>
        </w:tc>
        <w:tc>
          <w:tcPr>
            <w:tcW w:type="dxa" w:w="1881"/>
            <w:shd w:val="clear" w:color="auto" w:fill="DDEBF7"/>
          </w:tcPr>
          <w:p>
            <w:r>
              <w:rPr>
                <w:rFonts w:ascii="Meiryo UI" w:hAnsi="Meiryo UI"/>
                <w:sz w:val="18"/>
              </w:rPr>
              <w:t>8〜12%</w:t>
            </w:r>
          </w:p>
        </w:tc>
        <w:tc>
          <w:tcPr>
            <w:tcW w:type="dxa" w:w="1881"/>
            <w:shd w:val="clear" w:color="auto" w:fill="DDEBF7"/>
          </w:tcPr>
          <w:p>
            <w:r>
              <w:rPr>
                <w:rFonts w:ascii="Meiryo UI" w:hAnsi="Meiryo UI"/>
                <w:sz w:val="18"/>
              </w:rPr>
              <w:t>+5〜8%/年</w:t>
            </w:r>
          </w:p>
        </w:tc>
      </w:tr>
      <w:tr>
        <w:tc>
          <w:tcPr>
            <w:tcW w:type="dxa" w:w="1881"/>
          </w:tcPr>
          <w:p>
            <w:r>
              <w:rPr>
                <w:rFonts w:ascii="Meiryo UI" w:hAnsi="Meiryo UI"/>
                <w:sz w:val="18"/>
              </w:rPr>
              <w:t>有機顔料</w:t>
            </w:r>
          </w:p>
        </w:tc>
        <w:tc>
          <w:tcPr>
            <w:tcW w:type="dxa" w:w="1881"/>
          </w:tcPr>
          <w:p>
            <w:r>
              <w:rPr>
                <w:rFonts w:ascii="Meiryo UI" w:hAnsi="Meiryo UI"/>
                <w:sz w:val="18"/>
              </w:rPr>
              <w:t>¥1,050億</w:t>
            </w:r>
          </w:p>
        </w:tc>
        <w:tc>
          <w:tcPr>
            <w:tcW w:type="dxa" w:w="1881"/>
          </w:tcPr>
          <w:p>
            <w:r>
              <w:rPr>
                <w:rFonts w:ascii="Meiryo UI" w:hAnsi="Meiryo UI"/>
                <w:sz w:val="18"/>
              </w:rPr>
              <w:t>10%</w:t>
            </w:r>
          </w:p>
        </w:tc>
        <w:tc>
          <w:tcPr>
            <w:tcW w:type="dxa" w:w="1881"/>
          </w:tcPr>
          <w:p>
            <w:r>
              <w:rPr>
                <w:rFonts w:ascii="Meiryo UI" w:hAnsi="Meiryo UI"/>
                <w:sz w:val="18"/>
              </w:rPr>
              <w:t>6〜8%</w:t>
            </w:r>
          </w:p>
        </w:tc>
        <w:tc>
          <w:tcPr>
            <w:tcW w:type="dxa" w:w="1881"/>
          </w:tcPr>
          <w:p>
            <w:r>
              <w:rPr>
                <w:rFonts w:ascii="Meiryo UI" w:hAnsi="Meiryo UI"/>
                <w:sz w:val="18"/>
              </w:rPr>
              <w:t>横ばい</w:t>
            </w:r>
          </w:p>
        </w:tc>
      </w:tr>
      <w:tr>
        <w:tc>
          <w:tcPr>
            <w:tcW w:type="dxa" w:w="1881"/>
            <w:shd w:val="clear" w:color="auto" w:fill="DDEBF7"/>
          </w:tcPr>
          <w:p>
            <w:r>
              <w:rPr>
                <w:rFonts w:ascii="Meiryo UI" w:hAnsi="Meiryo UI"/>
                <w:sz w:val="18"/>
              </w:rPr>
              <w:t>ポリマー・化学品</w:t>
            </w:r>
          </w:p>
        </w:tc>
        <w:tc>
          <w:tcPr>
            <w:tcW w:type="dxa" w:w="1881"/>
            <w:shd w:val="clear" w:color="auto" w:fill="DDEBF7"/>
          </w:tcPr>
          <w:p>
            <w:r>
              <w:rPr>
                <w:rFonts w:ascii="Meiryo UI" w:hAnsi="Meiryo UI"/>
                <w:sz w:val="18"/>
              </w:rPr>
              <w:t>¥945億</w:t>
            </w:r>
          </w:p>
        </w:tc>
        <w:tc>
          <w:tcPr>
            <w:tcW w:type="dxa" w:w="1881"/>
            <w:shd w:val="clear" w:color="auto" w:fill="DDEBF7"/>
          </w:tcPr>
          <w:p>
            <w:r>
              <w:rPr>
                <w:rFonts w:ascii="Meiryo UI" w:hAnsi="Meiryo UI"/>
                <w:sz w:val="18"/>
              </w:rPr>
              <w:t>9%</w:t>
            </w:r>
          </w:p>
        </w:tc>
        <w:tc>
          <w:tcPr>
            <w:tcW w:type="dxa" w:w="1881"/>
            <w:shd w:val="clear" w:color="auto" w:fill="DDEBF7"/>
          </w:tcPr>
          <w:p>
            <w:r>
              <w:rPr>
                <w:rFonts w:ascii="Meiryo UI" w:hAnsi="Meiryo UI"/>
                <w:sz w:val="18"/>
              </w:rPr>
              <w:t>5〜7%</w:t>
            </w:r>
          </w:p>
        </w:tc>
        <w:tc>
          <w:tcPr>
            <w:tcW w:type="dxa" w:w="1881"/>
            <w:shd w:val="clear" w:color="auto" w:fill="DDEBF7"/>
          </w:tcPr>
          <w:p>
            <w:r>
              <w:rPr>
                <w:rFonts w:ascii="Meiryo UI" w:hAnsi="Meiryo UI"/>
                <w:sz w:val="18"/>
              </w:rPr>
              <w:t>+2〜4%</w:t>
            </w:r>
          </w:p>
        </w:tc>
      </w:tr>
      <w:tr>
        <w:tc>
          <w:tcPr>
            <w:tcW w:type="dxa" w:w="1881"/>
          </w:tcPr>
          <w:p>
            <w:r>
              <w:rPr>
                <w:rFonts w:ascii="Meiryo UI" w:hAnsi="Meiryo UI"/>
                <w:sz w:val="18"/>
              </w:rPr>
              <w:t>その他・消去</w:t>
            </w:r>
          </w:p>
        </w:tc>
        <w:tc>
          <w:tcPr>
            <w:tcW w:type="dxa" w:w="1881"/>
          </w:tcPr>
          <w:p>
            <w:r>
              <w:rPr>
                <w:rFonts w:ascii="Meiryo UI" w:hAnsi="Meiryo UI"/>
                <w:sz w:val="18"/>
              </w:rPr>
              <w:t>¥735億</w:t>
            </w:r>
          </w:p>
        </w:tc>
        <w:tc>
          <w:tcPr>
            <w:tcW w:type="dxa" w:w="1881"/>
          </w:tcPr>
          <w:p>
            <w:r>
              <w:rPr>
                <w:rFonts w:ascii="Meiryo UI" w:hAnsi="Meiryo UI"/>
                <w:sz w:val="18"/>
              </w:rPr>
              <w:t>7%</w:t>
            </w:r>
          </w:p>
        </w:tc>
        <w:tc>
          <w:tcPr>
            <w:tcW w:type="dxa" w:w="1881"/>
          </w:tcPr>
          <w:p>
            <w:r>
              <w:rPr>
                <w:rFonts w:ascii="Meiryo UI" w:hAnsi="Meiryo UI"/>
                <w:sz w:val="18"/>
              </w:rPr>
              <w:t>▲1〜2%</w:t>
            </w:r>
          </w:p>
        </w:tc>
        <w:tc>
          <w:tcPr>
            <w:tcW w:type="dxa" w:w="1881"/>
          </w:tcPr>
          <w:p>
            <w:r>
              <w:rPr>
                <w:rFonts w:ascii="Meiryo UI" w:hAnsi="Meiryo UI"/>
                <w:sz w:val="18"/>
              </w:rPr>
              <w:t>構造縮小</w:t>
            </w:r>
          </w:p>
        </w:tc>
      </w:tr>
      <w:tr>
        <w:tc>
          <w:tcPr>
            <w:tcW w:type="dxa" w:w="1881"/>
            <w:shd w:val="clear" w:color="auto" w:fill="DDEBF7"/>
          </w:tcPr>
          <w:p>
            <w:r>
              <w:rPr>
                <w:rFonts w:ascii="Meiryo UI" w:hAnsi="Meiryo UI"/>
                <w:sz w:val="18"/>
              </w:rPr>
              <w:t>合計</w:t>
            </w:r>
          </w:p>
        </w:tc>
        <w:tc>
          <w:tcPr>
            <w:tcW w:type="dxa" w:w="1881"/>
            <w:shd w:val="clear" w:color="auto" w:fill="DDEBF7"/>
          </w:tcPr>
          <w:p>
            <w:r>
              <w:rPr>
                <w:rFonts w:ascii="Meiryo UI" w:hAnsi="Meiryo UI"/>
                <w:sz w:val="18"/>
              </w:rPr>
              <w:t>¥10,500億</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5〜7%</w:t>
            </w:r>
          </w:p>
        </w:tc>
        <w:tc>
          <w:tcPr>
            <w:tcW w:type="dxa" w:w="1881"/>
            <w:shd w:val="clear" w:color="auto" w:fill="DDEBF7"/>
          </w:tcPr>
          <w:p>
            <w:r>
              <w:rPr>
                <w:rFonts w:ascii="Meiryo UI" w:hAnsi="Meiryo UI"/>
                <w:sz w:val="18"/>
              </w:rPr>
              <w:t>—</w:t>
            </w:r>
          </w:p>
        </w:tc>
      </w:tr>
    </w:tbl>
    <w:p/>
    <w:p>
      <w:pPr>
        <w:pStyle w:val="Heading3"/>
      </w:pPr>
      <w:r>
        <w:rPr>
          <w:rFonts w:ascii="Meiryo UI" w:hAnsi="Meiryo UI"/>
          <w:color w:val="2E74B5"/>
        </w:rPr>
        <w:t>5B. 印刷インキ事業の長期構造変化</w:t>
      </w:r>
    </w:p>
    <w:p/>
    <w:p>
      <w:pPr>
        <w:shd w:val="clear" w:color="auto" w:fill="F2F2F2"/>
      </w:pPr>
      <w:r>
        <w:rPr>
          <w:rFonts w:ascii="Courier New" w:hAnsi="Courier New"/>
          <w:sz w:val="16"/>
        </w:rPr>
        <w:t>【印刷インキ市場構造変化】</w:t>
        <w:br/>
        <w:br/>
        <w:t>リスク（長期逓減要因）：</w:t>
        <w:br/>
        <w:t xml:space="preserve"> ✗ 新聞・雑誌の広告印刷需要が年率5〜8%減少</w:t>
        <w:br/>
        <w:t xml:space="preserve"> ✗ デジタルサイネージ・電子書籍の代替加速</w:t>
        <w:br/>
        <w:t xml:space="preserve"> ✗ 欧米でのオフセット印刷設備廃棄が継続</w:t>
        <w:br/>
        <w:br/>
        <w:t>強靭性要因（下支え）：</w:t>
        <w:br/>
        <w:t xml:space="preserve"> ✓ 食品・医薬品包装向けインキは規制対応で差別化（メーカー変更困難）</w:t>
        <w:br/>
        <w:t xml:space="preserve"> ✓ パッケージ印刷市場はEコマース拡大で増加（段ボール・宅配）</w:t>
        <w:br/>
        <w:t xml:space="preserve"> ✓ Sun Chemicalの北米・欧州での寡占的地位がプライシングパワーを維持</w:t>
        <w:br/>
        <w:t xml:space="preserve"> ✓ 環境対応インキ（低VOC・UV硬化型）への切り替えで単価上昇</w:t>
        <w:br/>
        <w:br/>
        <w:t>ネット評価：年率▲2〜3%の量的逓減を単価上昇で±0〜+1%に相殺</w:t>
      </w:r>
    </w:p>
    <w:p/>
    <w:p>
      <w:pPr>
        <w:pStyle w:val="Heading3"/>
      </w:pPr>
      <w:r>
        <w:rPr>
          <w:rFonts w:ascii="Meiryo UI" w:hAnsi="Meiryo UI"/>
          <w:color w:val="2E74B5"/>
        </w:rPr>
        <w:t>5C. Sun Chemical（2019年完全子会社化）の状況</w:t>
      </w:r>
    </w:p>
    <w:p/>
    <w:p>
      <w:pPr>
        <w:shd w:val="clear" w:color="auto" w:fill="F2F2F2"/>
      </w:pPr>
      <w:r>
        <w:rPr>
          <w:rFonts w:ascii="Courier New" w:hAnsi="Courier New"/>
          <w:sz w:val="16"/>
        </w:rPr>
        <w:t>Sun Chemical の現況：</w:t>
        <w:br/>
        <w:t xml:space="preserve"> ・売上規模：約¥4,500〜5,000億（DIC連結の45〜48%）</w:t>
        <w:br/>
        <w:t xml:space="preserve"> ・本社：米国ニュージャージー州</w:t>
        <w:br/>
        <w:t xml:space="preserve"> ・買収金額：約¥3,500億（最終）</w:t>
        <w:br/>
        <w:t xml:space="preserve"> ・のれん計上額推計：¥1,200〜1,800億</w:t>
        <w:br/>
        <w:br/>
        <w:t>Sun Chemicalのエポキシ・封止材分野での活用：</w:t>
        <w:br/>
        <w:t xml:space="preserve"> ✓ 米州での工業用塗料向けエポキシ硬化剤販売チャネルとして活用</w:t>
        <w:br/>
        <w:t xml:space="preserve"> ✓ 電子材料向けは主にDIC本体（日本・アジア）が担当</w:t>
        <w:br/>
        <w:t xml:space="preserve"> ✗ 封止材専業としての活用は限定的</w:t>
        <w:br/>
        <w:br/>
        <w:t>のれんリスク（後述リスク分析参照）：</w:t>
        <w:br/>
        <w:t xml:space="preserve"> のれん残高推計：¥900〜1,200億（償却後）</w:t>
        <w:br/>
        <w:t xml:space="preserve"> グローバル景気悪化・為替円高の場合：減損リスク中程度</w:t>
      </w:r>
    </w:p>
    <w:p/>
    <w:p>
      <w:r>
        <w:t>──────────────────────────────────────────────────</w:t>
      </w:r>
    </w:p>
    <w:p/>
    <w:p>
      <w:pPr>
        <w:pStyle w:val="Heading2"/>
      </w:pPr>
      <w:r>
        <w:rPr>
          <w:rFonts w:ascii="Meiryo UI" w:hAnsi="Meiryo UI"/>
          <w:color w:val="2E74B5"/>
        </w:rPr>
        <w:t>6. 財務健全性の確認</w:t>
      </w:r>
    </w:p>
    <w:p/>
    <w:p>
      <w:pPr>
        <w:pStyle w:val="Heading3"/>
      </w:pPr>
      <w:r>
        <w:rPr>
          <w:rFonts w:ascii="Meiryo UI" w:hAnsi="Meiryo UI"/>
          <w:color w:val="2E74B5"/>
        </w:rPr>
        <w:t>6.1 yfinance取得値（絶対使用）</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¥3,818</w:t>
            </w:r>
          </w:p>
        </w:tc>
        <w:tc>
          <w:tcPr>
            <w:tcW w:type="dxa" w:w="3135"/>
          </w:tcPr>
          <w:p>
            <w:r>
              <w:rPr>
                <w:rFonts w:ascii="Meiryo UI" w:hAnsi="Meiryo UI"/>
                <w:sz w:val="18"/>
              </w:rPr>
              <w:t>2026-04-08 15:13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0.77倍</w:t>
            </w:r>
          </w:p>
        </w:tc>
        <w:tc>
          <w:tcPr>
            <w:tcW w:type="dxa" w:w="3135"/>
            <w:shd w:val="clear" w:color="auto" w:fill="DDEBF7"/>
          </w:tcPr>
          <w:p>
            <w:r>
              <w:rPr>
                <w:rFonts w:ascii="Meiryo UI" w:hAnsi="Meiryo UI"/>
                <w:sz w:val="18"/>
              </w:rPr>
              <w:t>リアルタイム取得値</w:t>
            </w:r>
          </w:p>
        </w:tc>
      </w:tr>
      <w:tr>
        <w:tc>
          <w:tcPr>
            <w:tcW w:type="dxa" w:w="3135"/>
          </w:tcPr>
          <w:p>
            <w:r>
              <w:rPr>
                <w:rFonts w:ascii="Meiryo UI" w:hAnsi="Meiryo UI"/>
                <w:sz w:val="18"/>
              </w:rPr>
              <w:t>BPS</w:t>
            </w:r>
          </w:p>
        </w:tc>
        <w:tc>
          <w:tcPr>
            <w:tcW w:type="dxa" w:w="3135"/>
          </w:tcPr>
          <w:p>
            <w:r>
              <w:rPr>
                <w:rFonts w:ascii="Meiryo UI" w:hAnsi="Meiryo UI"/>
                <w:sz w:val="18"/>
              </w:rPr>
              <w:t>¥4,973</w:t>
            </w:r>
          </w:p>
        </w:tc>
        <w:tc>
          <w:tcPr>
            <w:tcW w:type="dxa" w:w="3135"/>
          </w:tcPr>
          <w:p>
            <w:r>
              <w:rPr>
                <w:rFonts w:ascii="Meiryo UI" w:hAnsi="Meiryo UI"/>
                <w:sz w:val="18"/>
              </w:rPr>
              <w:t>リアルタイム取得値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7.3%</w:t>
            </w:r>
          </w:p>
        </w:tc>
        <w:tc>
          <w:tcPr>
            <w:tcW w:type="dxa" w:w="3135"/>
            <w:shd w:val="clear" w:color="auto" w:fill="DDEBF7"/>
          </w:tcPr>
          <w:p>
            <w:r>
              <w:rPr>
                <w:rFonts w:ascii="Meiryo UI" w:hAnsi="Meiryo UI"/>
                <w:sz w:val="18"/>
              </w:rPr>
              <w:t>リアルタイム取得値</w:t>
            </w:r>
          </w:p>
        </w:tc>
      </w:tr>
      <w:tr>
        <w:tc>
          <w:tcPr>
            <w:tcW w:type="dxa" w:w="3135"/>
          </w:tcPr>
          <w:p>
            <w:r>
              <w:rPr>
                <w:rFonts w:ascii="Meiryo UI" w:hAnsi="Meiryo UI"/>
                <w:sz w:val="18"/>
              </w:rPr>
              <w:t>PER</w:t>
            </w:r>
          </w:p>
        </w:tc>
        <w:tc>
          <w:tcPr>
            <w:tcW w:type="dxa" w:w="3135"/>
          </w:tcPr>
          <w:p>
            <w:r>
              <w:rPr>
                <w:rFonts w:ascii="Meiryo UI" w:hAnsi="Meiryo UI"/>
                <w:sz w:val="18"/>
              </w:rPr>
              <w:t>11.2倍</w:t>
            </w:r>
          </w:p>
        </w:tc>
        <w:tc>
          <w:tcPr>
            <w:tcW w:type="dxa" w:w="3135"/>
          </w:tcPr>
          <w:p>
            <w:r>
              <w:rPr>
                <w:rFonts w:ascii="Meiryo UI" w:hAnsi="Meiryo UI"/>
                <w:sz w:val="18"/>
              </w:rPr>
              <w:t>リアルタイム取得値</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¥342</w:t>
            </w:r>
          </w:p>
        </w:tc>
        <w:tc>
          <w:tcPr>
            <w:tcW w:type="dxa" w:w="3135"/>
            <w:shd w:val="clear" w:color="auto" w:fill="DDEBF7"/>
          </w:tcPr>
          <w:p>
            <w:r>
              <w:rPr>
                <w:rFonts w:ascii="Meiryo UI" w:hAnsi="Meiryo UI"/>
                <w:sz w:val="18"/>
              </w:rPr>
              <w:t>リアルタイム取得値</w:t>
            </w:r>
          </w:p>
        </w:tc>
      </w:tr>
    </w:tbl>
    <w:p/>
    <w:p>
      <w:pPr>
        <w:pStyle w:val="Heading3"/>
      </w:pPr>
      <w:r>
        <w:rPr>
          <w:rFonts w:ascii="Meiryo UI" w:hAnsi="Meiryo UI"/>
          <w:color w:val="2E74B5"/>
        </w:rPr>
        <w:t>6.2 財務構造推計（公開情報ベース）</w:t>
      </w:r>
    </w:p>
    <w:p/>
    <w:p>
      <w:pPr>
        <w:shd w:val="clear" w:color="auto" w:fill="F2F2F2"/>
      </w:pPr>
      <w:r>
        <w:rPr>
          <w:rFonts w:ascii="Courier New" w:hAnsi="Courier New"/>
          <w:sz w:val="16"/>
        </w:rPr>
        <w:t>【DIC財務構造サマリー（推計）】</w:t>
        <w:br/>
        <w:br/>
        <w:t>連結売上高：      ¥10,500億</w:t>
        <w:br/>
        <w:t>営業利益：        ¥550〜630億（営業利益率 5.2〜6.0%）</w:t>
        <w:br/>
        <w:t>EBITDA：         ¥900〜1,000億（EBITDA率 8.5〜9.5%）</w:t>
        <w:br/>
        <w:t>当期純利益：      ¥245〜260億（EPS ¥342×推計株数7,239万株）</w:t>
        <w:br/>
        <w:br/>
        <w:t>純資産（自己資本）：¥3,596億（BPS¥4,973×7,239万株）</w:t>
        <w:br/>
        <w:t>自己資本比率：    約30〜33%（Sun Chemical買収後の水準）</w:t>
        <w:br/>
        <w:br/>
        <w:t>有利子負債：      ¥4,500〜5,200億（推計）</w:t>
        <w:br/>
        <w:t>ネットデット：    ¥3,800〜4,500億（現預金控除後）</w:t>
        <w:br/>
        <w:t>D/E比率：        1.25〜1.45倍（やや高め）</w:t>
        <w:br/>
        <w:br/>
        <w:t>配当金（推計）：  ¥80〜100/株（配当利回り 2.1〜2.6%）</w:t>
        <w:br/>
        <w:br/>
        <w:t>Sun Chemical買収に伴うのれん残高：</w:t>
        <w:br/>
        <w:t xml:space="preserve"> 推計：¥900〜1,200億（純資産の25〜33%）</w:t>
        <w:br/>
        <w:t xml:space="preserve"> ⚠️ 財務リスクの最大懸念事項の一つ</w:t>
      </w:r>
    </w:p>
    <w:p/>
    <w:p>
      <w:pPr>
        <w:pStyle w:val="Heading3"/>
      </w:pPr>
      <w:r>
        <w:rPr>
          <w:rFonts w:ascii="Meiryo UI" w:hAnsi="Meiryo UI"/>
          <w:color w:val="2E74B5"/>
        </w:rPr>
        <w:t>6.3 財務健全性評価</w:t>
      </w:r>
    </w:p>
    <w:p/>
    <w:p>
      <w:pPr>
        <w:shd w:val="clear" w:color="auto" w:fill="F2F2F2"/>
      </w:pPr>
      <w:r>
        <w:rPr>
          <w:rFonts w:ascii="Courier New" w:hAnsi="Courier New"/>
          <w:sz w:val="16"/>
        </w:rPr>
        <w:t>【財務健全性スコアカード】</w:t>
        <w:br/>
        <w:br/>
        <w:t>指標              水準      評価</w:t>
        <w:br/>
        <w:t>─────────────────────────────────────</w:t>
        <w:br/>
        <w:t>D/E比率          1.3倍     △（やや高い）</w:t>
        <w:br/>
        <w:t>自己資本比率     31%       △（業種平均並）</w:t>
        <w:br/>
        <w:t>インタレスト・</w:t>
        <w:br/>
        <w:t>カバレッジ・</w:t>
        <w:br/>
        <w:t>レシオ           5〜6倍    ○（問題なし）</w:t>
        <w:br/>
        <w:t>のれん/純資産    28〜33%   △（要監視）</w:t>
        <w:br/>
        <w:t>配当性向         23〜29%   ○（持続可能）</w:t>
        <w:br/>
        <w:t>ROE              7.3%      △（目標10%に未達）</w:t>
        <w:br/>
        <w:t>FCFマージン      3〜4%     △（改善余地あり）</w:t>
        <w:br/>
        <w:t>─────────────────────────────────────</w:t>
        <w:br/>
        <w:t>総合評価：BBB相当（投資適格・財務改善中）</w:t>
      </w:r>
    </w:p>
    <w:p/>
    <w:p>
      <w:r>
        <w:t>──────────────────────────────────────────────────</w:t>
      </w:r>
    </w:p>
    <w:p/>
    <w:p>
      <w:pPr>
        <w:pStyle w:val="Heading2"/>
      </w:pPr>
      <w:r>
        <w:rPr>
          <w:rFonts w:ascii="Meiryo UI" w:hAnsi="Meiryo UI"/>
          <w:color w:val="2E74B5"/>
        </w:rPr>
        <w:t>7. 不動産含み益NAV算出（トータル）</w:t>
      </w:r>
    </w:p>
    <w:p/>
    <w:p>
      <w:pPr>
        <w:pStyle w:val="Heading3"/>
      </w:pPr>
      <w:r>
        <w:rPr>
          <w:rFonts w:ascii="Meiryo UI" w:hAnsi="Meiryo UI"/>
          <w:color w:val="2E74B5"/>
        </w:rPr>
        <w:t>7.1 通常不動産（工場・本社等）</w:t>
      </w:r>
    </w:p>
    <w:p/>
    <w:p>
      <w:pPr>
        <w:shd w:val="clear" w:color="auto" w:fill="F2F2F2"/>
      </w:pPr>
      <w:r>
        <w:rPr>
          <w:rFonts w:ascii="Courier New" w:hAnsi="Courier New"/>
          <w:sz w:val="16"/>
        </w:rPr>
        <w:t>【通常不動産含み益試算】</w:t>
        <w:br/>
        <w:br/>
        <w:t>主要保有不動産：</w:t>
        <w:br/>
        <w:t xml:space="preserve"> ・本社（東京都中央区）：推計時価¥150億、簿価¥30億、含み益¥120億</w:t>
        <w:br/>
        <w:t xml:space="preserve"> ・千葉工場（市原・千葉市）：推計時価¥200億、簿価¥80億、含み益¥120億</w:t>
        <w:br/>
        <w:t xml:space="preserve"> ・埼玉工場（深谷等）：推計時価¥80億、簿価¥40億、含み益¥40億</w:t>
        <w:br/>
        <w:t xml:space="preserve"> ・その他国内工場・倉庫：推計時価¥200億、簿価¥100億、含み益¥100億</w:t>
        <w:br/>
        <w:t xml:space="preserve"> ・海外拠点（Sun Chemical等）：含み益推計¥100〜200億</w:t>
        <w:br/>
        <w:br/>
        <w:t>通常不動産含み益合計：</w:t>
        <w:br/>
        <w:t xml:space="preserve"> 保守的：¥380億</w:t>
        <w:br/>
        <w:t xml:space="preserve"> 中央値：¥480億（一株換算：¥663/株）</w:t>
        <w:br/>
        <w:t xml:space="preserve"> 積極的：¥580億</w:t>
      </w:r>
    </w:p>
    <w:p/>
    <w:p>
      <w:pPr>
        <w:pStyle w:val="Heading3"/>
      </w:pPr>
      <w:r>
        <w:rPr>
          <w:rFonts w:ascii="Meiryo UI" w:hAnsi="Meiryo UI"/>
          <w:color w:val="2E74B5"/>
        </w:rPr>
        <w:t>7.2 トータルNAV算出表</w:t>
      </w:r>
    </w:p>
    <w:p/>
    <w:p>
      <w:pPr>
        <w:shd w:val="clear" w:color="auto" w:fill="F2F2F2"/>
      </w:pPr>
      <w:r>
        <w:rPr>
          <w:rFonts w:ascii="Courier New" w:hAnsi="Courier New"/>
          <w:sz w:val="16"/>
        </w:rPr>
        <w:t>【DIC トータルNAV 総括（中央値ベース）】</w:t>
        <w:br/>
        <w:br/>
        <w:t>項目                          税前含み益    税後含み益（×0.7）  一株換算</w:t>
        <w:br/>
        <w:t>─────────────────────────────────────────────────────────────────────</w:t>
        <w:br/>
        <w:t>美術品コレクション            ¥1,425億      ¥997.5億          ¥1,378/株</w:t>
        <w:br/>
        <w:t>美術館不動産（佐倉）          ¥147.5億      ¥103.3億          ¥143/株</w:t>
        <w:br/>
        <w:t>通常不動産                    ¥480億        ¥336億            ¥464/株</w:t>
        <w:br/>
        <w:t>─────────────────────────────────────────────────────────────────────</w:t>
        <w:br/>
        <w:t>含み益合計                    ¥2,052.5億    ¥1,436.8億        ¥1,985/株</w:t>
        <w:br/>
        <w:t>─────────────────────────────────────────────────────────────────────</w:t>
        <w:br/>
        <w:t>帳簿上のBPS                   —             —                 ¥4,973/株</w:t>
        <w:br/>
        <w:t>NAV修正BPS合計                —             —                 ¥6,958/株</w:t>
        <w:br/>
        <w:t>─────────────────────────────────────────────────────────────────────</w:t>
        <w:br/>
        <w:t>現在株価                      —             —                 ¥3,818/株</w:t>
        <w:br/>
        <w:t>NAV修正後PBR                  —             —                 0.549倍</w:t>
        <w:br/>
        <w:t>帳簿上PBR（yfinance）         —             —                 0.77倍</w:t>
        <w:br/>
        <w:t>─────────────────────────────────────────────────────────────────────</w:t>
        <w:br/>
        <w:br/>
        <w:t>【結論】</w:t>
        <w:br/>
        <w:t xml:space="preserve"> 現在株価は修正NAVに対して45%ディスカウントで取引されている。</w:t>
        <w:br/>
        <w:t xml:space="preserve"> PBR 0.55倍は「解散価値の55セント」での購入を意味する。</w:t>
        <w:br/>
        <w:t xml:space="preserve"> これは相当な割安水準。</w:t>
      </w:r>
    </w:p>
    <w:p/>
    <w:p>
      <w:r>
        <w:t>──────────────────────────────────────────────────</w:t>
      </w:r>
    </w:p>
    <w:p/>
    <w:p>
      <w:pPr>
        <w:pStyle w:val="Heading2"/>
      </w:pPr>
      <w:r>
        <w:rPr>
          <w:rFonts w:ascii="Meiryo UI" w:hAnsi="Meiryo UI"/>
          <w:color w:val="2E74B5"/>
        </w:rPr>
        <w:t>8. DCF FairValue算出（3ケース）</w:t>
      </w:r>
    </w:p>
    <w:p/>
    <w:p>
      <w:pPr>
        <w:pStyle w:val="Heading3"/>
      </w:pPr>
      <w:r>
        <w:rPr>
          <w:rFonts w:ascii="Meiryo UI" w:hAnsi="Meiryo UI"/>
          <w:color w:val="2E74B5"/>
        </w:rPr>
        <w:t>8.1 共通前提条件</w:t>
      </w:r>
    </w:p>
    <w:p/>
    <w:p>
      <w:pPr>
        <w:shd w:val="clear" w:color="auto" w:fill="F2F2F2"/>
      </w:pPr>
      <w:r>
        <w:rPr>
          <w:rFonts w:ascii="Courier New" w:hAnsi="Courier New"/>
          <w:sz w:val="16"/>
        </w:rPr>
        <w:t>【DCF基本前提（全ケース共通）】</w:t>
        <w:br/>
        <w:br/>
        <w:t>リスクフリーレート（Rf）：2.411%（日本10年国債 2026-04-08）</w:t>
        <w:br/>
        <w:t>ERP（エクイティリスクプレミアム）：5.5%（日本市場標準）</w:t>
        <w:br/>
        <w:t>β（ベータ）：0.85（化学セクター大型株、市場比やや低リスク）</w:t>
        <w:br/>
        <w:t>株主資本コスト：Re = 2.411% + 0.85 × 5.5% = 2.411% + 4.675% = 7.086%</w:t>
        <w:br/>
        <w:br/>
        <w:t>資本構成：</w:t>
        <w:br/>
        <w:t xml:space="preserve"> 自己資本比率（E/V）：40%（純資産÷総資産、修正後推計）</w:t>
        <w:br/>
        <w:t xml:space="preserve"> 負債比率（D/V）：60%</w:t>
        <w:br/>
        <w:t xml:space="preserve"> 負債コスト（Rd）：1.8%（現在の借入金利推計）</w:t>
        <w:br/>
        <w:t xml:space="preserve"> 実効税率（Tc）：30%</w:t>
        <w:br/>
        <w:br/>
        <w:t>WACC計算：</w:t>
        <w:br/>
        <w:t xml:space="preserve"> = E/V × Re + D/V × Rd × (1-Tc)</w:t>
        <w:br/>
        <w:t xml:space="preserve"> = 0.40 × 7.086% + 0.60 × 1.8% × 0.70</w:t>
        <w:br/>
        <w:t xml:space="preserve"> = 2.834% + 0.756%</w:t>
        <w:br/>
        <w:t xml:space="preserve"> = 3.590% ≈ 3.60%</w:t>
        <w:br/>
        <w:br/>
        <w:t>永続成長率（g）：</w:t>
        <w:br/>
        <w:t xml:space="preserve"> 強気：1.5%、ベース：0.8%、弱気：0.2%</w:t>
        <w:br/>
        <w:br/>
        <w:t>発行済株式数：7,239万株（推計）</w:t>
      </w:r>
    </w:p>
    <w:p/>
    <w:p>
      <w:pPr>
        <w:pStyle w:val="Heading3"/>
      </w:pPr>
      <w:r>
        <w:rPr>
          <w:rFonts w:ascii="Meiryo UI" w:hAnsi="Meiryo UI"/>
          <w:color w:val="2E74B5"/>
        </w:rPr>
        <w:t>8.2 強気シナリオ（A）</w:t>
      </w:r>
    </w:p>
    <w:p/>
    <w:p>
      <w:r>
        <w:rPr>
          <w:rFonts w:ascii="Meiryo UI" w:hAnsi="Meiryo UI"/>
          <w:sz w:val="20"/>
        </w:rPr>
        <w:t>前提： エポキシ樹脂値上げ定着×AI封止材需要急拡大×美術館資産一部放出</w:t>
      </w:r>
    </w:p>
    <w:p/>
    <w:p>
      <w:pPr>
        <w:shd w:val="clear" w:color="auto" w:fill="F2F2F2"/>
      </w:pPr>
      <w:r>
        <w:rPr>
          <w:rFonts w:ascii="Courier New" w:hAnsi="Courier New"/>
          <w:sz w:val="16"/>
        </w:rPr>
        <w:t>【強気シナリオ DCF】</w:t>
        <w:br/>
        <w:br/>
        <w:t>収益前提：</w:t>
        <w:br/>
        <w:t xml:space="preserve"> FY2025E売上高：¥11,500億（値上げ+AI需要 +9.5%）</w:t>
        <w:br/>
        <w:t xml:space="preserve"> FY2025E営業利益：¥750億（OPM 6.5%）</w:t>
        <w:br/>
        <w:t xml:space="preserve"> FY2025E EBITDA：¥1,150億</w:t>
        <w:br/>
        <w:t xml:space="preserve"> FY2025E FCF：¥550億</w:t>
        <w:br/>
        <w:br/>
        <w:t>成長率前提（5年間）：</w:t>
        <w:br/>
        <w:t xml:space="preserve"> Year 1-2：EBITDA年率成長 +12%（値上げ定着+AI急拡大）</w:t>
        <w:br/>
        <w:t xml:space="preserve"> Year 3-5：EBITDA年率成長 +6%（AI需要の構造的継続）</w:t>
        <w:br/>
        <w:t xml:space="preserve"> Terminal成長率：1.5%</w:t>
        <w:br/>
        <w:br/>
        <w:t>DCF計算：</w:t>
        <w:br/>
        <w:t xml:space="preserve"> Year1 FCF：¥550億</w:t>
        <w:br/>
        <w:t xml:space="preserve"> Year2 FCF：¥616億</w:t>
        <w:br/>
        <w:t xml:space="preserve"> Year3 FCF：¥653億</w:t>
        <w:br/>
        <w:t xml:space="preserve"> Year4 FCF：¥692億</w:t>
        <w:br/>
        <w:t xml:space="preserve"> Year5 FCF：¥734億</w:t>
        <w:br/>
        <w:t xml:space="preserve"> Terminal Value：¥734億 × (1+1.5%) / (3.60%-1.5%) = ¥734億×1.015/0.021 = ¥35,481億</w:t>
        <w:br/>
        <w:br/>
        <w:t>現在価値：</w:t>
        <w:br/>
        <w:t xml:space="preserve"> PV(FCF)：¥2,635億（5年分）</w:t>
        <w:br/>
        <w:t xml:space="preserve"> PV(TV) ：¥29,600億（@WACC 3.60%で5年割引）</w:t>
        <w:br/>
        <w:t xml:space="preserve"> エンタープライズバリュー：¥32,235億</w:t>
        <w:br/>
        <w:br/>
        <w:t>ネットデット控除（¥4,200億）：</w:t>
        <w:br/>
        <w:t xml:space="preserve"> エクイティバリュー：¥32,235億 - ¥4,200億 = ¥28,035億</w:t>
        <w:br/>
        <w:br/>
        <w:t>美術館資産放出（20%売却、税後¥210億）加算後：</w:t>
        <w:br/>
        <w:t xml:space="preserve"> エクイティバリュー：¥28,035億 + ¥210億 = ¥28,245億</w:t>
        <w:br/>
        <w:br/>
        <w:t>一株理論価値：¥28,245億 ÷ 7,239万株 = ¥3,902/株</w:t>
        <w:br/>
        <w:br/>
        <w:t>【重要修正：NAV含み益を加算した場合】</w:t>
        <w:br/>
        <w:t>上記は純粋DCFベース。含み益を別途加算する方法も採用：</w:t>
        <w:br/>
        <w:br/>
        <w:t>純粋DCF値：¥3,902/株</w:t>
        <w:br/>
        <w:t>美術館含み益（一株，税後×確率加重）：+¥550/株（B+Cシナリオ加重）</w:t>
        <w:br/>
        <w:t>不動産含み益（一株，税後）：+¥607/株</w:t>
        <w:br/>
        <w:t>NAV込み強気理論株価：¥3,902 + ¥1,157 = ¥5,059/株</w:t>
        <w:br/>
        <w:br/>
        <w:t>保守的DCFベース（TV多めに控除）：¥4,800〜5,200/株</w:t>
        <w:br/>
        <w:br/>
        <w:t>【強気シナリオFairValue：¥5,200（NAV込み）〜¥6,800（アクティビスト介入込み）】</w:t>
        <w:br/>
        <w:t>現在株価比乖離率：+36%〜+78%</w:t>
      </w:r>
    </w:p>
    <w:p/>
    <w:p>
      <w:pPr>
        <w:pStyle w:val="Heading3"/>
      </w:pPr>
      <w:r>
        <w:rPr>
          <w:rFonts w:ascii="Meiryo UI" w:hAnsi="Meiryo UI"/>
          <w:color w:val="2E74B5"/>
        </w:rPr>
        <w:t>8.3 ベースシナリオ（B）</w:t>
      </w:r>
    </w:p>
    <w:p/>
    <w:p>
      <w:r>
        <w:rPr>
          <w:rFonts w:ascii="Meiryo UI" w:hAnsi="Meiryo UI"/>
          <w:sz w:val="20"/>
        </w:rPr>
        <w:t>前提： 値上げ部分定着×AI封止材は安定成長×美術館現状維持</w:t>
      </w:r>
    </w:p>
    <w:p/>
    <w:p>
      <w:pPr>
        <w:shd w:val="clear" w:color="auto" w:fill="F2F2F2"/>
      </w:pPr>
      <w:r>
        <w:rPr>
          <w:rFonts w:ascii="Courier New" w:hAnsi="Courier New"/>
          <w:sz w:val="16"/>
        </w:rPr>
        <w:t>【ベースシナリオ DCF】</w:t>
        <w:br/>
        <w:br/>
        <w:t>収益前提：</w:t>
        <w:br/>
        <w:t xml:space="preserve"> FY2025E売上高：¥10,900億（+3.8%）</w:t>
        <w:br/>
        <w:t xml:space="preserve"> FY2025E営業利益：¥630億（OPM 5.8%）</w:t>
        <w:br/>
        <w:t xml:space="preserve"> FY2025E EBITDA：¥1,020億</w:t>
        <w:br/>
        <w:t xml:space="preserve"> FY2025E FCF：¥420億</w:t>
        <w:br/>
        <w:br/>
        <w:t>成長率前提：</w:t>
        <w:br/>
        <w:t xml:space="preserve"> Year 1-2：FCF年率成長 +5%</w:t>
        <w:br/>
        <w:t xml:space="preserve"> Year 3-5：FCF年率成長 +3%</w:t>
        <w:br/>
        <w:t xml:space="preserve"> Terminal成長率：0.8%</w:t>
        <w:br/>
        <w:br/>
        <w:t>DCF計算：</w:t>
        <w:br/>
        <w:t xml:space="preserve"> Year1-5 FCF合計PV：¥1,968億</w:t>
        <w:br/>
        <w:t xml:space="preserve"> Terminal Value：¥420億×1.05^2×1.03^3×(1+0.8%)/(3.60%-0.8%)</w:t>
        <w:br/>
        <w:t xml:space="preserve">                = ¥491億/0.028 = ¥17,536億</w:t>
        <w:br/>
        <w:t xml:space="preserve"> PV(TV)：¥14,800億</w:t>
        <w:br/>
        <w:br/>
        <w:t>エンタープライズバリュー：¥16,768億</w:t>
        <w:br/>
        <w:t>ネットデット控除（¥4,200億）：</w:t>
        <w:br/>
        <w:t xml:space="preserve"> エクイティバリュー：¥12,568億</w:t>
        <w:br/>
        <w:br/>
        <w:t>美術館（現状維持、維持コスト考慮のみ）：±¥0（中立）</w:t>
        <w:br/>
        <w:t>不動産含み益（一株，税後，保守的）：+¥325/株</w:t>
        <w:br/>
        <w:br/>
        <w:t>一株純粋DCF：¥12,568億 ÷ 7,239万株 = ¥1,736/株</w:t>
        <w:br/>
        <w:t>不動産含み益加算：¥1,736 + ¥325 = ¥2,061/株</w:t>
        <w:br/>
        <w:br/>
        <w:t>⚠️ 純粋DCFのみでは株価を説明できない（¥1,736）</w:t>
        <w:br/>
        <w:t>これは通常の化学企業DCFがPBRディスカウント銘柄において</w:t>
        <w:br/>
        <w:t>「清算価値」を下回るため。</w:t>
        <w:br/>
        <w:br/>
        <w:t>より現実的なアプローチ（NAV×DCF混合）：</w:t>
        <w:br/>
        <w:t xml:space="preserve"> 帳簿BPS：¥4,973</w:t>
        <w:br/>
        <w:t xml:space="preserve"> 不動産含み益（一株，税後）：+¥607</w:t>
        <w:br/>
        <w:t xml:space="preserve"> 美術館含み益（確率加重，税後）：+¥400（維持シナリオ込み）</w:t>
        <w:br/>
        <w:t xml:space="preserve"> 修正NAV：¥5,980/株</w:t>
        <w:br/>
        <w:t xml:space="preserve"> 適正PBR（ROE 7.3%, Re 7.086%, g=0.8%）：</w:t>
        <w:br/>
        <w:t xml:space="preserve">   → Gordonモデル：ROE/Re×(1-留保比率)考慮</w:t>
        <w:br/>
        <w:t xml:space="preserve">   → P/B = (ROE-g)/(Re-g) = (7.3%-0.8%)/(7.086%-0.8%) = 6.5%/6.286% = 1.034倍</w:t>
        <w:br/>
        <w:t xml:space="preserve">   → しかし実態は割引が必要：0.85倍（流動性・のれんリスク考慮）</w:t>
        <w:br/>
        <w:t xml:space="preserve">   修正NAV×適正PBR：¥5,980 × 0.85 = ¥5,083/株</w:t>
        <w:br/>
        <w:br/>
        <w:t>【ベースシナリオFairValue：¥4,900〜¥5,400】</w:t>
        <w:br/>
        <w:t>現在株価比乖離率：+28%〜+41%</w:t>
      </w:r>
    </w:p>
    <w:p/>
    <w:p>
      <w:pPr>
        <w:pStyle w:val="Heading3"/>
      </w:pPr>
      <w:r>
        <w:rPr>
          <w:rFonts w:ascii="Meiryo UI" w:hAnsi="Meiryo UI"/>
          <w:color w:val="2E74B5"/>
        </w:rPr>
        <w:t>8.4 弱気シナリオ（C）</w:t>
      </w:r>
    </w:p>
    <w:p/>
    <w:p>
      <w:r>
        <w:rPr>
          <w:rFonts w:ascii="Meiryo UI" w:hAnsi="Meiryo UI"/>
          <w:sz w:val="20"/>
        </w:rPr>
        <w:t>前提： 停戦でナフサ急落→値上げ撤回×印刷インキ長期逓減×美術館維持コスト増</w:t>
      </w:r>
    </w:p>
    <w:p/>
    <w:p>
      <w:pPr>
        <w:shd w:val="clear" w:color="auto" w:fill="F2F2F2"/>
      </w:pPr>
      <w:r>
        <w:rPr>
          <w:rFonts w:ascii="Courier New" w:hAnsi="Courier New"/>
          <w:sz w:val="16"/>
        </w:rPr>
        <w:t>【弱気シナリオ DCF】</w:t>
        <w:br/>
        <w:br/>
        <w:t>収益前提：</w:t>
        <w:br/>
        <w:t xml:space="preserve"> FY2025E売上高：¥10,000億（値上げ撤回+インキ逓減）</w:t>
        <w:br/>
        <w:t xml:space="preserve"> FY2025E営業利益：¥450億（OPM 4.5%）</w:t>
        <w:br/>
        <w:t xml:space="preserve"> FY2025E EBITDA：¥820億</w:t>
        <w:br/>
        <w:t xml:space="preserve"> FY2025E FCF：¥280億</w:t>
        <w:br/>
        <w:br/>
        <w:t>成長率前提：</w:t>
        <w:br/>
        <w:t xml:space="preserve"> Year 1-5：FCF年率▲1〜+1%（ほぼ横ばい〜微減）</w:t>
        <w:br/>
        <w:t xml:space="preserve"> Terminal成長率：0.2%</w:t>
        <w:br/>
        <w:br/>
        <w:t>DCF計算：</w:t>
        <w:br/>
        <w:t xml:space="preserve"> Year1-5 FCF PV：¥1,280億</w:t>
        <w:br/>
        <w:t xml:space="preserve"> TV：¥280億/(3.60%-0.2%) = ¥280億/0.034 = ¥8,235億</w:t>
        <w:br/>
        <w:t xml:space="preserve"> PV(TV)：¥6,900億</w:t>
        <w:br/>
        <w:br/>
        <w:t>エンタープライズバリュー：¥8,180億</w:t>
        <w:br/>
        <w:t>ネットデット（¥4,500億，悪化シナリオ）控除：</w:t>
        <w:br/>
        <w:t xml:space="preserve"> エクイティバリュー：¥3,680億</w:t>
        <w:br/>
        <w:br/>
        <w:t>一株理論DCF：¥3,680億 ÷ 7,239万株 = ¥508/株</w:t>
        <w:br/>
        <w:br/>
        <w:t>⚠️ 弱気DCFが清算価値を大幅に下回るため、修正が必要</w:t>
        <w:br/>
        <w:t>下限：帳簿BPS（¥4,973）の60〜70% = ¥2,984〜¥3,481（清算価値的下限）</w:t>
        <w:br/>
        <w:br/>
        <w:t>のれん減損（¥600億想定）時の修正BPS：</w:t>
        <w:br/>
        <w:t xml:space="preserve"> ¥4,973 - ¥600億/7,239万株 = ¥4,973 - ¥829 = ¥4,144</w:t>
        <w:br/>
        <w:br/>
        <w:t>修正後弱気BPS：¥4,144</w:t>
        <w:br/>
        <w:t>弱気PBR（0.65倍適用）：¥4,144 × 0.65 = ¥2,694/株</w:t>
        <w:br/>
        <w:br/>
        <w:t>美術館維持コスト増：▲¥14/株/年（継続的マイナス）</w:t>
        <w:br/>
        <w:t>10年NPV：▲¥119/株</w:t>
        <w:br/>
        <w:br/>
        <w:t>【弱気シナリオFairValue：¥2,600〜¥3,000】</w:t>
        <w:br/>
        <w:t>現在株価比乖離率：▲21%〜▲32%</w:t>
      </w:r>
    </w:p>
    <w:p/>
    <w:p>
      <w:pPr>
        <w:pStyle w:val="Heading3"/>
      </w:pPr>
      <w:r>
        <w:rPr>
          <w:rFonts w:ascii="Meiryo UI" w:hAnsi="Meiryo UI"/>
          <w:color w:val="2E74B5"/>
        </w:rPr>
        <w:t>8.5 シナリオ比較サマリー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FairValue</w:t>
            </w:r>
          </w:p>
        </w:tc>
        <w:tc>
          <w:tcPr>
            <w:tcW w:type="dxa" w:w="2351"/>
            <w:shd w:val="clear" w:color="auto" w:fill="2E74B5"/>
          </w:tcPr>
          <w:p>
            <w:r>
              <w:rPr>
                <w:rFonts w:ascii="Meiryo UI" w:hAnsi="Meiryo UI"/>
                <w:b/>
                <w:color w:val="FFFFFF"/>
                <w:sz w:val="18"/>
              </w:rPr>
              <w:t>現在株価比</w:t>
            </w:r>
          </w:p>
        </w:tc>
        <w:tc>
          <w:tcPr>
            <w:tcW w:type="dxa" w:w="2351"/>
            <w:shd w:val="clear" w:color="auto" w:fill="2E74B5"/>
          </w:tcPr>
          <w:p>
            <w:r>
              <w:rPr>
                <w:rFonts w:ascii="Meiryo UI" w:hAnsi="Meiryo UI"/>
                <w:b/>
                <w:color w:val="FFFFFF"/>
                <w:sz w:val="18"/>
              </w:rPr>
              <w:t>確率（深井主観）</w:t>
            </w:r>
          </w:p>
        </w:tc>
      </w:tr>
      <w:tr>
        <w:tc>
          <w:tcPr>
            <w:tcW w:type="dxa" w:w="2351"/>
          </w:tcPr>
          <w:p>
            <w:r>
              <w:rPr>
                <w:rFonts w:ascii="Meiryo UI" w:hAnsi="Meiryo UI"/>
                <w:sz w:val="18"/>
              </w:rPr>
              <w:t>強気（A）</w:t>
            </w:r>
          </w:p>
        </w:tc>
        <w:tc>
          <w:tcPr>
            <w:tcW w:type="dxa" w:w="2351"/>
          </w:tcPr>
          <w:p>
            <w:r>
              <w:rPr>
                <w:rFonts w:ascii="Meiryo UI" w:hAnsi="Meiryo UI"/>
                <w:sz w:val="18"/>
              </w:rPr>
              <w:t>¥5,200〜¥6,800</w:t>
            </w:r>
          </w:p>
        </w:tc>
        <w:tc>
          <w:tcPr>
            <w:tcW w:type="dxa" w:w="2351"/>
          </w:tcPr>
          <w:p>
            <w:r>
              <w:rPr>
                <w:rFonts w:ascii="Meiryo UI" w:hAnsi="Meiryo UI"/>
                <w:sz w:val="18"/>
              </w:rPr>
              <w:t>+36%〜+78%</w:t>
            </w:r>
          </w:p>
        </w:tc>
        <w:tc>
          <w:tcPr>
            <w:tcW w:type="dxa" w:w="2351"/>
          </w:tcPr>
          <w:p>
            <w:r>
              <w:rPr>
                <w:rFonts w:ascii="Meiryo UI" w:hAnsi="Meiryo UI"/>
                <w:sz w:val="18"/>
              </w:rPr>
              <w:t>35%</w:t>
            </w:r>
          </w:p>
        </w:tc>
      </w:tr>
      <w:tr>
        <w:tc>
          <w:tcPr>
            <w:tcW w:type="dxa" w:w="2351"/>
            <w:shd w:val="clear" w:color="auto" w:fill="DDEBF7"/>
          </w:tcPr>
          <w:p>
            <w:r>
              <w:rPr>
                <w:rFonts w:ascii="Meiryo UI" w:hAnsi="Meiryo UI"/>
                <w:sz w:val="18"/>
              </w:rPr>
              <w:t>ベース（B）</w:t>
            </w:r>
          </w:p>
        </w:tc>
        <w:tc>
          <w:tcPr>
            <w:tcW w:type="dxa" w:w="2351"/>
            <w:shd w:val="clear" w:color="auto" w:fill="DDEBF7"/>
          </w:tcPr>
          <w:p>
            <w:r>
              <w:rPr>
                <w:rFonts w:ascii="Meiryo UI" w:hAnsi="Meiryo UI"/>
                <w:sz w:val="18"/>
              </w:rPr>
              <w:t>¥4,900〜¥5,400</w:t>
            </w:r>
          </w:p>
        </w:tc>
        <w:tc>
          <w:tcPr>
            <w:tcW w:type="dxa" w:w="2351"/>
            <w:shd w:val="clear" w:color="auto" w:fill="DDEBF7"/>
          </w:tcPr>
          <w:p>
            <w:r>
              <w:rPr>
                <w:rFonts w:ascii="Meiryo UI" w:hAnsi="Meiryo UI"/>
                <w:sz w:val="18"/>
              </w:rPr>
              <w:t>+28%〜+41%</w:t>
            </w:r>
          </w:p>
        </w:tc>
        <w:tc>
          <w:tcPr>
            <w:tcW w:type="dxa" w:w="2351"/>
            <w:shd w:val="clear" w:color="auto" w:fill="DDEBF7"/>
          </w:tcPr>
          <w:p>
            <w:r>
              <w:rPr>
                <w:rFonts w:ascii="Meiryo UI" w:hAnsi="Meiryo UI"/>
                <w:sz w:val="18"/>
              </w:rPr>
              <w:t>45%</w:t>
            </w:r>
          </w:p>
        </w:tc>
      </w:tr>
      <w:tr>
        <w:tc>
          <w:tcPr>
            <w:tcW w:type="dxa" w:w="2351"/>
          </w:tcPr>
          <w:p>
            <w:r>
              <w:rPr>
                <w:rFonts w:ascii="Meiryo UI" w:hAnsi="Meiryo UI"/>
                <w:sz w:val="18"/>
              </w:rPr>
              <w:t>弱気（C）</w:t>
            </w:r>
          </w:p>
        </w:tc>
        <w:tc>
          <w:tcPr>
            <w:tcW w:type="dxa" w:w="2351"/>
          </w:tcPr>
          <w:p>
            <w:r>
              <w:rPr>
                <w:rFonts w:ascii="Meiryo UI" w:hAnsi="Meiryo UI"/>
                <w:sz w:val="18"/>
              </w:rPr>
              <w:t>¥2,600〜¥3,000</w:t>
            </w:r>
          </w:p>
        </w:tc>
        <w:tc>
          <w:tcPr>
            <w:tcW w:type="dxa" w:w="2351"/>
          </w:tcPr>
          <w:p>
            <w:r>
              <w:rPr>
                <w:rFonts w:ascii="Meiryo UI" w:hAnsi="Meiryo UI"/>
                <w:sz w:val="18"/>
              </w:rPr>
              <w:t>▲21%〜▲32%</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加重平均</w:t>
            </w:r>
          </w:p>
        </w:tc>
        <w:tc>
          <w:tcPr>
            <w:tcW w:type="dxa" w:w="2351"/>
            <w:shd w:val="clear" w:color="auto" w:fill="DDEBF7"/>
          </w:tcPr>
          <w:p>
            <w:r>
              <w:rPr>
                <w:rFonts w:ascii="Meiryo UI" w:hAnsi="Meiryo UI"/>
                <w:sz w:val="18"/>
              </w:rPr>
              <w:t>¥4,640〜¥5,120</w:t>
            </w:r>
          </w:p>
        </w:tc>
        <w:tc>
          <w:tcPr>
            <w:tcW w:type="dxa" w:w="2351"/>
            <w:shd w:val="clear" w:color="auto" w:fill="DDEBF7"/>
          </w:tcPr>
          <w:p>
            <w:r>
              <w:rPr>
                <w:rFonts w:ascii="Meiryo UI" w:hAnsi="Meiryo UI"/>
                <w:sz w:val="18"/>
              </w:rPr>
              <w:t>+21%〜+34%</w:t>
            </w:r>
          </w:p>
        </w:tc>
        <w:tc>
          <w:tcPr>
            <w:tcW w:type="dxa" w:w="2351"/>
            <w:shd w:val="clear" w:color="auto" w:fill="DDEBF7"/>
          </w:tcPr>
          <w:p>
            <w:r>
              <w:rPr>
                <w:rFonts w:ascii="Meiryo UI" w:hAnsi="Meiryo UI"/>
                <w:sz w:val="18"/>
              </w:rPr>
              <w:t>100%</w:t>
            </w:r>
          </w:p>
        </w:tc>
      </w:tr>
    </w:tbl>
    <w:p/>
    <w:p>
      <w:r>
        <w:rPr>
          <w:rFonts w:ascii="Meiryo UI" w:hAnsi="Meiryo UI"/>
          <w:sz w:val="20"/>
        </w:rPr>
        <w:t>→ 加重平均FairValueは¥4,800（概算）。現在株価¥3,818比+26%の上昇余地。</w:t>
      </w:r>
    </w:p>
    <w:p/>
    <w:p>
      <w:r>
        <w:t>──────────────────────────────────────────────────</w:t>
      </w:r>
    </w:p>
    <w:p/>
    <w:p>
      <w:pPr>
        <w:pStyle w:val="Heading2"/>
      </w:pPr>
      <w:r>
        <w:rPr>
          <w:rFonts w:ascii="Meiryo UI" w:hAnsi="Meiryo UI"/>
          <w:color w:val="2E74B5"/>
        </w:rPr>
        <w:t>9. リスクシナリオ・定量ストレステスト</w:t>
      </w:r>
    </w:p>
    <w:p/>
    <w:p>
      <w:pPr>
        <w:pStyle w:val="Heading3"/>
      </w:pPr>
      <w:r>
        <w:rPr>
          <w:rFonts w:ascii="Meiryo UI" w:hAnsi="Meiryo UI"/>
          <w:color w:val="2E74B5"/>
        </w:rPr>
        <w:t>リスク1：停戦長期化でナフサ急落→値上げ撤回</w:t>
      </w:r>
    </w:p>
    <w:p/>
    <w:p>
      <w:pPr>
        <w:shd w:val="clear" w:color="auto" w:fill="F2F2F2"/>
      </w:pPr>
      <w:r>
        <w:rPr>
          <w:rFonts w:ascii="Courier New" w:hAnsi="Courier New"/>
          <w:sz w:val="16"/>
        </w:rPr>
        <w:t>シナリオ：ホルムズ封鎖解除でWTI $60→$55/bbl</w:t>
        <w:br/>
        <w:t>ナフサ影響：¥55,000/t（現在¥85,000から▲35%）</w:t>
        <w:br/>
        <w:t>値上げ撤回圧力：顧客交渉で7割撤回想定</w:t>
        <w:br/>
        <w:br/>
        <w:t>DICへの影響：</w:t>
        <w:br/>
        <w:t xml:space="preserve"> 値上げ効果消失（▲¥67.5億/年）</w:t>
        <w:br/>
        <w:t xml:space="preserve"> ナフサ低下によるコスト改善（+¥50億/年）</w:t>
        <w:br/>
        <w:t xml:space="preserve"> ネット：▲¥17.5億/年</w:t>
        <w:br/>
        <w:t xml:space="preserve"> EPS影響：▲¥17/株（▲5%）</w:t>
        <w:br/>
        <w:br/>
        <w:t>株価への影響推定：▲¥200〜¥300/株（▲5〜8%）</w:t>
        <w:br/>
        <w:t>リスク深刻度：中（EPS影響は限定的。ナフサ低下は一定の緩衝効果）</w:t>
      </w:r>
    </w:p>
    <w:p/>
    <w:p>
      <w:pPr>
        <w:pStyle w:val="Heading3"/>
      </w:pPr>
      <w:r>
        <w:rPr>
          <w:rFonts w:ascii="Meiryo UI" w:hAnsi="Meiryo UI"/>
          <w:color w:val="2E74B5"/>
        </w:rPr>
        <w:t>リスク2：競合との封止材価格競争激化</w:t>
      </w:r>
    </w:p>
    <w:p/>
    <w:p>
      <w:pPr>
        <w:shd w:val="clear" w:color="auto" w:fill="F2F2F2"/>
      </w:pPr>
      <w:r>
        <w:rPr>
          <w:rFonts w:ascii="Courier New" w:hAnsi="Courier New"/>
          <w:sz w:val="16"/>
        </w:rPr>
        <w:t>シナリオ：住友ベークライト・昭和電工マテリアルが値引き攻勢</w:t>
        <w:br/>
        <w:t>DIC封止材シェア▲2〜3%p喪失</w:t>
        <w:br/>
        <w:br/>
        <w:t>影響：</w:t>
        <w:br/>
        <w:t xml:space="preserve"> 封止材売上減少：¥30〜50億/年</w:t>
        <w:br/>
        <w:t xml:space="preserve"> マージン低下：OPM▲0.5%p</w:t>
        <w:br/>
        <w:t xml:space="preserve"> EPS影響：▲¥20〜¥30/株</w:t>
        <w:br/>
        <w:br/>
        <w:t>株価影響：▲¥200〜¥340/株（▲5〜9%）</w:t>
        <w:br/>
        <w:t>リスク深刻度：中（ただし原料供給者としての立場は維持）</w:t>
      </w:r>
    </w:p>
    <w:p/>
    <w:p>
      <w:pPr>
        <w:pStyle w:val="Heading3"/>
      </w:pPr>
      <w:r>
        <w:rPr>
          <w:rFonts w:ascii="Meiryo UI" w:hAnsi="Meiryo UI"/>
          <w:color w:val="2E74B5"/>
        </w:rPr>
        <w:t>リスク3：印刷インキ事業の長期逓減加速</w:t>
      </w:r>
    </w:p>
    <w:p/>
    <w:p>
      <w:pPr>
        <w:shd w:val="clear" w:color="auto" w:fill="F2F2F2"/>
      </w:pPr>
      <w:r>
        <w:rPr>
          <w:rFonts w:ascii="Courier New" w:hAnsi="Courier New"/>
          <w:sz w:val="16"/>
        </w:rPr>
        <w:t>シナリオ：デジタル化加速でインキ量▲8%/年（現行▲4%）</w:t>
        <w:br/>
        <w:t>Sun Chemical の北米・欧州での構造縮小</w:t>
        <w:br/>
        <w:br/>
        <w:t>5年間影響：</w:t>
        <w:br/>
        <w:t xml:space="preserve"> 売上影響：累積▲¥1,500〜2,000億</w:t>
        <w:br/>
        <w:t xml:space="preserve"> 固定費デレバレッジで利益率▲2〜3%p</w:t>
        <w:br/>
        <w:t xml:space="preserve"> EPS影響：▲¥60〜¥90/株（▲17〜26%、5年累計）</w:t>
        <w:br/>
        <w:br/>
        <w:t>株価影響（5年後）：▲¥700〜¥1,000/株（長期・段階的）</w:t>
        <w:br/>
        <w:t>リスク深刻度：中〜高（構造リスクだが緩慢）</w:t>
      </w:r>
    </w:p>
    <w:p/>
    <w:p>
      <w:pPr>
        <w:pStyle w:val="Heading3"/>
      </w:pPr>
      <w:r>
        <w:rPr>
          <w:rFonts w:ascii="Meiryo UI" w:hAnsi="Meiryo UI"/>
          <w:color w:val="2E74B5"/>
        </w:rPr>
        <w:t>リスク4：Sun Chemicalのれん減損リスク</w:t>
      </w:r>
    </w:p>
    <w:p/>
    <w:p>
      <w:pPr>
        <w:shd w:val="clear" w:color="auto" w:fill="F2F2F2"/>
      </w:pPr>
      <w:r>
        <w:rPr>
          <w:rFonts w:ascii="Courier New" w:hAnsi="Courier New"/>
          <w:sz w:val="16"/>
        </w:rPr>
        <w:t>シナリオ：グローバル景気後退、北米・欧州インキ市況悪化</w:t>
        <w:br/>
        <w:t>のれん減損テスト：帳簿価値¥1,000億に対し公正価値¥400億に下落</w:t>
        <w:br/>
        <w:br/>
        <w:t>減損損失想定：¥600億</w:t>
        <w:br/>
        <w:t xml:space="preserve"> 1株あたりBPS毀損：¥600億/7,239万株 = ▲¥829/株</w:t>
        <w:br/>
        <w:t xml:space="preserve"> 当期純損失への影響：▲¥600億（EPS▲¥829）</w:t>
        <w:br/>
        <w:br/>
        <w:t>修正後BPS：¥4,973 - ¥829 = ¥4,144</w:t>
        <w:br/>
        <w:t>株価影響：帳簿割れのリスクが顕在化</w:t>
        <w:br/>
        <w:t xml:space="preserve">           ¥3,818 → ¥3,000〜¥3,200（▲16〜21%）</w:t>
        <w:br/>
        <w:br/>
        <w:t>リスク深刻度：高（最大のテールリスク）</w:t>
        <w:br/>
        <w:t>発現確率：15〜20%（景気悪化シナリオ下）</w:t>
      </w:r>
    </w:p>
    <w:p/>
    <w:p>
      <w:pPr>
        <w:pStyle w:val="Heading3"/>
      </w:pPr>
      <w:r>
        <w:rPr>
          <w:rFonts w:ascii="Meiryo UI" w:hAnsi="Meiryo UI"/>
          <w:color w:val="2E74B5"/>
        </w:rPr>
        <w:t>リスク5：川村記念美術館の維持コスト</w:t>
      </w:r>
    </w:p>
    <w:p/>
    <w:p>
      <w:pPr>
        <w:shd w:val="clear" w:color="auto" w:fill="F2F2F2"/>
      </w:pPr>
      <w:r>
        <w:rPr>
          <w:rFonts w:ascii="Courier New" w:hAnsi="Courier New"/>
          <w:sz w:val="16"/>
        </w:rPr>
        <w:t>現状推計：</w:t>
        <w:br/>
        <w:t xml:space="preserve"> 年間運営コスト：¥10〜15億（スタッフ・警備・保険・修繕等）</w:t>
        <w:br/>
        <w:t xml:space="preserve"> 年間収入：¥0（2025年1月休館中）</w:t>
        <w:br/>
        <w:t xml:space="preserve"> 年間赤字：▲¥10〜15億（休館中は経費のみ）</w:t>
        <w:br/>
        <w:br/>
        <w:t>5年間累積赤字：▲¥50〜75億</w:t>
        <w:br/>
        <w:t>1株あたり：▲¥7〜¥10/株（年間）</w:t>
        <w:br/>
        <w:br/>
        <w:t>売却もせず再開もしない「塩漬け」シナリオは</w:t>
        <w:br/>
        <w:t>維持コストが累積してROEを継続的に引き下げる。</w:t>
        <w:br/>
        <w:br/>
        <w:t>リスク深刻度：低〜中（金額は小さいがROEへの心理的影響大）</w:t>
      </w:r>
    </w:p>
    <w:p/>
    <w:p>
      <w:pPr>
        <w:pStyle w:val="Heading3"/>
      </w:pPr>
      <w:r>
        <w:rPr>
          <w:rFonts w:ascii="Meiryo UI" w:hAnsi="Meiryo UI"/>
          <w:color w:val="2E74B5"/>
        </w:rPr>
        <w:t>ストレステスト総括</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w:t>
            </w:r>
          </w:p>
        </w:tc>
        <w:tc>
          <w:tcPr>
            <w:tcW w:type="dxa" w:w="1881"/>
            <w:shd w:val="clear" w:color="auto" w:fill="2E74B5"/>
          </w:tcPr>
          <w:p>
            <w:r>
              <w:rPr>
                <w:rFonts w:ascii="Meiryo UI" w:hAnsi="Meiryo UI"/>
                <w:b/>
                <w:color w:val="FFFFFF"/>
                <w:sz w:val="18"/>
              </w:rPr>
              <w:t>EPS影響</w:t>
            </w:r>
          </w:p>
        </w:tc>
        <w:tc>
          <w:tcPr>
            <w:tcW w:type="dxa" w:w="1881"/>
            <w:shd w:val="clear" w:color="auto" w:fill="2E74B5"/>
          </w:tcPr>
          <w:p>
            <w:r>
              <w:rPr>
                <w:rFonts w:ascii="Meiryo UI" w:hAnsi="Meiryo UI"/>
                <w:b/>
                <w:color w:val="FFFFFF"/>
                <w:sz w:val="18"/>
              </w:rPr>
              <w:t>株価影響</w:t>
            </w:r>
          </w:p>
        </w:tc>
        <w:tc>
          <w:tcPr>
            <w:tcW w:type="dxa" w:w="1881"/>
            <w:shd w:val="clear" w:color="auto" w:fill="2E74B5"/>
          </w:tcPr>
          <w:p>
            <w:r>
              <w:rPr>
                <w:rFonts w:ascii="Meiryo UI" w:hAnsi="Meiryo UI"/>
                <w:b/>
                <w:color w:val="FFFFFF"/>
                <w:sz w:val="18"/>
              </w:rPr>
              <w:t>発現確率</w:t>
            </w:r>
          </w:p>
        </w:tc>
        <w:tc>
          <w:tcPr>
            <w:tcW w:type="dxa" w:w="1881"/>
            <w:shd w:val="clear" w:color="auto" w:fill="2E74B5"/>
          </w:tcPr>
          <w:p>
            <w:r>
              <w:rPr>
                <w:rFonts w:ascii="Meiryo UI" w:hAnsi="Meiryo UI"/>
                <w:b/>
                <w:color w:val="FFFFFF"/>
                <w:sz w:val="18"/>
              </w:rPr>
              <w:t>期待値</w:t>
            </w:r>
          </w:p>
        </w:tc>
      </w:tr>
      <w:tr>
        <w:tc>
          <w:tcPr>
            <w:tcW w:type="dxa" w:w="1881"/>
          </w:tcPr>
          <w:p>
            <w:r>
              <w:rPr>
                <w:rFonts w:ascii="Meiryo UI" w:hAnsi="Meiryo UI"/>
                <w:sz w:val="18"/>
              </w:rPr>
              <w:t>R1：ナフサ急落</w:t>
            </w:r>
          </w:p>
        </w:tc>
        <w:tc>
          <w:tcPr>
            <w:tcW w:type="dxa" w:w="1881"/>
          </w:tcPr>
          <w:p>
            <w:r>
              <w:rPr>
                <w:rFonts w:ascii="Meiryo UI" w:hAnsi="Meiryo UI"/>
                <w:sz w:val="18"/>
              </w:rPr>
              <w:t>▲¥17</w:t>
            </w:r>
          </w:p>
        </w:tc>
        <w:tc>
          <w:tcPr>
            <w:tcW w:type="dxa" w:w="1881"/>
          </w:tcPr>
          <w:p>
            <w:r>
              <w:rPr>
                <w:rFonts w:ascii="Meiryo UI" w:hAnsi="Meiryo UI"/>
                <w:sz w:val="18"/>
              </w:rPr>
              <w:t>▲¥250</w:t>
            </w:r>
          </w:p>
        </w:tc>
        <w:tc>
          <w:tcPr>
            <w:tcW w:type="dxa" w:w="1881"/>
          </w:tcPr>
          <w:p>
            <w:r>
              <w:rPr>
                <w:rFonts w:ascii="Meiryo UI" w:hAnsi="Meiryo UI"/>
                <w:sz w:val="18"/>
              </w:rPr>
              <w:t>30%</w:t>
            </w:r>
          </w:p>
        </w:tc>
        <w:tc>
          <w:tcPr>
            <w:tcW w:type="dxa" w:w="1881"/>
          </w:tcPr>
          <w:p>
            <w:r>
              <w:rPr>
                <w:rFonts w:ascii="Meiryo UI" w:hAnsi="Meiryo UI"/>
                <w:sz w:val="18"/>
              </w:rPr>
              <w:t>▲¥75</w:t>
            </w:r>
          </w:p>
        </w:tc>
      </w:tr>
      <w:tr>
        <w:tc>
          <w:tcPr>
            <w:tcW w:type="dxa" w:w="1881"/>
            <w:shd w:val="clear" w:color="auto" w:fill="DDEBF7"/>
          </w:tcPr>
          <w:p>
            <w:r>
              <w:rPr>
                <w:rFonts w:ascii="Meiryo UI" w:hAnsi="Meiryo UI"/>
                <w:sz w:val="18"/>
              </w:rPr>
              <w:t>R2：価格競争</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▲¥270</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▲¥68</w:t>
            </w:r>
          </w:p>
        </w:tc>
      </w:tr>
      <w:tr>
        <w:tc>
          <w:tcPr>
            <w:tcW w:type="dxa" w:w="1881"/>
          </w:tcPr>
          <w:p>
            <w:r>
              <w:rPr>
                <w:rFonts w:ascii="Meiryo UI" w:hAnsi="Meiryo UI"/>
                <w:sz w:val="18"/>
              </w:rPr>
              <w:t>R3：インキ逓減</w:t>
            </w:r>
          </w:p>
        </w:tc>
        <w:tc>
          <w:tcPr>
            <w:tcW w:type="dxa" w:w="1881"/>
          </w:tcPr>
          <w:p>
            <w:r>
              <w:rPr>
                <w:rFonts w:ascii="Meiryo UI" w:hAnsi="Meiryo UI"/>
                <w:sz w:val="18"/>
              </w:rPr>
              <w:t>▲¥75(5年)</w:t>
            </w:r>
          </w:p>
        </w:tc>
        <w:tc>
          <w:tcPr>
            <w:tcW w:type="dxa" w:w="1881"/>
          </w:tcPr>
          <w:p>
            <w:r>
              <w:rPr>
                <w:rFonts w:ascii="Meiryo UI" w:hAnsi="Meiryo UI"/>
                <w:sz w:val="18"/>
              </w:rPr>
              <w:t>▲¥850(5年)</w:t>
            </w:r>
          </w:p>
        </w:tc>
        <w:tc>
          <w:tcPr>
            <w:tcW w:type="dxa" w:w="1881"/>
          </w:tcPr>
          <w:p>
            <w:r>
              <w:rPr>
                <w:rFonts w:ascii="Meiryo UI" w:hAnsi="Meiryo UI"/>
                <w:sz w:val="18"/>
              </w:rPr>
              <w:t>40%</w:t>
            </w:r>
          </w:p>
        </w:tc>
        <w:tc>
          <w:tcPr>
            <w:tcW w:type="dxa" w:w="1881"/>
          </w:tcPr>
          <w:p>
            <w:r>
              <w:rPr>
                <w:rFonts w:ascii="Meiryo UI" w:hAnsi="Meiryo UI"/>
                <w:sz w:val="18"/>
              </w:rPr>
              <w:t>▲¥340</w:t>
            </w:r>
          </w:p>
        </w:tc>
      </w:tr>
      <w:tr>
        <w:tc>
          <w:tcPr>
            <w:tcW w:type="dxa" w:w="1881"/>
            <w:shd w:val="clear" w:color="auto" w:fill="DDEBF7"/>
          </w:tcPr>
          <w:p>
            <w:r>
              <w:rPr>
                <w:rFonts w:ascii="Meiryo UI" w:hAnsi="Meiryo UI"/>
                <w:sz w:val="18"/>
              </w:rPr>
              <w:t>R4：のれん減損</w:t>
            </w:r>
          </w:p>
        </w:tc>
        <w:tc>
          <w:tcPr>
            <w:tcW w:type="dxa" w:w="1881"/>
            <w:shd w:val="clear" w:color="auto" w:fill="DDEBF7"/>
          </w:tcPr>
          <w:p>
            <w:r>
              <w:rPr>
                <w:rFonts w:ascii="Meiryo UI" w:hAnsi="Meiryo UI"/>
                <w:sz w:val="18"/>
              </w:rPr>
              <w:t>▲¥829(一時)</w:t>
            </w:r>
          </w:p>
        </w:tc>
        <w:tc>
          <w:tcPr>
            <w:tcW w:type="dxa" w:w="1881"/>
            <w:shd w:val="clear" w:color="auto" w:fill="DDEBF7"/>
          </w:tcPr>
          <w:p>
            <w:r>
              <w:rPr>
                <w:rFonts w:ascii="Meiryo UI" w:hAnsi="Meiryo UI"/>
                <w:sz w:val="18"/>
              </w:rPr>
              <w:t>▲¥700</w:t>
            </w:r>
          </w:p>
        </w:tc>
        <w:tc>
          <w:tcPr>
            <w:tcW w:type="dxa" w:w="1881"/>
            <w:shd w:val="clear" w:color="auto" w:fill="DDEBF7"/>
          </w:tcPr>
          <w:p>
            <w:r>
              <w:rPr>
                <w:rFonts w:ascii="Meiryo UI" w:hAnsi="Meiryo UI"/>
                <w:sz w:val="18"/>
              </w:rPr>
              <w:t>18%</w:t>
            </w:r>
          </w:p>
        </w:tc>
        <w:tc>
          <w:tcPr>
            <w:tcW w:type="dxa" w:w="1881"/>
            <w:shd w:val="clear" w:color="auto" w:fill="DDEBF7"/>
          </w:tcPr>
          <w:p>
            <w:r>
              <w:rPr>
                <w:rFonts w:ascii="Meiryo UI" w:hAnsi="Meiryo UI"/>
                <w:sz w:val="18"/>
              </w:rPr>
              <w:t>▲¥126</w:t>
            </w:r>
          </w:p>
        </w:tc>
      </w:tr>
      <w:tr>
        <w:tc>
          <w:tcPr>
            <w:tcW w:type="dxa" w:w="1881"/>
          </w:tcPr>
          <w:p>
            <w:r>
              <w:rPr>
                <w:rFonts w:ascii="Meiryo UI" w:hAnsi="Meiryo UI"/>
                <w:sz w:val="18"/>
              </w:rPr>
              <w:t>R5：美術館コスト</w:t>
            </w:r>
          </w:p>
        </w:tc>
        <w:tc>
          <w:tcPr>
            <w:tcW w:type="dxa" w:w="1881"/>
          </w:tcPr>
          <w:p>
            <w:r>
              <w:rPr>
                <w:rFonts w:ascii="Meiryo UI" w:hAnsi="Meiryo UI"/>
                <w:sz w:val="18"/>
              </w:rPr>
              <w:t>▲¥10</w:t>
            </w:r>
          </w:p>
        </w:tc>
        <w:tc>
          <w:tcPr>
            <w:tcW w:type="dxa" w:w="1881"/>
          </w:tcPr>
          <w:p>
            <w:r>
              <w:rPr>
                <w:rFonts w:ascii="Meiryo UI" w:hAnsi="Meiryo UI"/>
                <w:sz w:val="18"/>
              </w:rPr>
              <w:t>▲¥110</w:t>
            </w:r>
          </w:p>
        </w:tc>
        <w:tc>
          <w:tcPr>
            <w:tcW w:type="dxa" w:w="1881"/>
          </w:tcPr>
          <w:p>
            <w:r>
              <w:rPr>
                <w:rFonts w:ascii="Meiryo UI" w:hAnsi="Meiryo UI"/>
                <w:sz w:val="18"/>
              </w:rPr>
              <w:t>90%</w:t>
            </w:r>
          </w:p>
        </w:tc>
        <w:tc>
          <w:tcPr>
            <w:tcW w:type="dxa" w:w="1881"/>
          </w:tcPr>
          <w:p>
            <w:r>
              <w:rPr>
                <w:rFonts w:ascii="Meiryo UI" w:hAnsi="Meiryo UI"/>
                <w:sz w:val="18"/>
              </w:rPr>
              <w:t>▲¥99</w:t>
            </w:r>
          </w:p>
        </w:tc>
      </w:tr>
      <w:tr>
        <w:tc>
          <w:tcPr>
            <w:tcW w:type="dxa" w:w="1881"/>
            <w:shd w:val="clear" w:color="auto" w:fill="DDEBF7"/>
          </w:tcPr>
          <w:p>
            <w:r>
              <w:rPr>
                <w:rFonts w:ascii="Meiryo UI" w:hAnsi="Meiryo UI"/>
                <w:sz w:val="18"/>
              </w:rPr>
              <w:t>リスク調整後株価</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¥3,818 - ¥708 = ¥3,110</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bl>
    <w:p/>
    <w:p>
      <w:r>
        <w:rPr>
          <w:rFonts w:ascii="Meiryo UI" w:hAnsi="Meiryo UI"/>
          <w:sz w:val="20"/>
        </w:rPr>
        <w:t>→ リスク調整後でも現在株価は過度に悲観的。複数リスク同時発現でも¥3,000水準が下限目線。</w:t>
      </w:r>
    </w:p>
    <w:p/>
    <w:p>
      <w:r>
        <w:t>──────────────────────────────────────────────────</w:t>
      </w:r>
    </w:p>
    <w:p/>
    <w:p>
      <w:pPr>
        <w:pStyle w:val="Heading2"/>
      </w:pPr>
      <w:r>
        <w:rPr>
          <w:rFonts w:ascii="Meiryo UI" w:hAnsi="Meiryo UI"/>
          <w:color w:val="2E74B5"/>
        </w:rPr>
        <w:t>10. ガイダンス保守的/積極的判定</w:t>
      </w:r>
    </w:p>
    <w:p/>
    <w:p>
      <w:pPr>
        <w:pStyle w:val="Heading3"/>
      </w:pPr>
      <w:r>
        <w:rPr>
          <w:rFonts w:ascii="Meiryo UI" w:hAnsi="Meiryo UI"/>
          <w:color w:val="2E74B5"/>
        </w:rPr>
        <w:t>10.1 直近ガイダンス進捗率</w:t>
      </w:r>
    </w:p>
    <w:p/>
    <w:p>
      <w:pPr>
        <w:shd w:val="clear" w:color="auto" w:fill="F2F2F2"/>
      </w:pPr>
      <w:r>
        <w:rPr>
          <w:rFonts w:ascii="Courier New" w:hAnsi="Courier New"/>
          <w:sz w:val="16"/>
        </w:rPr>
        <w:t>【FY2025通期ガイダンス進捗（推計）】</w:t>
        <w:br/>
        <w:br/>
        <w:t>DIC FY2025通期会社予想（直近公開推計）：</w:t>
        <w:br/>
        <w:t xml:space="preserve"> 売上高：¥10,700億</w:t>
        <w:br/>
        <w:t xml:space="preserve"> 営業利益：¥600億（OPM 5.6%）</w:t>
        <w:br/>
        <w:t xml:space="preserve"> 当期純利益：¥250億</w:t>
        <w:br/>
        <w:br/>
        <w:t>3Q時点（9M）進捗推計：</w:t>
        <w:br/>
        <w:t xml:space="preserve"> 売上高：¥7,900億（年間計画比73.8%）  → ほぼ順調</w:t>
        <w:br/>
        <w:t xml:space="preserve"> 営業利益：¥430億（年間計画比71.7%）  → やや後ろ倒し感</w:t>
        <w:br/>
        <w:t xml:space="preserve"> 進捗評価：概ね「保守的達成軌道」</w:t>
        <w:br/>
        <w:br/>
        <w:t>4Q（1〜3月）への値上げ効果：</w:t>
        <w:br/>
        <w:t xml:space="preserve"> 今回の4/15値上げは4Q末〜FY2026から本格貢献</w:t>
        <w:br/>
        <w:t xml:space="preserve"> FY2025への貢献：限定的（2週間程度）</w:t>
        <w:br/>
        <w:t xml:space="preserve"> FY2026への貢献：¥45〜70億の増収効果（年間フル寄与）</w:t>
      </w:r>
    </w:p>
    <w:p/>
    <w:p>
      <w:pPr>
        <w:pStyle w:val="Heading3"/>
      </w:pPr>
      <w:r>
        <w:rPr>
          <w:rFonts w:ascii="Meiryo UI" w:hAnsi="Meiryo UI"/>
          <w:color w:val="2E74B5"/>
        </w:rPr>
        <w:t>10.2 過去のガイダンス修正パターン</w:t>
      </w:r>
    </w:p>
    <w:p/>
    <w:p>
      <w:pPr>
        <w:shd w:val="clear" w:color="auto" w:fill="F2F2F2"/>
      </w:pPr>
      <w:r>
        <w:rPr>
          <w:rFonts w:ascii="Courier New" w:hAnsi="Courier New"/>
          <w:sz w:val="16"/>
        </w:rPr>
        <w:t>DICのガイダンス修正傾向分析（過去5年）：</w:t>
        <w:br/>
        <w:br/>
        <w:t>FY2020：初回保守的→上方修正なし（コロナ打撃）</w:t>
        <w:br/>
        <w:t>FY2021：保守的ガイダンス→2回上方修正（原材料高でも価格転嫁成功）</w:t>
        <w:br/>
        <w:t>FY2022：やや強気→下方修正（ナフサ高に値上げが追いつかず）</w:t>
        <w:br/>
        <w:t>FY2023：保守的→上方修正1回（機能材料の好調）</w:t>
        <w:br/>
        <w:t>FY2024：保守的→ほぼ計画通り着地</w:t>
        <w:br/>
        <w:br/>
        <w:t>評価：「保守的傾向」が標準。</w:t>
        <w:br/>
        <w:t xml:space="preserve"> 特に機能材料（エポキシ）好調時には</w:t>
        <w:br/>
        <w:t xml:space="preserve"> 会社予想比10〜20%上振れのパターンが2〜3回。</w:t>
        <w:br/>
        <w:t xml:space="preserve"> 今回の値上げ発表は「保守的ガイダンスの上振れ余地」として機能する確率が高い。</w:t>
      </w:r>
    </w:p>
    <w:p/>
    <w:p>
      <w:pPr>
        <w:pStyle w:val="Heading3"/>
      </w:pPr>
      <w:r>
        <w:rPr>
          <w:rFonts w:ascii="Meiryo UI" w:hAnsi="Meiryo UI"/>
          <w:color w:val="2E74B5"/>
        </w:rPr>
        <w:t>10.3 値上げ効果織り込み後の上振れ可能性</w:t>
      </w:r>
    </w:p>
    <w:p/>
    <w:p>
      <w:pPr>
        <w:shd w:val="clear" w:color="auto" w:fill="F2F2F2"/>
      </w:pPr>
      <w:r>
        <w:rPr>
          <w:rFonts w:ascii="Courier New" w:hAnsi="Courier New"/>
          <w:sz w:val="16"/>
        </w:rPr>
        <w:t>FY2026 EPS上振れ試算：</w:t>
        <w:br/>
        <w:br/>
        <w:t>ベース会社予想EPS（仮）：¥350〜370（FY2025ベース+小幅成長）</w:t>
        <w:br/>
        <w:t>値上げ効果（+¥48/株）加算：¥398〜418</w:t>
        <w:br/>
        <w:t>AI封止材需要増（+¥20〜30/株）：¥418〜448</w:t>
        <w:br/>
        <w:br/>
        <w:t>アナリストコンセンサス（推計）：¥360〜380</w:t>
        <w:br/>
        <w:t>上振れ幅：+15〜20%のポテンシャル</w:t>
        <w:br/>
        <w:br/>
        <w:t>判定：「保守的ガイダンスに対して上振れ確度 中〜高」</w:t>
      </w:r>
    </w:p>
    <w:p/>
    <w:p>
      <w:r>
        <w:t>──────────────────────────────────────────────────</w:t>
      </w:r>
    </w:p>
    <w:p/>
    <w:p>
      <w:pPr>
        <w:pStyle w:val="Heading2"/>
      </w:pPr>
      <w:r>
        <w:rPr>
          <w:rFonts w:ascii="Meiryo UI" w:hAnsi="Meiryo UI"/>
          <w:color w:val="2E74B5"/>
        </w:rPr>
        <w:t>11. 最終判断・投資推奨</w:t>
      </w:r>
    </w:p>
    <w:p/>
    <w:p>
      <w:pPr>
        <w:pStyle w:val="Heading3"/>
      </w:pPr>
      <w:r>
        <w:rPr>
          <w:rFonts w:ascii="Meiryo UI" w:hAnsi="Meiryo UI"/>
          <w:color w:val="2E74B5"/>
        </w:rPr>
        <w:t>11.1 三軸合算バリュエーション総括</w:t>
      </w:r>
    </w:p>
    <w:p/>
    <w:p>
      <w:pPr>
        <w:shd w:val="clear" w:color="auto" w:fill="F2F2F2"/>
      </w:pPr>
      <w:r>
        <w:rPr>
          <w:rFonts w:ascii="Courier New" w:hAnsi="Courier New"/>
          <w:sz w:val="16"/>
        </w:rPr>
        <w:t>【三軸合算 Fair Value Matrix】</w:t>
        <w:br/>
        <w:br/>
        <w:t>軸①：エポキシ樹脂値上げ（EPS改善効果）</w:t>
        <w:br/>
        <w:t xml:space="preserve"> EPS¥342 → ¥390（+14%）</w:t>
        <w:br/>
        <w:t xml:space="preserve"> PER 11.2倍維持時の株価：¥390 × 11.2 = ¥4,368</w:t>
        <w:br/>
        <w:t xml:space="preserve"> 現在株価比：+14.4%</w:t>
        <w:br/>
        <w:br/>
        <w:t>軸②：AI封止材需要（成長プレミアム）</w:t>
        <w:br/>
        <w:t xml:space="preserve"> AI封止材成長を反映したPER妥当倍率：13〜14倍</w:t>
        <w:br/>
        <w:t xml:space="preserve"> ¥390 × 13.5倍 = ¥5,265</w:t>
        <w:br/>
        <w:t xml:space="preserve"> 現在株価比：+37.9%</w:t>
        <w:br/>
        <w:br/>
        <w:t>軸③：川村記念美術館NAV修正</w:t>
        <w:br/>
        <w:t xml:space="preserve"> NAV修正BPS：¥6,958（一株）</w:t>
        <w:br/>
        <w:t xml:space="preserve"> 適正PBR：0.85倍（Gordon修正値）</w:t>
        <w:br/>
        <w:t xml:space="preserve"> NAV修正後理論株価：¥6,958 × 0.85 = ¥5,914</w:t>
        <w:br/>
        <w:t xml:space="preserve"> 現在株価比：+54.9%</w:t>
        <w:br/>
        <w:br/>
        <w:t>────────────────────────────────────────</w:t>
        <w:br/>
        <w:t>三軸加重平均（重み：①30%、②30%、③40%）：</w:t>
        <w:br/>
        <w:t xml:space="preserve"> ¥4,368×0.30 + ¥5,265×0.30 + ¥5,914×0.40</w:t>
        <w:br/>
        <w:t xml:space="preserve"> = ¥1,310 + ¥1,580 + ¥2,366</w:t>
        <w:br/>
        <w:t xml:space="preserve"> = ¥5,256（目標株価）</w:t>
        <w:br/>
        <w:t>────────────────────────────────────────</w:t>
      </w:r>
    </w:p>
    <w:p/>
    <w:p>
      <w:pPr>
        <w:pStyle w:val="Heading3"/>
      </w:pPr>
      <w:r>
        <w:rPr>
          <w:rFonts w:ascii="Meiryo UI" w:hAnsi="Meiryo UI"/>
          <w:color w:val="2E74B5"/>
        </w:rPr>
        <w:t>11.2 投資判断</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BUY（強い買い）</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¥3,818</w:t>
            </w:r>
          </w:p>
        </w:tc>
      </w:tr>
      <w:tr>
        <w:tc>
          <w:tcPr>
            <w:tcW w:type="dxa" w:w="4703"/>
          </w:tcPr>
          <w:p>
            <w:r>
              <w:rPr>
                <w:rFonts w:ascii="Meiryo UI" w:hAnsi="Meiryo UI"/>
                <w:sz w:val="18"/>
              </w:rPr>
              <w:t>目標株価（12ヶ月）</w:t>
            </w:r>
          </w:p>
        </w:tc>
        <w:tc>
          <w:tcPr>
            <w:tcW w:type="dxa" w:w="4703"/>
          </w:tcPr>
          <w:p>
            <w:r>
              <w:rPr>
                <w:rFonts w:ascii="Meiryo UI" w:hAnsi="Meiryo UI"/>
                <w:sz w:val="18"/>
              </w:rPr>
              <w:t>¥5,200（ベースシナリオ）</w:t>
            </w:r>
          </w:p>
        </w:tc>
      </w:tr>
      <w:tr>
        <w:tc>
          <w:tcPr>
            <w:tcW w:type="dxa" w:w="4703"/>
            <w:shd w:val="clear" w:color="auto" w:fill="DDEBF7"/>
          </w:tcPr>
          <w:p>
            <w:r>
              <w:rPr>
                <w:rFonts w:ascii="Meiryo UI" w:hAnsi="Meiryo UI"/>
                <w:sz w:val="18"/>
              </w:rPr>
              <w:t>上値目標（強気）</w:t>
            </w:r>
          </w:p>
        </w:tc>
        <w:tc>
          <w:tcPr>
            <w:tcW w:type="dxa" w:w="4703"/>
            <w:shd w:val="clear" w:color="auto" w:fill="DDEBF7"/>
          </w:tcPr>
          <w:p>
            <w:r>
              <w:rPr>
                <w:rFonts w:ascii="Meiryo UI" w:hAnsi="Meiryo UI"/>
                <w:sz w:val="18"/>
              </w:rPr>
              <w:t>¥6,800（アクティビスト介入+AI需要急拡大）</w:t>
            </w:r>
          </w:p>
        </w:tc>
      </w:tr>
      <w:tr>
        <w:tc>
          <w:tcPr>
            <w:tcW w:type="dxa" w:w="4703"/>
          </w:tcPr>
          <w:p>
            <w:r>
              <w:rPr>
                <w:rFonts w:ascii="Meiryo UI" w:hAnsi="Meiryo UI"/>
                <w:sz w:val="18"/>
              </w:rPr>
              <w:t>安全域（MoS）</w:t>
            </w:r>
          </w:p>
        </w:tc>
        <w:tc>
          <w:tcPr>
            <w:tcW w:type="dxa" w:w="4703"/>
          </w:tcPr>
          <w:p>
            <w:r>
              <w:rPr>
                <w:rFonts w:ascii="Meiryo UI" w:hAnsi="Meiryo UI"/>
                <w:sz w:val="18"/>
              </w:rPr>
              <w:t>目標対比15%バッファ → 実質FairValue ¥4,420</w:t>
            </w:r>
          </w:p>
        </w:tc>
      </w:tr>
      <w:tr>
        <w:tc>
          <w:tcPr>
            <w:tcW w:type="dxa" w:w="4703"/>
            <w:shd w:val="clear" w:color="auto" w:fill="DDEBF7"/>
          </w:tcPr>
          <w:p>
            <w:r>
              <w:rPr>
                <w:rFonts w:ascii="Meiryo UI" w:hAnsi="Meiryo UI"/>
                <w:sz w:val="18"/>
              </w:rPr>
              <w:t>エントリー推奨価格</w:t>
            </w:r>
          </w:p>
        </w:tc>
        <w:tc>
          <w:tcPr>
            <w:tcW w:type="dxa" w:w="4703"/>
            <w:shd w:val="clear" w:color="auto" w:fill="DDEBF7"/>
          </w:tcPr>
          <w:p>
            <w:r>
              <w:rPr>
                <w:rFonts w:ascii="Meiryo UI" w:hAnsi="Meiryo UI"/>
                <w:sz w:val="18"/>
              </w:rPr>
              <w:t>¥3,600〜¥3,900（現値±3〜5%以内）</w:t>
            </w:r>
          </w:p>
        </w:tc>
      </w:tr>
      <w:tr>
        <w:tc>
          <w:tcPr>
            <w:tcW w:type="dxa" w:w="4703"/>
          </w:tcPr>
          <w:p>
            <w:r>
              <w:rPr>
                <w:rFonts w:ascii="Meiryo UI" w:hAnsi="Meiryo UI"/>
                <w:sz w:val="18"/>
              </w:rPr>
              <w:t>損切りライン</w:t>
            </w:r>
          </w:p>
        </w:tc>
        <w:tc>
          <w:tcPr>
            <w:tcW w:type="dxa" w:w="4703"/>
          </w:tcPr>
          <w:p>
            <w:r>
              <w:rPr>
                <w:rFonts w:ascii="Meiryo UI" w:hAnsi="Meiryo UI"/>
                <w:sz w:val="18"/>
              </w:rPr>
              <w:t>¥3,200（現値比▲16%、帳簿BPSの64%水準）</w:t>
            </w:r>
          </w:p>
        </w:tc>
      </w:tr>
      <w:tr>
        <w:tc>
          <w:tcPr>
            <w:tcW w:type="dxa" w:w="4703"/>
            <w:shd w:val="clear" w:color="auto" w:fill="DDEBF7"/>
          </w:tcPr>
          <w:p>
            <w:r>
              <w:rPr>
                <w:rFonts w:ascii="Meiryo UI" w:hAnsi="Meiryo UI"/>
                <w:sz w:val="18"/>
              </w:rPr>
              <w:t>アップサイド（ベース）</w:t>
            </w:r>
          </w:p>
        </w:tc>
        <w:tc>
          <w:tcPr>
            <w:tcW w:type="dxa" w:w="4703"/>
            <w:shd w:val="clear" w:color="auto" w:fill="DDEBF7"/>
          </w:tcPr>
          <w:p>
            <w:r>
              <w:rPr>
                <w:rFonts w:ascii="Meiryo UI" w:hAnsi="Meiryo UI"/>
                <w:sz w:val="18"/>
              </w:rPr>
              <w:t>+36%</w:t>
            </w:r>
          </w:p>
        </w:tc>
      </w:tr>
      <w:tr>
        <w:tc>
          <w:tcPr>
            <w:tcW w:type="dxa" w:w="4703"/>
          </w:tcPr>
          <w:p>
            <w:r>
              <w:rPr>
                <w:rFonts w:ascii="Meiryo UI" w:hAnsi="Meiryo UI"/>
                <w:sz w:val="18"/>
              </w:rPr>
              <w:t>ダウンサイド（リスク）</w:t>
            </w:r>
          </w:p>
        </w:tc>
        <w:tc>
          <w:tcPr>
            <w:tcW w:type="dxa" w:w="4703"/>
          </w:tcPr>
          <w:p>
            <w:r>
              <w:rPr>
                <w:rFonts w:ascii="Meiryo UI" w:hAnsi="Meiryo UI"/>
                <w:sz w:val="18"/>
              </w:rPr>
              <w:t>▲16%（損切りまで）</w:t>
            </w:r>
          </w:p>
        </w:tc>
      </w:tr>
      <w:tr>
        <w:tc>
          <w:tcPr>
            <w:tcW w:type="dxa" w:w="4703"/>
            <w:shd w:val="clear" w:color="auto" w:fill="DDEBF7"/>
          </w:tcPr>
          <w:p>
            <w:r>
              <w:rPr>
                <w:rFonts w:ascii="Meiryo UI" w:hAnsi="Meiryo UI"/>
                <w:sz w:val="18"/>
              </w:rPr>
              <w:t>リスクリワード比</w:t>
            </w:r>
          </w:p>
        </w:tc>
        <w:tc>
          <w:tcPr>
            <w:tcW w:type="dxa" w:w="4703"/>
            <w:shd w:val="clear" w:color="auto" w:fill="DDEBF7"/>
          </w:tcPr>
          <w:p>
            <w:r>
              <w:rPr>
                <w:rFonts w:ascii="Meiryo UI" w:hAnsi="Meiryo UI"/>
                <w:sz w:val="18"/>
              </w:rPr>
              <w:t>2.25:1（良好）</w:t>
            </w:r>
          </w:p>
        </w:tc>
      </w:tr>
      <w:tr>
        <w:tc>
          <w:tcPr>
            <w:tcW w:type="dxa" w:w="4703"/>
          </w:tcPr>
          <w:p>
            <w:r>
              <w:rPr>
                <w:rFonts w:ascii="Meiryo UI" w:hAnsi="Meiryo UI"/>
                <w:sz w:val="18"/>
              </w:rPr>
              <w:t>投資時間軸</w:t>
            </w:r>
          </w:p>
        </w:tc>
        <w:tc>
          <w:tcPr>
            <w:tcW w:type="dxa" w:w="4703"/>
          </w:tcPr>
          <w:p>
            <w:r>
              <w:rPr>
                <w:rFonts w:ascii="Meiryo UI" w:hAnsi="Meiryo UI"/>
                <w:sz w:val="18"/>
              </w:rPr>
              <w:t>12〜18ヶ月</w:t>
            </w:r>
          </w:p>
        </w:tc>
      </w:tr>
    </w:tbl>
    <w:p/>
    <w:p>
      <w:pPr>
        <w:pStyle w:val="Heading3"/>
      </w:pPr>
      <w:r>
        <w:rPr>
          <w:rFonts w:ascii="Meiryo UI" w:hAnsi="Meiryo UI"/>
          <w:color w:val="2E74B5"/>
        </w:rPr>
        <w:t>11.3 川村記念美術館の含み益が株式投資においてどう評価されるか</w:t>
      </w:r>
    </w:p>
    <w:p/>
    <w:p>
      <w:pPr>
        <w:shd w:val="clear" w:color="auto" w:fill="F2F2F2"/>
      </w:pPr>
      <w:r>
        <w:rPr>
          <w:rFonts w:ascii="Courier New" w:hAnsi="Courier New"/>
          <w:sz w:val="16"/>
        </w:rPr>
        <w:t>【川村記念美術館 投資的評価の結論】</w:t>
        <w:br/>
        <w:br/>
        <w:t>1. 含み益の確実性：「高」（世界的コレクションの時価は確実に存在）</w:t>
        <w:br/>
        <w:t xml:space="preserve">   ただし「換金可能性」に時間がかかる点が株式市場での評価を抑制</w:t>
        <w:br/>
        <w:br/>
        <w:t>2. 現在の市場による織り込み度：</w:t>
        <w:br/>
        <w:t xml:space="preserve">   PBR 0.77倍は帳簿上の純資産すら完全に反映していない</w:t>
        <w:br/>
        <w:t xml:space="preserve">   → 美術品含み益（¥1,425億）はほぼ完全に無視されている状態</w:t>
        <w:br/>
        <w:t xml:space="preserve">   → これは「市場の認知不足」であり、投資機会</w:t>
        <w:br/>
        <w:br/>
        <w:t>3. カタリスト（解放のトリガー）：</w:t>
        <w:br/>
        <w:t xml:space="preserve">   ① 美術館の休館長期化 → 売却協議入りの公式発表</w:t>
        <w:br/>
        <w:t xml:space="preserve">   ② アクティビスト株主の台頭（外国人機関投資家の株主提案）</w:t>
        <w:br/>
        <w:t xml:space="preserve">   ③ 経営陣からの「資産効率改善」コミットメント</w:t>
        <w:br/>
        <w:t xml:space="preserve">   これらが一つでも現実化すると、理論的に¥1,000〜¥1,600/株の</w:t>
        <w:br/>
        <w:t xml:space="preserve">   価値解放が起きる</w:t>
        <w:br/>
        <w:br/>
        <w:t>4. 数値的結論：</w:t>
        <w:br/>
        <w:t xml:space="preserve">   現在株価¥3,818に対して、</w:t>
        <w:br/>
        <w:t xml:space="preserve">   美術館含み益（税後・確率加重50%）：+¥689/株（+18.0%）</w:t>
        <w:br/>
        <w:t xml:space="preserve">   美術館含み益（税後・全額解放想定）：+¥1,378/株（+36.1%）</w:t>
        <w:br/>
        <w:t xml:space="preserve">   </w:t>
        <w:br/>
        <w:t xml:space="preserve">   これを「1枚の割引チケット」として保有する価値は十分にある。</w:t>
        <w:br/>
        <w:t xml:space="preserve">   美術館売却がゼロでも他の軸（値上げ・AI需要）で+14〜38%のリターンが期待できる。</w:t>
        <w:br/>
        <w:t xml:space="preserve">   美術館売却が起きれば追加で+18〜36%の一撃が期待できる。</w:t>
        <w:br/>
        <w:br/>
        <w:t>5. 最終評価：</w:t>
        <w:br/>
        <w:t xml:space="preserve">   川村記念美術館は「オプション価値＋内在価値の両方を持つ隠れ資産」</w:t>
        <w:br/>
        <w:t xml:space="preserve">   市場がこれを完全に無視しているうちに購入することが最大の投資機会。</w:t>
      </w:r>
    </w:p>
    <w:p/>
    <w:p>
      <w:r>
        <w:t>──────────────────────────────────────────────────</w:t>
      </w:r>
    </w:p>
    <w:p/>
    <w:p>
      <w:pPr>
        <w:pStyle w:val="Heading2"/>
      </w:pPr>
      <w:r>
        <w:rPr>
          <w:rFonts w:ascii="Meiryo UI" w:hAnsi="Meiryo UI"/>
          <w:color w:val="2E74B5"/>
        </w:rPr>
        <w:t>12. 金利感応度分析（Sensitivity Analysis）</w:t>
      </w:r>
    </w:p>
    <w:p/>
    <w:p>
      <w:pPr>
        <w:pStyle w:val="Heading3"/>
      </w:pPr>
      <w:r>
        <w:rPr>
          <w:rFonts w:ascii="Meiryo UI" w:hAnsi="Meiryo UI"/>
          <w:color w:val="2E74B5"/>
        </w:rPr>
        <w:t>12.1 感応度テーブル（ベースシナリオ理論株価）</w:t>
      </w:r>
    </w:p>
    <w:p/>
    <w:p>
      <w:r>
        <w:rPr>
          <w:rFonts w:ascii="Meiryo UI" w:hAnsi="Meiryo UI"/>
          <w:sz w:val="20"/>
        </w:rPr>
        <w:t>前提：β=0.85、ERP=5.5%、ベースシナリオ（g=0.8%）での理論株価変動</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大幅低下（▲1.00%）</w:t>
            </w:r>
          </w:p>
        </w:tc>
        <w:tc>
          <w:tcPr>
            <w:tcW w:type="dxa" w:w="1568"/>
          </w:tcPr>
          <w:p>
            <w:r>
              <w:rPr>
                <w:rFonts w:ascii="Meiryo UI" w:hAnsi="Meiryo UI"/>
                <w:sz w:val="18"/>
              </w:rPr>
              <w:t>1.411%</w:t>
            </w:r>
          </w:p>
        </w:tc>
        <w:tc>
          <w:tcPr>
            <w:tcW w:type="dxa" w:w="1568"/>
          </w:tcPr>
          <w:p>
            <w:r>
              <w:rPr>
                <w:rFonts w:ascii="Meiryo UI" w:hAnsi="Meiryo UI"/>
                <w:sz w:val="18"/>
              </w:rPr>
              <w:t>6.086%</w:t>
            </w:r>
          </w:p>
        </w:tc>
        <w:tc>
          <w:tcPr>
            <w:tcW w:type="dxa" w:w="1568"/>
          </w:tcPr>
          <w:p>
            <w:r>
              <w:rPr>
                <w:rFonts w:ascii="Meiryo UI" w:hAnsi="Meiryo UI"/>
                <w:sz w:val="18"/>
              </w:rPr>
              <w:t>2.94%</w:t>
            </w:r>
          </w:p>
        </w:tc>
        <w:tc>
          <w:tcPr>
            <w:tcW w:type="dxa" w:w="1568"/>
          </w:tcPr>
          <w:p>
            <w:r>
              <w:rPr>
                <w:rFonts w:ascii="Meiryo UI" w:hAnsi="Meiryo UI"/>
                <w:sz w:val="18"/>
              </w:rPr>
              <w:t>¥6,100</w:t>
            </w:r>
          </w:p>
        </w:tc>
        <w:tc>
          <w:tcPr>
            <w:tcW w:type="dxa" w:w="1568"/>
          </w:tcPr>
          <w:p>
            <w:r>
              <w:rPr>
                <w:rFonts w:ascii="Meiryo UI" w:hAnsi="Meiryo UI"/>
                <w:sz w:val="18"/>
              </w:rPr>
              <w:t>+59.8%</w:t>
            </w:r>
          </w:p>
        </w:tc>
      </w:tr>
      <w:tr>
        <w:tc>
          <w:tcPr>
            <w:tcW w:type="dxa" w:w="1568"/>
            <w:shd w:val="clear" w:color="auto" w:fill="DDEBF7"/>
          </w:tcPr>
          <w:p>
            <w:r>
              <w:rPr>
                <w:rFonts w:ascii="Meiryo UI" w:hAnsi="Meiryo UI"/>
                <w:sz w:val="18"/>
              </w:rPr>
              <w:t>中程度低下（▲0.50%）</w:t>
            </w:r>
          </w:p>
        </w:tc>
        <w:tc>
          <w:tcPr>
            <w:tcW w:type="dxa" w:w="1568"/>
            <w:shd w:val="clear" w:color="auto" w:fill="DDEBF7"/>
          </w:tcPr>
          <w:p>
            <w:r>
              <w:rPr>
                <w:rFonts w:ascii="Meiryo UI" w:hAnsi="Meiryo UI"/>
                <w:sz w:val="18"/>
              </w:rPr>
              <w:t>1.911%</w:t>
            </w:r>
          </w:p>
        </w:tc>
        <w:tc>
          <w:tcPr>
            <w:tcW w:type="dxa" w:w="1568"/>
            <w:shd w:val="clear" w:color="auto" w:fill="DDEBF7"/>
          </w:tcPr>
          <w:p>
            <w:r>
              <w:rPr>
                <w:rFonts w:ascii="Meiryo UI" w:hAnsi="Meiryo UI"/>
                <w:sz w:val="18"/>
              </w:rPr>
              <w:t>6.586%</w:t>
            </w:r>
          </w:p>
        </w:tc>
        <w:tc>
          <w:tcPr>
            <w:tcW w:type="dxa" w:w="1568"/>
            <w:shd w:val="clear" w:color="auto" w:fill="DDEBF7"/>
          </w:tcPr>
          <w:p>
            <w:r>
              <w:rPr>
                <w:rFonts w:ascii="Meiryo UI" w:hAnsi="Meiryo UI"/>
                <w:sz w:val="18"/>
              </w:rPr>
              <w:t>3.24%</w:t>
            </w:r>
          </w:p>
        </w:tc>
        <w:tc>
          <w:tcPr>
            <w:tcW w:type="dxa" w:w="1568"/>
            <w:shd w:val="clear" w:color="auto" w:fill="DDEBF7"/>
          </w:tcPr>
          <w:p>
            <w:r>
              <w:rPr>
                <w:rFonts w:ascii="Meiryo UI" w:hAnsi="Meiryo UI"/>
                <w:sz w:val="18"/>
              </w:rPr>
              <w:t>¥5,700</w:t>
            </w:r>
          </w:p>
        </w:tc>
        <w:tc>
          <w:tcPr>
            <w:tcW w:type="dxa" w:w="1568"/>
            <w:shd w:val="clear" w:color="auto" w:fill="DDEBF7"/>
          </w:tcPr>
          <w:p>
            <w:r>
              <w:rPr>
                <w:rFonts w:ascii="Meiryo UI" w:hAnsi="Meiryo UI"/>
                <w:sz w:val="18"/>
              </w:rPr>
              <w:t>+49.3%</w:t>
            </w:r>
          </w:p>
        </w:tc>
      </w:tr>
      <w:tr>
        <w:tc>
          <w:tcPr>
            <w:tcW w:type="dxa" w:w="1568"/>
          </w:tcPr>
          <w:p>
            <w:r>
              <w:rPr>
                <w:rFonts w:ascii="Meiryo UI" w:hAnsi="Meiryo UI"/>
                <w:sz w:val="18"/>
              </w:rPr>
              <w:t>小幅低下（▲0.25%）</w:t>
            </w:r>
          </w:p>
        </w:tc>
        <w:tc>
          <w:tcPr>
            <w:tcW w:type="dxa" w:w="1568"/>
          </w:tcPr>
          <w:p>
            <w:r>
              <w:rPr>
                <w:rFonts w:ascii="Meiryo UI" w:hAnsi="Meiryo UI"/>
                <w:sz w:val="18"/>
              </w:rPr>
              <w:t>2.161%</w:t>
            </w:r>
          </w:p>
        </w:tc>
        <w:tc>
          <w:tcPr>
            <w:tcW w:type="dxa" w:w="1568"/>
          </w:tcPr>
          <w:p>
            <w:r>
              <w:rPr>
                <w:rFonts w:ascii="Meiryo UI" w:hAnsi="Meiryo UI"/>
                <w:sz w:val="18"/>
              </w:rPr>
              <w:t>6.836%</w:t>
            </w:r>
          </w:p>
        </w:tc>
        <w:tc>
          <w:tcPr>
            <w:tcW w:type="dxa" w:w="1568"/>
          </w:tcPr>
          <w:p>
            <w:r>
              <w:rPr>
                <w:rFonts w:ascii="Meiryo UI" w:hAnsi="Meiryo UI"/>
                <w:sz w:val="18"/>
              </w:rPr>
              <w:t>3.42%</w:t>
            </w:r>
          </w:p>
        </w:tc>
        <w:tc>
          <w:tcPr>
            <w:tcW w:type="dxa" w:w="1568"/>
          </w:tcPr>
          <w:p>
            <w:r>
              <w:rPr>
                <w:rFonts w:ascii="Meiryo UI" w:hAnsi="Meiryo UI"/>
                <w:sz w:val="18"/>
              </w:rPr>
              <w:t>¥5,450</w:t>
            </w:r>
          </w:p>
        </w:tc>
        <w:tc>
          <w:tcPr>
            <w:tcW w:type="dxa" w:w="1568"/>
          </w:tcPr>
          <w:p>
            <w:r>
              <w:rPr>
                <w:rFonts w:ascii="Meiryo UI" w:hAnsi="Meiryo UI"/>
                <w:sz w:val="18"/>
              </w:rPr>
              <w:t>+42.7%</w:t>
            </w:r>
          </w:p>
        </w:tc>
      </w:tr>
      <w:tr>
        <w:tc>
          <w:tcPr>
            <w:tcW w:type="dxa" w:w="1568"/>
            <w:shd w:val="clear" w:color="auto" w:fill="DDEBF7"/>
          </w:tcPr>
          <w:p>
            <w:r>
              <w:rPr>
                <w:rFonts w:ascii="Meiryo UI" w:hAnsi="Meiryo UI"/>
                <w:sz w:val="18"/>
              </w:rPr>
              <w:t>ベース（現状）</w:t>
            </w:r>
          </w:p>
        </w:tc>
        <w:tc>
          <w:tcPr>
            <w:tcW w:type="dxa" w:w="1568"/>
            <w:shd w:val="clear" w:color="auto" w:fill="DDEBF7"/>
          </w:tcPr>
          <w:p>
            <w:r>
              <w:rPr>
                <w:rFonts w:ascii="Meiryo UI" w:hAnsi="Meiryo UI"/>
                <w:sz w:val="18"/>
              </w:rPr>
              <w:t>2.411%</w:t>
            </w:r>
          </w:p>
        </w:tc>
        <w:tc>
          <w:tcPr>
            <w:tcW w:type="dxa" w:w="1568"/>
            <w:shd w:val="clear" w:color="auto" w:fill="DDEBF7"/>
          </w:tcPr>
          <w:p>
            <w:r>
              <w:rPr>
                <w:rFonts w:ascii="Meiryo UI" w:hAnsi="Meiryo UI"/>
                <w:sz w:val="18"/>
              </w:rPr>
              <w:t>7.086%</w:t>
            </w:r>
          </w:p>
        </w:tc>
        <w:tc>
          <w:tcPr>
            <w:tcW w:type="dxa" w:w="1568"/>
            <w:shd w:val="clear" w:color="auto" w:fill="DDEBF7"/>
          </w:tcPr>
          <w:p>
            <w:r>
              <w:rPr>
                <w:rFonts w:ascii="Meiryo UI" w:hAnsi="Meiryo UI"/>
                <w:sz w:val="18"/>
              </w:rPr>
              <w:t>3.60%</w:t>
            </w:r>
          </w:p>
        </w:tc>
        <w:tc>
          <w:tcPr>
            <w:tcW w:type="dxa" w:w="1568"/>
            <w:shd w:val="clear" w:color="auto" w:fill="DDEBF7"/>
          </w:tcPr>
          <w:p>
            <w:r>
              <w:rPr>
                <w:rFonts w:ascii="Meiryo UI" w:hAnsi="Meiryo UI"/>
                <w:sz w:val="18"/>
              </w:rPr>
              <w:t>¥5,200</w:t>
            </w:r>
          </w:p>
        </w:tc>
        <w:tc>
          <w:tcPr>
            <w:tcW w:type="dxa" w:w="1568"/>
            <w:shd w:val="clear" w:color="auto" w:fill="DDEBF7"/>
          </w:tcPr>
          <w:p>
            <w:r>
              <w:rPr>
                <w:rFonts w:ascii="Meiryo UI" w:hAnsi="Meiryo UI"/>
                <w:sz w:val="18"/>
              </w:rPr>
              <w:t>+36.2%</w:t>
            </w:r>
          </w:p>
        </w:tc>
      </w:tr>
      <w:tr>
        <w:tc>
          <w:tcPr>
            <w:tcW w:type="dxa" w:w="1568"/>
          </w:tcPr>
          <w:p>
            <w:r>
              <w:rPr>
                <w:rFonts w:ascii="Meiryo UI" w:hAnsi="Meiryo UI"/>
                <w:sz w:val="18"/>
              </w:rPr>
              <w:t>小幅上昇（+0.25%）</w:t>
            </w:r>
          </w:p>
        </w:tc>
        <w:tc>
          <w:tcPr>
            <w:tcW w:type="dxa" w:w="1568"/>
          </w:tcPr>
          <w:p>
            <w:r>
              <w:rPr>
                <w:rFonts w:ascii="Meiryo UI" w:hAnsi="Meiryo UI"/>
                <w:sz w:val="18"/>
              </w:rPr>
              <w:t>2.661%</w:t>
            </w:r>
          </w:p>
        </w:tc>
        <w:tc>
          <w:tcPr>
            <w:tcW w:type="dxa" w:w="1568"/>
          </w:tcPr>
          <w:p>
            <w:r>
              <w:rPr>
                <w:rFonts w:ascii="Meiryo UI" w:hAnsi="Meiryo UI"/>
                <w:sz w:val="18"/>
              </w:rPr>
              <w:t>7.336%</w:t>
            </w:r>
          </w:p>
        </w:tc>
        <w:tc>
          <w:tcPr>
            <w:tcW w:type="dxa" w:w="1568"/>
          </w:tcPr>
          <w:p>
            <w:r>
              <w:rPr>
                <w:rFonts w:ascii="Meiryo UI" w:hAnsi="Meiryo UI"/>
                <w:sz w:val="18"/>
              </w:rPr>
              <w:t>3.78%</w:t>
            </w:r>
          </w:p>
        </w:tc>
        <w:tc>
          <w:tcPr>
            <w:tcW w:type="dxa" w:w="1568"/>
          </w:tcPr>
          <w:p>
            <w:r>
              <w:rPr>
                <w:rFonts w:ascii="Meiryo UI" w:hAnsi="Meiryo UI"/>
                <w:sz w:val="18"/>
              </w:rPr>
              <w:t>¥4,950</w:t>
            </w:r>
          </w:p>
        </w:tc>
        <w:tc>
          <w:tcPr>
            <w:tcW w:type="dxa" w:w="1568"/>
          </w:tcPr>
          <w:p>
            <w:r>
              <w:rPr>
                <w:rFonts w:ascii="Meiryo UI" w:hAnsi="Meiryo UI"/>
                <w:sz w:val="18"/>
              </w:rPr>
              <w:t>+29.6%</w:t>
            </w:r>
          </w:p>
        </w:tc>
      </w:tr>
      <w:tr>
        <w:tc>
          <w:tcPr>
            <w:tcW w:type="dxa" w:w="1568"/>
            <w:shd w:val="clear" w:color="auto" w:fill="DDEBF7"/>
          </w:tcPr>
          <w:p>
            <w:r>
              <w:rPr>
                <w:rFonts w:ascii="Meiryo UI" w:hAnsi="Meiryo UI"/>
                <w:sz w:val="18"/>
              </w:rPr>
              <w:t>中程度上昇（+0.50%）</w:t>
            </w:r>
          </w:p>
        </w:tc>
        <w:tc>
          <w:tcPr>
            <w:tcW w:type="dxa" w:w="1568"/>
            <w:shd w:val="clear" w:color="auto" w:fill="DDEBF7"/>
          </w:tcPr>
          <w:p>
            <w:r>
              <w:rPr>
                <w:rFonts w:ascii="Meiryo UI" w:hAnsi="Meiryo UI"/>
                <w:sz w:val="18"/>
              </w:rPr>
              <w:t>2.911%</w:t>
            </w:r>
          </w:p>
        </w:tc>
        <w:tc>
          <w:tcPr>
            <w:tcW w:type="dxa" w:w="1568"/>
            <w:shd w:val="clear" w:color="auto" w:fill="DDEBF7"/>
          </w:tcPr>
          <w:p>
            <w:r>
              <w:rPr>
                <w:rFonts w:ascii="Meiryo UI" w:hAnsi="Meiryo UI"/>
                <w:sz w:val="18"/>
              </w:rPr>
              <w:t>7.586%</w:t>
            </w:r>
          </w:p>
        </w:tc>
        <w:tc>
          <w:tcPr>
            <w:tcW w:type="dxa" w:w="1568"/>
            <w:shd w:val="clear" w:color="auto" w:fill="DDEBF7"/>
          </w:tcPr>
          <w:p>
            <w:r>
              <w:rPr>
                <w:rFonts w:ascii="Meiryo UI" w:hAnsi="Meiryo UI"/>
                <w:sz w:val="18"/>
              </w:rPr>
              <w:t>3.96%</w:t>
            </w:r>
          </w:p>
        </w:tc>
        <w:tc>
          <w:tcPr>
            <w:tcW w:type="dxa" w:w="1568"/>
            <w:shd w:val="clear" w:color="auto" w:fill="DDEBF7"/>
          </w:tcPr>
          <w:p>
            <w:r>
              <w:rPr>
                <w:rFonts w:ascii="Meiryo UI" w:hAnsi="Meiryo UI"/>
                <w:sz w:val="18"/>
              </w:rPr>
              <w:t>¥4,700</w:t>
            </w:r>
          </w:p>
        </w:tc>
        <w:tc>
          <w:tcPr>
            <w:tcW w:type="dxa" w:w="1568"/>
            <w:shd w:val="clear" w:color="auto" w:fill="DDEBF7"/>
          </w:tcPr>
          <w:p>
            <w:r>
              <w:rPr>
                <w:rFonts w:ascii="Meiryo UI" w:hAnsi="Meiryo UI"/>
                <w:sz w:val="18"/>
              </w:rPr>
              <w:t>+23.1%</w:t>
            </w:r>
          </w:p>
        </w:tc>
      </w:tr>
      <w:tr>
        <w:tc>
          <w:tcPr>
            <w:tcW w:type="dxa" w:w="1568"/>
          </w:tcPr>
          <w:p>
            <w:r>
              <w:rPr>
                <w:rFonts w:ascii="Meiryo UI" w:hAnsi="Meiryo UI"/>
                <w:sz w:val="18"/>
              </w:rPr>
              <w:t>大幅上昇（+1.00%）</w:t>
            </w:r>
          </w:p>
        </w:tc>
        <w:tc>
          <w:tcPr>
            <w:tcW w:type="dxa" w:w="1568"/>
          </w:tcPr>
          <w:p>
            <w:r>
              <w:rPr>
                <w:rFonts w:ascii="Meiryo UI" w:hAnsi="Meiryo UI"/>
                <w:sz w:val="18"/>
              </w:rPr>
              <w:t>3.411%</w:t>
            </w:r>
          </w:p>
        </w:tc>
        <w:tc>
          <w:tcPr>
            <w:tcW w:type="dxa" w:w="1568"/>
          </w:tcPr>
          <w:p>
            <w:r>
              <w:rPr>
                <w:rFonts w:ascii="Meiryo UI" w:hAnsi="Meiryo UI"/>
                <w:sz w:val="18"/>
              </w:rPr>
              <w:t>8.086%</w:t>
            </w:r>
          </w:p>
        </w:tc>
        <w:tc>
          <w:tcPr>
            <w:tcW w:type="dxa" w:w="1568"/>
          </w:tcPr>
          <w:p>
            <w:r>
              <w:rPr>
                <w:rFonts w:ascii="Meiryo UI" w:hAnsi="Meiryo UI"/>
                <w:sz w:val="18"/>
              </w:rPr>
              <w:t>4.32%</w:t>
            </w:r>
          </w:p>
        </w:tc>
        <w:tc>
          <w:tcPr>
            <w:tcW w:type="dxa" w:w="1568"/>
          </w:tcPr>
          <w:p>
            <w:r>
              <w:rPr>
                <w:rFonts w:ascii="Meiryo UI" w:hAnsi="Meiryo UI"/>
                <w:sz w:val="18"/>
              </w:rPr>
              <w:t>¥4,250</w:t>
            </w:r>
          </w:p>
        </w:tc>
        <w:tc>
          <w:tcPr>
            <w:tcW w:type="dxa" w:w="1568"/>
          </w:tcPr>
          <w:p>
            <w:r>
              <w:rPr>
                <w:rFonts w:ascii="Meiryo UI" w:hAnsi="Meiryo UI"/>
                <w:sz w:val="18"/>
              </w:rPr>
              <w:t>+11.3%</w:t>
            </w:r>
          </w:p>
        </w:tc>
      </w:tr>
    </w:tbl>
    <w:p/>
    <w:p>
      <w:pPr>
        <w:pStyle w:val="Heading3"/>
      </w:pPr>
      <w:r>
        <w:rPr>
          <w:rFonts w:ascii="Meiryo UI" w:hAnsi="Meiryo UI"/>
          <w:color w:val="2E74B5"/>
        </w:rPr>
        <w:t>12.2 感応度テーブル（強気シナリオ）</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大幅低下（▲1.00%）</w:t>
            </w:r>
          </w:p>
        </w:tc>
        <w:tc>
          <w:tcPr>
            <w:tcW w:type="dxa" w:w="1881"/>
          </w:tcPr>
          <w:p>
            <w:r>
              <w:rPr>
                <w:rFonts w:ascii="Meiryo UI" w:hAnsi="Meiryo UI"/>
                <w:sz w:val="18"/>
              </w:rPr>
              <w:t>1.411%</w:t>
            </w:r>
          </w:p>
        </w:tc>
        <w:tc>
          <w:tcPr>
            <w:tcW w:type="dxa" w:w="1881"/>
          </w:tcPr>
          <w:p>
            <w:r>
              <w:rPr>
                <w:rFonts w:ascii="Meiryo UI" w:hAnsi="Meiryo UI"/>
                <w:sz w:val="18"/>
              </w:rPr>
              <w:t>2.94%</w:t>
            </w:r>
          </w:p>
        </w:tc>
        <w:tc>
          <w:tcPr>
            <w:tcW w:type="dxa" w:w="1881"/>
          </w:tcPr>
          <w:p>
            <w:r>
              <w:rPr>
                <w:rFonts w:ascii="Meiryo UI" w:hAnsi="Meiryo UI"/>
                <w:sz w:val="18"/>
              </w:rPr>
              <w:t>¥8,200</w:t>
            </w:r>
          </w:p>
        </w:tc>
        <w:tc>
          <w:tcPr>
            <w:tcW w:type="dxa" w:w="1881"/>
          </w:tcPr>
          <w:p>
            <w:r>
              <w:rPr>
                <w:rFonts w:ascii="Meiryo UI" w:hAnsi="Meiryo UI"/>
                <w:sz w:val="18"/>
              </w:rPr>
              <w:t>+114.8%</w:t>
            </w:r>
          </w:p>
        </w:tc>
      </w:tr>
      <w:tr>
        <w:tc>
          <w:tcPr>
            <w:tcW w:type="dxa" w:w="1881"/>
            <w:shd w:val="clear" w:color="auto" w:fill="DDEBF7"/>
          </w:tcPr>
          <w:p>
            <w:r>
              <w:rPr>
                <w:rFonts w:ascii="Meiryo UI" w:hAnsi="Meiryo UI"/>
                <w:sz w:val="18"/>
              </w:rPr>
              <w:t>中程度低下（▲0.50%）</w:t>
            </w:r>
          </w:p>
        </w:tc>
        <w:tc>
          <w:tcPr>
            <w:tcW w:type="dxa" w:w="1881"/>
            <w:shd w:val="clear" w:color="auto" w:fill="DDEBF7"/>
          </w:tcPr>
          <w:p>
            <w:r>
              <w:rPr>
                <w:rFonts w:ascii="Meiryo UI" w:hAnsi="Meiryo UI"/>
                <w:sz w:val="18"/>
              </w:rPr>
              <w:t>1.911%</w:t>
            </w:r>
          </w:p>
        </w:tc>
        <w:tc>
          <w:tcPr>
            <w:tcW w:type="dxa" w:w="1881"/>
            <w:shd w:val="clear" w:color="auto" w:fill="DDEBF7"/>
          </w:tcPr>
          <w:p>
            <w:r>
              <w:rPr>
                <w:rFonts w:ascii="Meiryo UI" w:hAnsi="Meiryo UI"/>
                <w:sz w:val="18"/>
              </w:rPr>
              <w:t>3.24%</w:t>
            </w:r>
          </w:p>
        </w:tc>
        <w:tc>
          <w:tcPr>
            <w:tcW w:type="dxa" w:w="1881"/>
            <w:shd w:val="clear" w:color="auto" w:fill="DDEBF7"/>
          </w:tcPr>
          <w:p>
            <w:r>
              <w:rPr>
                <w:rFonts w:ascii="Meiryo UI" w:hAnsi="Meiryo UI"/>
                <w:sz w:val="18"/>
              </w:rPr>
              <w:t>¥7,500</w:t>
            </w:r>
          </w:p>
        </w:tc>
        <w:tc>
          <w:tcPr>
            <w:tcW w:type="dxa" w:w="1881"/>
            <w:shd w:val="clear" w:color="auto" w:fill="DDEBF7"/>
          </w:tcPr>
          <w:p>
            <w:r>
              <w:rPr>
                <w:rFonts w:ascii="Meiryo UI" w:hAnsi="Meiryo UI"/>
                <w:sz w:val="18"/>
              </w:rPr>
              <w:t>+96.4%</w:t>
            </w:r>
          </w:p>
        </w:tc>
      </w:tr>
      <w:tr>
        <w:tc>
          <w:tcPr>
            <w:tcW w:type="dxa" w:w="1881"/>
          </w:tcPr>
          <w:p>
            <w:r>
              <w:rPr>
                <w:rFonts w:ascii="Meiryo UI" w:hAnsi="Meiryo UI"/>
                <w:sz w:val="18"/>
              </w:rPr>
              <w:t>小幅低下（▲0.25%）</w:t>
            </w:r>
          </w:p>
        </w:tc>
        <w:tc>
          <w:tcPr>
            <w:tcW w:type="dxa" w:w="1881"/>
          </w:tcPr>
          <w:p>
            <w:r>
              <w:rPr>
                <w:rFonts w:ascii="Meiryo UI" w:hAnsi="Meiryo UI"/>
                <w:sz w:val="18"/>
              </w:rPr>
              <w:t>2.161%</w:t>
            </w:r>
          </w:p>
        </w:tc>
        <w:tc>
          <w:tcPr>
            <w:tcW w:type="dxa" w:w="1881"/>
          </w:tcPr>
          <w:p>
            <w:r>
              <w:rPr>
                <w:rFonts w:ascii="Meiryo UI" w:hAnsi="Meiryo UI"/>
                <w:sz w:val="18"/>
              </w:rPr>
              <w:t>3.42%</w:t>
            </w:r>
          </w:p>
        </w:tc>
        <w:tc>
          <w:tcPr>
            <w:tcW w:type="dxa" w:w="1881"/>
          </w:tcPr>
          <w:p>
            <w:r>
              <w:rPr>
                <w:rFonts w:ascii="Meiryo UI" w:hAnsi="Meiryo UI"/>
                <w:sz w:val="18"/>
              </w:rPr>
              <w:t>¥7,100</w:t>
            </w:r>
          </w:p>
        </w:tc>
        <w:tc>
          <w:tcPr>
            <w:tcW w:type="dxa" w:w="1881"/>
          </w:tcPr>
          <w:p>
            <w:r>
              <w:rPr>
                <w:rFonts w:ascii="Meiryo UI" w:hAnsi="Meiryo UI"/>
                <w:sz w:val="18"/>
              </w:rPr>
              <w:t>+85.9%</w:t>
            </w:r>
          </w:p>
        </w:tc>
      </w:tr>
      <w:tr>
        <w:tc>
          <w:tcPr>
            <w:tcW w:type="dxa" w:w="1881"/>
            <w:shd w:val="clear" w:color="auto" w:fill="DDEBF7"/>
          </w:tcPr>
          <w:p>
            <w:r>
              <w:rPr>
                <w:rFonts w:ascii="Meiryo UI" w:hAnsi="Meiryo UI"/>
                <w:sz w:val="18"/>
              </w:rPr>
              <w:t>ベース（現状）</w:t>
            </w:r>
          </w:p>
        </w:tc>
        <w:tc>
          <w:tcPr>
            <w:tcW w:type="dxa" w:w="1881"/>
            <w:shd w:val="clear" w:color="auto" w:fill="DDEBF7"/>
          </w:tcPr>
          <w:p>
            <w:r>
              <w:rPr>
                <w:rFonts w:ascii="Meiryo UI" w:hAnsi="Meiryo UI"/>
                <w:sz w:val="18"/>
              </w:rPr>
              <w:t>2.411%</w:t>
            </w:r>
          </w:p>
        </w:tc>
        <w:tc>
          <w:tcPr>
            <w:tcW w:type="dxa" w:w="1881"/>
            <w:shd w:val="clear" w:color="auto" w:fill="DDEBF7"/>
          </w:tcPr>
          <w:p>
            <w:r>
              <w:rPr>
                <w:rFonts w:ascii="Meiryo UI" w:hAnsi="Meiryo UI"/>
                <w:sz w:val="18"/>
              </w:rPr>
              <w:t>3.60%</w:t>
            </w:r>
          </w:p>
        </w:tc>
        <w:tc>
          <w:tcPr>
            <w:tcW w:type="dxa" w:w="1881"/>
            <w:shd w:val="clear" w:color="auto" w:fill="DDEBF7"/>
          </w:tcPr>
          <w:p>
            <w:r>
              <w:rPr>
                <w:rFonts w:ascii="Meiryo UI" w:hAnsi="Meiryo UI"/>
                <w:sz w:val="18"/>
              </w:rPr>
              <w:t>¥6,800</w:t>
            </w:r>
          </w:p>
        </w:tc>
        <w:tc>
          <w:tcPr>
            <w:tcW w:type="dxa" w:w="1881"/>
            <w:shd w:val="clear" w:color="auto" w:fill="DDEBF7"/>
          </w:tcPr>
          <w:p>
            <w:r>
              <w:rPr>
                <w:rFonts w:ascii="Meiryo UI" w:hAnsi="Meiryo UI"/>
                <w:sz w:val="18"/>
              </w:rPr>
              <w:t>+78.1%</w:t>
            </w:r>
          </w:p>
        </w:tc>
      </w:tr>
      <w:tr>
        <w:tc>
          <w:tcPr>
            <w:tcW w:type="dxa" w:w="1881"/>
          </w:tcPr>
          <w:p>
            <w:r>
              <w:rPr>
                <w:rFonts w:ascii="Meiryo UI" w:hAnsi="Meiryo UI"/>
                <w:sz w:val="18"/>
              </w:rPr>
              <w:t>小幅上昇（+0.25%）</w:t>
            </w:r>
          </w:p>
        </w:tc>
        <w:tc>
          <w:tcPr>
            <w:tcW w:type="dxa" w:w="1881"/>
          </w:tcPr>
          <w:p>
            <w:r>
              <w:rPr>
                <w:rFonts w:ascii="Meiryo UI" w:hAnsi="Meiryo UI"/>
                <w:sz w:val="18"/>
              </w:rPr>
              <w:t>2.661%</w:t>
            </w:r>
          </w:p>
        </w:tc>
        <w:tc>
          <w:tcPr>
            <w:tcW w:type="dxa" w:w="1881"/>
          </w:tcPr>
          <w:p>
            <w:r>
              <w:rPr>
                <w:rFonts w:ascii="Meiryo UI" w:hAnsi="Meiryo UI"/>
                <w:sz w:val="18"/>
              </w:rPr>
              <w:t>3.78%</w:t>
            </w:r>
          </w:p>
        </w:tc>
        <w:tc>
          <w:tcPr>
            <w:tcW w:type="dxa" w:w="1881"/>
          </w:tcPr>
          <w:p>
            <w:r>
              <w:rPr>
                <w:rFonts w:ascii="Meiryo UI" w:hAnsi="Meiryo UI"/>
                <w:sz w:val="18"/>
              </w:rPr>
              <w:t>¥6,400</w:t>
            </w:r>
          </w:p>
        </w:tc>
        <w:tc>
          <w:tcPr>
            <w:tcW w:type="dxa" w:w="1881"/>
          </w:tcPr>
          <w:p>
            <w:r>
              <w:rPr>
                <w:rFonts w:ascii="Meiryo UI" w:hAnsi="Meiryo UI"/>
                <w:sz w:val="18"/>
              </w:rPr>
              <w:t>+67.6%</w:t>
            </w:r>
          </w:p>
        </w:tc>
      </w:tr>
      <w:tr>
        <w:tc>
          <w:tcPr>
            <w:tcW w:type="dxa" w:w="1881"/>
            <w:shd w:val="clear" w:color="auto" w:fill="DDEBF7"/>
          </w:tcPr>
          <w:p>
            <w:r>
              <w:rPr>
                <w:rFonts w:ascii="Meiryo UI" w:hAnsi="Meiryo UI"/>
                <w:sz w:val="18"/>
              </w:rPr>
              <w:t>中程度上昇（+0.50%）</w:t>
            </w:r>
          </w:p>
        </w:tc>
        <w:tc>
          <w:tcPr>
            <w:tcW w:type="dxa" w:w="1881"/>
            <w:shd w:val="clear" w:color="auto" w:fill="DDEBF7"/>
          </w:tcPr>
          <w:p>
            <w:r>
              <w:rPr>
                <w:rFonts w:ascii="Meiryo UI" w:hAnsi="Meiryo UI"/>
                <w:sz w:val="18"/>
              </w:rPr>
              <w:t>2.911%</w:t>
            </w:r>
          </w:p>
        </w:tc>
        <w:tc>
          <w:tcPr>
            <w:tcW w:type="dxa" w:w="1881"/>
            <w:shd w:val="clear" w:color="auto" w:fill="DDEBF7"/>
          </w:tcPr>
          <w:p>
            <w:r>
              <w:rPr>
                <w:rFonts w:ascii="Meiryo UI" w:hAnsi="Meiryo UI"/>
                <w:sz w:val="18"/>
              </w:rPr>
              <w:t>3.96%</w:t>
            </w:r>
          </w:p>
        </w:tc>
        <w:tc>
          <w:tcPr>
            <w:tcW w:type="dxa" w:w="1881"/>
            <w:shd w:val="clear" w:color="auto" w:fill="DDEBF7"/>
          </w:tcPr>
          <w:p>
            <w:r>
              <w:rPr>
                <w:rFonts w:ascii="Meiryo UI" w:hAnsi="Meiryo UI"/>
                <w:sz w:val="18"/>
              </w:rPr>
              <w:t>¥6,100</w:t>
            </w:r>
          </w:p>
        </w:tc>
        <w:tc>
          <w:tcPr>
            <w:tcW w:type="dxa" w:w="1881"/>
            <w:shd w:val="clear" w:color="auto" w:fill="DDEBF7"/>
          </w:tcPr>
          <w:p>
            <w:r>
              <w:rPr>
                <w:rFonts w:ascii="Meiryo UI" w:hAnsi="Meiryo UI"/>
                <w:sz w:val="18"/>
              </w:rPr>
              <w:t>+59.8%</w:t>
            </w:r>
          </w:p>
        </w:tc>
      </w:tr>
      <w:tr>
        <w:tc>
          <w:tcPr>
            <w:tcW w:type="dxa" w:w="1881"/>
          </w:tcPr>
          <w:p>
            <w:r>
              <w:rPr>
                <w:rFonts w:ascii="Meiryo UI" w:hAnsi="Meiryo UI"/>
                <w:sz w:val="18"/>
              </w:rPr>
              <w:t>大幅上昇（+1.00%）</w:t>
            </w:r>
          </w:p>
        </w:tc>
        <w:tc>
          <w:tcPr>
            <w:tcW w:type="dxa" w:w="1881"/>
          </w:tcPr>
          <w:p>
            <w:r>
              <w:rPr>
                <w:rFonts w:ascii="Meiryo UI" w:hAnsi="Meiryo UI"/>
                <w:sz w:val="18"/>
              </w:rPr>
              <w:t>3.411%</w:t>
            </w:r>
          </w:p>
        </w:tc>
        <w:tc>
          <w:tcPr>
            <w:tcW w:type="dxa" w:w="1881"/>
          </w:tcPr>
          <w:p>
            <w:r>
              <w:rPr>
                <w:rFonts w:ascii="Meiryo UI" w:hAnsi="Meiryo UI"/>
                <w:sz w:val="18"/>
              </w:rPr>
              <w:t>4.32%</w:t>
            </w:r>
          </w:p>
        </w:tc>
        <w:tc>
          <w:tcPr>
            <w:tcW w:type="dxa" w:w="1881"/>
          </w:tcPr>
          <w:p>
            <w:r>
              <w:rPr>
                <w:rFonts w:ascii="Meiryo UI" w:hAnsi="Meiryo UI"/>
                <w:sz w:val="18"/>
              </w:rPr>
              <w:t>¥5,500</w:t>
            </w:r>
          </w:p>
        </w:tc>
        <w:tc>
          <w:tcPr>
            <w:tcW w:type="dxa" w:w="1881"/>
          </w:tcPr>
          <w:p>
            <w:r>
              <w:rPr>
                <w:rFonts w:ascii="Meiryo UI" w:hAnsi="Meiryo UI"/>
                <w:sz w:val="18"/>
              </w:rPr>
              <w:t>+44.0%</w:t>
            </w:r>
          </w:p>
        </w:tc>
      </w:tr>
    </w:tbl>
    <w:p/>
    <w:p>
      <w:pPr>
        <w:pStyle w:val="Heading3"/>
      </w:pPr>
      <w:r>
        <w:rPr>
          <w:rFonts w:ascii="Meiryo UI" w:hAnsi="Meiryo UI"/>
          <w:color w:val="2E74B5"/>
        </w:rPr>
        <w:t>12.3 感応度テーブル（弱気シナリオ）</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大幅低下（▲1.00%）</w:t>
            </w:r>
          </w:p>
        </w:tc>
        <w:tc>
          <w:tcPr>
            <w:tcW w:type="dxa" w:w="1881"/>
          </w:tcPr>
          <w:p>
            <w:r>
              <w:rPr>
                <w:rFonts w:ascii="Meiryo UI" w:hAnsi="Meiryo UI"/>
                <w:sz w:val="18"/>
              </w:rPr>
              <w:t>1.411%</w:t>
            </w:r>
          </w:p>
        </w:tc>
        <w:tc>
          <w:tcPr>
            <w:tcW w:type="dxa" w:w="1881"/>
          </w:tcPr>
          <w:p>
            <w:r>
              <w:rPr>
                <w:rFonts w:ascii="Meiryo UI" w:hAnsi="Meiryo UI"/>
                <w:sz w:val="18"/>
              </w:rPr>
              <w:t>2.94%</w:t>
            </w:r>
          </w:p>
        </w:tc>
        <w:tc>
          <w:tcPr>
            <w:tcW w:type="dxa" w:w="1881"/>
          </w:tcPr>
          <w:p>
            <w:r>
              <w:rPr>
                <w:rFonts w:ascii="Meiryo UI" w:hAnsi="Meiryo UI"/>
                <w:sz w:val="18"/>
              </w:rPr>
              <w:t>¥3,400</w:t>
            </w:r>
          </w:p>
        </w:tc>
        <w:tc>
          <w:tcPr>
            <w:tcW w:type="dxa" w:w="1881"/>
          </w:tcPr>
          <w:p>
            <w:r>
              <w:rPr>
                <w:rFonts w:ascii="Meiryo UI" w:hAnsi="Meiryo UI"/>
                <w:sz w:val="18"/>
              </w:rPr>
              <w:t>▲11.0%</w:t>
            </w:r>
          </w:p>
        </w:tc>
      </w:tr>
      <w:tr>
        <w:tc>
          <w:tcPr>
            <w:tcW w:type="dxa" w:w="1881"/>
            <w:shd w:val="clear" w:color="auto" w:fill="DDEBF7"/>
          </w:tcPr>
          <w:p>
            <w:r>
              <w:rPr>
                <w:rFonts w:ascii="Meiryo UI" w:hAnsi="Meiryo UI"/>
                <w:sz w:val="18"/>
              </w:rPr>
              <w:t>中程度低下（▲0.50%）</w:t>
            </w:r>
          </w:p>
        </w:tc>
        <w:tc>
          <w:tcPr>
            <w:tcW w:type="dxa" w:w="1881"/>
            <w:shd w:val="clear" w:color="auto" w:fill="DDEBF7"/>
          </w:tcPr>
          <w:p>
            <w:r>
              <w:rPr>
                <w:rFonts w:ascii="Meiryo UI" w:hAnsi="Meiryo UI"/>
                <w:sz w:val="18"/>
              </w:rPr>
              <w:t>1.911%</w:t>
            </w:r>
          </w:p>
        </w:tc>
        <w:tc>
          <w:tcPr>
            <w:tcW w:type="dxa" w:w="1881"/>
            <w:shd w:val="clear" w:color="auto" w:fill="DDEBF7"/>
          </w:tcPr>
          <w:p>
            <w:r>
              <w:rPr>
                <w:rFonts w:ascii="Meiryo UI" w:hAnsi="Meiryo UI"/>
                <w:sz w:val="18"/>
              </w:rPr>
              <w:t>3.24%</w:t>
            </w:r>
          </w:p>
        </w:tc>
        <w:tc>
          <w:tcPr>
            <w:tcW w:type="dxa" w:w="1881"/>
            <w:shd w:val="clear" w:color="auto" w:fill="DDEBF7"/>
          </w:tcPr>
          <w:p>
            <w:r>
              <w:rPr>
                <w:rFonts w:ascii="Meiryo UI" w:hAnsi="Meiryo UI"/>
                <w:sz w:val="18"/>
              </w:rPr>
              <w:t>¥3,200</w:t>
            </w:r>
          </w:p>
        </w:tc>
        <w:tc>
          <w:tcPr>
            <w:tcW w:type="dxa" w:w="1881"/>
            <w:shd w:val="clear" w:color="auto" w:fill="DDEBF7"/>
          </w:tcPr>
          <w:p>
            <w:r>
              <w:rPr>
                <w:rFonts w:ascii="Meiryo UI" w:hAnsi="Meiryo UI"/>
                <w:sz w:val="18"/>
              </w:rPr>
              <w:t>▲16.2%</w:t>
            </w:r>
          </w:p>
        </w:tc>
      </w:tr>
      <w:tr>
        <w:tc>
          <w:tcPr>
            <w:tcW w:type="dxa" w:w="1881"/>
          </w:tcPr>
          <w:p>
            <w:r>
              <w:rPr>
                <w:rFonts w:ascii="Meiryo UI" w:hAnsi="Meiryo UI"/>
                <w:sz w:val="18"/>
              </w:rPr>
              <w:t>小幅低下（▲0.25%）</w:t>
            </w:r>
          </w:p>
        </w:tc>
        <w:tc>
          <w:tcPr>
            <w:tcW w:type="dxa" w:w="1881"/>
          </w:tcPr>
          <w:p>
            <w:r>
              <w:rPr>
                <w:rFonts w:ascii="Meiryo UI" w:hAnsi="Meiryo UI"/>
                <w:sz w:val="18"/>
              </w:rPr>
              <w:t>2.161%</w:t>
            </w:r>
          </w:p>
        </w:tc>
        <w:tc>
          <w:tcPr>
            <w:tcW w:type="dxa" w:w="1881"/>
          </w:tcPr>
          <w:p>
            <w:r>
              <w:rPr>
                <w:rFonts w:ascii="Meiryo UI" w:hAnsi="Meiryo UI"/>
                <w:sz w:val="18"/>
              </w:rPr>
              <w:t>3.42%</w:t>
            </w:r>
          </w:p>
        </w:tc>
        <w:tc>
          <w:tcPr>
            <w:tcW w:type="dxa" w:w="1881"/>
          </w:tcPr>
          <w:p>
            <w:r>
              <w:rPr>
                <w:rFonts w:ascii="Meiryo UI" w:hAnsi="Meiryo UI"/>
                <w:sz w:val="18"/>
              </w:rPr>
              <w:t>¥3,100</w:t>
            </w:r>
          </w:p>
        </w:tc>
        <w:tc>
          <w:tcPr>
            <w:tcW w:type="dxa" w:w="1881"/>
          </w:tcPr>
          <w:p>
            <w:r>
              <w:rPr>
                <w:rFonts w:ascii="Meiryo UI" w:hAnsi="Meiryo UI"/>
                <w:sz w:val="18"/>
              </w:rPr>
              <w:t>▲18.8%</w:t>
            </w:r>
          </w:p>
        </w:tc>
      </w:tr>
      <w:tr>
        <w:tc>
          <w:tcPr>
            <w:tcW w:type="dxa" w:w="1881"/>
            <w:shd w:val="clear" w:color="auto" w:fill="DDEBF7"/>
          </w:tcPr>
          <w:p>
            <w:r>
              <w:rPr>
                <w:rFonts w:ascii="Meiryo UI" w:hAnsi="Meiryo UI"/>
                <w:sz w:val="18"/>
              </w:rPr>
              <w:t>ベース（現状）</w:t>
            </w:r>
          </w:p>
        </w:tc>
        <w:tc>
          <w:tcPr>
            <w:tcW w:type="dxa" w:w="1881"/>
            <w:shd w:val="clear" w:color="auto" w:fill="DDEBF7"/>
          </w:tcPr>
          <w:p>
            <w:r>
              <w:rPr>
                <w:rFonts w:ascii="Meiryo UI" w:hAnsi="Meiryo UI"/>
                <w:sz w:val="18"/>
              </w:rPr>
              <w:t>2.411%</w:t>
            </w:r>
          </w:p>
        </w:tc>
        <w:tc>
          <w:tcPr>
            <w:tcW w:type="dxa" w:w="1881"/>
            <w:shd w:val="clear" w:color="auto" w:fill="DDEBF7"/>
          </w:tcPr>
          <w:p>
            <w:r>
              <w:rPr>
                <w:rFonts w:ascii="Meiryo UI" w:hAnsi="Meiryo UI"/>
                <w:sz w:val="18"/>
              </w:rPr>
              <w:t>3.60%</w:t>
            </w:r>
          </w:p>
        </w:tc>
        <w:tc>
          <w:tcPr>
            <w:tcW w:type="dxa" w:w="1881"/>
            <w:shd w:val="clear" w:color="auto" w:fill="DDEBF7"/>
          </w:tcPr>
          <w:p>
            <w:r>
              <w:rPr>
                <w:rFonts w:ascii="Meiryo UI" w:hAnsi="Meiryo UI"/>
                <w:sz w:val="18"/>
              </w:rPr>
              <w:t>¥2,900</w:t>
            </w:r>
          </w:p>
        </w:tc>
        <w:tc>
          <w:tcPr>
            <w:tcW w:type="dxa" w:w="1881"/>
            <w:shd w:val="clear" w:color="auto" w:fill="DDEBF7"/>
          </w:tcPr>
          <w:p>
            <w:r>
              <w:rPr>
                <w:rFonts w:ascii="Meiryo UI" w:hAnsi="Meiryo UI"/>
                <w:sz w:val="18"/>
              </w:rPr>
              <w:t>▲24.0%</w:t>
            </w:r>
          </w:p>
        </w:tc>
      </w:tr>
      <w:tr>
        <w:tc>
          <w:tcPr>
            <w:tcW w:type="dxa" w:w="1881"/>
          </w:tcPr>
          <w:p>
            <w:r>
              <w:rPr>
                <w:rFonts w:ascii="Meiryo UI" w:hAnsi="Meiryo UI"/>
                <w:sz w:val="18"/>
              </w:rPr>
              <w:t>小幅上昇（+0.25%）</w:t>
            </w:r>
          </w:p>
        </w:tc>
        <w:tc>
          <w:tcPr>
            <w:tcW w:type="dxa" w:w="1881"/>
          </w:tcPr>
          <w:p>
            <w:r>
              <w:rPr>
                <w:rFonts w:ascii="Meiryo UI" w:hAnsi="Meiryo UI"/>
                <w:sz w:val="18"/>
              </w:rPr>
              <w:t>2.661%</w:t>
            </w:r>
          </w:p>
        </w:tc>
        <w:tc>
          <w:tcPr>
            <w:tcW w:type="dxa" w:w="1881"/>
          </w:tcPr>
          <w:p>
            <w:r>
              <w:rPr>
                <w:rFonts w:ascii="Meiryo UI" w:hAnsi="Meiryo UI"/>
                <w:sz w:val="18"/>
              </w:rPr>
              <w:t>3.78%</w:t>
            </w:r>
          </w:p>
        </w:tc>
        <w:tc>
          <w:tcPr>
            <w:tcW w:type="dxa" w:w="1881"/>
          </w:tcPr>
          <w:p>
            <w:r>
              <w:rPr>
                <w:rFonts w:ascii="Meiryo UI" w:hAnsi="Meiryo UI"/>
                <w:sz w:val="18"/>
              </w:rPr>
              <w:t>¥2,700</w:t>
            </w:r>
          </w:p>
        </w:tc>
        <w:tc>
          <w:tcPr>
            <w:tcW w:type="dxa" w:w="1881"/>
          </w:tcPr>
          <w:p>
            <w:r>
              <w:rPr>
                <w:rFonts w:ascii="Meiryo UI" w:hAnsi="Meiryo UI"/>
                <w:sz w:val="18"/>
              </w:rPr>
              <w:t>▲29.3%</w:t>
            </w:r>
          </w:p>
        </w:tc>
      </w:tr>
      <w:tr>
        <w:tc>
          <w:tcPr>
            <w:tcW w:type="dxa" w:w="1881"/>
            <w:shd w:val="clear" w:color="auto" w:fill="DDEBF7"/>
          </w:tcPr>
          <w:p>
            <w:r>
              <w:rPr>
                <w:rFonts w:ascii="Meiryo UI" w:hAnsi="Meiryo UI"/>
                <w:sz w:val="18"/>
              </w:rPr>
              <w:t>中程度上昇（+0.50%）</w:t>
            </w:r>
          </w:p>
        </w:tc>
        <w:tc>
          <w:tcPr>
            <w:tcW w:type="dxa" w:w="1881"/>
            <w:shd w:val="clear" w:color="auto" w:fill="DDEBF7"/>
          </w:tcPr>
          <w:p>
            <w:r>
              <w:rPr>
                <w:rFonts w:ascii="Meiryo UI" w:hAnsi="Meiryo UI"/>
                <w:sz w:val="18"/>
              </w:rPr>
              <w:t>2.911%</w:t>
            </w:r>
          </w:p>
        </w:tc>
        <w:tc>
          <w:tcPr>
            <w:tcW w:type="dxa" w:w="1881"/>
            <w:shd w:val="clear" w:color="auto" w:fill="DDEBF7"/>
          </w:tcPr>
          <w:p>
            <w:r>
              <w:rPr>
                <w:rFonts w:ascii="Meiryo UI" w:hAnsi="Meiryo UI"/>
                <w:sz w:val="18"/>
              </w:rPr>
              <w:t>3.96%</w:t>
            </w:r>
          </w:p>
        </w:tc>
        <w:tc>
          <w:tcPr>
            <w:tcW w:type="dxa" w:w="1881"/>
            <w:shd w:val="clear" w:color="auto" w:fill="DDEBF7"/>
          </w:tcPr>
          <w:p>
            <w:r>
              <w:rPr>
                <w:rFonts w:ascii="Meiryo UI" w:hAnsi="Meiryo UI"/>
                <w:sz w:val="18"/>
              </w:rPr>
              <w:t>¥2,500</w:t>
            </w:r>
          </w:p>
        </w:tc>
        <w:tc>
          <w:tcPr>
            <w:tcW w:type="dxa" w:w="1881"/>
            <w:shd w:val="clear" w:color="auto" w:fill="DDEBF7"/>
          </w:tcPr>
          <w:p>
            <w:r>
              <w:rPr>
                <w:rFonts w:ascii="Meiryo UI" w:hAnsi="Meiryo UI"/>
                <w:sz w:val="18"/>
              </w:rPr>
              <w:t>▲34.5%</w:t>
            </w:r>
          </w:p>
        </w:tc>
      </w:tr>
      <w:tr>
        <w:tc>
          <w:tcPr>
            <w:tcW w:type="dxa" w:w="1881"/>
          </w:tcPr>
          <w:p>
            <w:r>
              <w:rPr>
                <w:rFonts w:ascii="Meiryo UI" w:hAnsi="Meiryo UI"/>
                <w:sz w:val="18"/>
              </w:rPr>
              <w:t>大幅上昇（+1.00%）</w:t>
            </w:r>
          </w:p>
        </w:tc>
        <w:tc>
          <w:tcPr>
            <w:tcW w:type="dxa" w:w="1881"/>
          </w:tcPr>
          <w:p>
            <w:r>
              <w:rPr>
                <w:rFonts w:ascii="Meiryo UI" w:hAnsi="Meiryo UI"/>
                <w:sz w:val="18"/>
              </w:rPr>
              <w:t>3.411%</w:t>
            </w:r>
          </w:p>
        </w:tc>
        <w:tc>
          <w:tcPr>
            <w:tcW w:type="dxa" w:w="1881"/>
          </w:tcPr>
          <w:p>
            <w:r>
              <w:rPr>
                <w:rFonts w:ascii="Meiryo UI" w:hAnsi="Meiryo UI"/>
                <w:sz w:val="18"/>
              </w:rPr>
              <w:t>4.32%</w:t>
            </w:r>
          </w:p>
        </w:tc>
        <w:tc>
          <w:tcPr>
            <w:tcW w:type="dxa" w:w="1881"/>
          </w:tcPr>
          <w:p>
            <w:r>
              <w:rPr>
                <w:rFonts w:ascii="Meiryo UI" w:hAnsi="Meiryo UI"/>
                <w:sz w:val="18"/>
              </w:rPr>
              <w:t>¥2,200</w:t>
            </w:r>
          </w:p>
        </w:tc>
        <w:tc>
          <w:tcPr>
            <w:tcW w:type="dxa" w:w="1881"/>
          </w:tcPr>
          <w:p>
            <w:r>
              <w:rPr>
                <w:rFonts w:ascii="Meiryo UI" w:hAnsi="Meiryo UI"/>
                <w:sz w:val="18"/>
              </w:rPr>
              <w:t>▲42.4%</w:t>
            </w:r>
          </w:p>
        </w:tc>
      </w:tr>
    </w:tbl>
    <w:p/>
    <w:p>
      <w:pPr>
        <w:pStyle w:val="Heading3"/>
      </w:pPr>
      <w:r>
        <w:rPr>
          <w:rFonts w:ascii="Meiryo UI" w:hAnsi="Meiryo UI"/>
          <w:color w:val="2E74B5"/>
        </w:rPr>
        <w:t>12.4 感応度分析の結論</w:t>
      </w:r>
    </w:p>
    <w:p/>
    <w:p>
      <w:pPr>
        <w:shd w:val="clear" w:color="auto" w:fill="F2F2F2"/>
      </w:pPr>
      <w:r>
        <w:rPr>
          <w:rFonts w:ascii="Courier New" w:hAnsi="Courier New"/>
          <w:sz w:val="16"/>
        </w:rPr>
        <w:t>金利感応度分析の要点：</w:t>
        <w:br/>
        <w:br/>
        <w:t>1. 日本10年国債が現状の2.411%から上昇する局面でも、</w:t>
        <w:br/>
        <w:t xml:space="preserve">   ベースシナリオでは+1.00%金利上昇下でも¥4,250（+11.3%）と</w:t>
        <w:br/>
        <w:t xml:space="preserve">   依然として上昇余地を維持。</w:t>
        <w:br/>
        <w:br/>
        <w:t>2. NAV（含み資産）ベースのバリュエーションは金利感応度が</w:t>
        <w:br/>
        <w:t xml:space="preserve">   純粋DCFより低い（実物資産は金利変動に対して相対的に安定）。</w:t>
        <w:br/>
        <w:br/>
        <w:t>3. 最悪ケース（弱気×金利大幅上昇）：¥2,200（現値比▲42%）</w:t>
        <w:br/>
        <w:t xml:space="preserve">   このシナリオは停戦+景気後退+のれん減損の同時発現が必要。</w:t>
        <w:br/>
        <w:t xml:space="preserve">   確率は5〜10%と低いが損切りライン¥3,200の設定を推奨する根拠。</w:t>
        <w:br/>
        <w:br/>
        <w:t>4. 総括：金利は現状維持〜小幅上昇が予想され、</w:t>
        <w:br/>
        <w:t xml:space="preserve">         理論株価レンジ¥4,700〜¥5,700が現実的な着地点。</w:t>
      </w:r>
    </w:p>
    <w:p/>
    <w:p>
      <w:r>
        <w:t>──────────────────────────────────────────────────</w:t>
      </w:r>
    </w:p>
    <w:p/>
    <w:p>
      <w:pPr>
        <w:pStyle w:val="Heading2"/>
      </w:pPr>
      <w:r>
        <w:rPr>
          <w:rFonts w:ascii="Meiryo UI" w:hAnsi="Meiryo UI"/>
          <w:color w:val="2E74B5"/>
        </w:rPr>
        <w:t>13. 浅井速報との統合評価</w:t>
      </w:r>
    </w:p>
    <w:p/>
    <w:p>
      <w:pPr>
        <w:pStyle w:val="Heading3"/>
      </w:pPr>
      <w:r>
        <w:rPr>
          <w:rFonts w:ascii="Meiryo UI" w:hAnsi="Meiryo UI"/>
          <w:color w:val="2E74B5"/>
        </w:rPr>
        <w:t>浅井速報との整合性確認</w:t>
      </w:r>
    </w:p>
    <w:p/>
    <w:p>
      <w:pPr>
        <w:shd w:val="clear" w:color="auto" w:fill="F2F2F2"/>
      </w:pPr>
      <w:r>
        <w:rPr>
          <w:rFonts w:ascii="Courier New" w:hAnsi="Courier New"/>
          <w:sz w:val="16"/>
        </w:rPr>
        <w:t>【浅井速報評価】</w:t>
        <w:br/>
        <w:t>スコア：+0（BUY）</w:t>
        <w:br/>
        <w:t>コメント：エポキシ樹脂値上げ発表で浮上。</w:t>
        <w:br/>
        <w:t xml:space="preserve">         軸①：AI半導体封止材×価格転嫁力</w:t>
        <w:br/>
        <w:t xml:space="preserve">         軸②：川村記念美術館の簿外資産</w:t>
        <w:br/>
        <w:br/>
        <w:t>【深井による定量検証結果】</w:t>
        <w:br/>
        <w:br/>
        <w:t>浅井評価①（AI封止材×価格転嫁）：✅ 定量的に確認</w:t>
        <w:br/>
        <w:t xml:space="preserve"> → EPS+¥48（+14%）の改善。AI封止材は年率25〜35%成長。</w:t>
        <w:br/>
        <w:t xml:space="preserve"> → 半導体封止材顧客への転嫁力「★★★★★」で最も強い顧客層。</w:t>
        <w:br/>
        <w:t xml:space="preserve"> → 浅井評価を「完全に支持」する定量エビデンスあり。</w:t>
        <w:br/>
        <w:br/>
        <w:t>浅井評価②（川村記念美術館）：✅✅ 期待以上に強力</w:t>
        <w:br/>
        <w:t xml:space="preserve"> → コレクション時価推計¥1,500億（中央値）</w:t>
        <w:br/>
        <w:t xml:space="preserve"> → 含み益¥1,425億は1株換算¥1,969（現在BPSの40%相当）</w:t>
        <w:br/>
        <w:t xml:space="preserve"> → 市場での完全な認知不足を確認。</w:t>
        <w:br/>
        <w:t xml:space="preserve"> → NAV修正PBR：0.55倍（帳簿PBR 0.77倍より更に割安）</w:t>
        <w:br/>
        <w:t xml:space="preserve"> → 浅井の着眼点を「強く支持」し、さらに上振れ要因として機能。</w:t>
        <w:br/>
        <w:br/>
        <w:t>センチメント vs 本源的価値ギャップ：</w:t>
        <w:br/>
        <w:t xml:space="preserve"> 市場センチメント：景気循環化学株として低評価（PBR 0.77倍）</w:t>
        <w:br/>
        <w:t xml:space="preserve"> 本源的価値：含み資産+成長カタリストで大幅割安</w:t>
        <w:br/>
        <w:t xml:space="preserve"> ギャップ：+36〜78%（ベース〜強気）</w:t>
        <w:br/>
        <w:br/>
        <w:t>→ センチメントと本源的価値のギャップが最大級の投資機会を示している。</w:t>
        <w:br/>
        <w:t>→ 浅井速報スコア+0（BUY）は正当化される。深井は「強いBUY」に格上げ推奨。</w:t>
      </w:r>
    </w:p>
    <w:p/>
    <w:p>
      <w:r>
        <w:t>──────────────────────────────────────────────────</w:t>
      </w:r>
    </w:p>
    <w:p/>
    <w:p>
      <w:pPr>
        <w:pStyle w:val="Heading2"/>
      </w:pPr>
      <w:r>
        <w:rPr>
          <w:rFonts w:ascii="Meiryo UI" w:hAnsi="Meiryo UI"/>
          <w:color w:val="2E74B5"/>
        </w:rPr>
        <w:t>14. 社長への推奨アクション</w:t>
      </w:r>
    </w:p>
    <w:p/>
    <w:p>
      <w:pPr>
        <w:pStyle w:val="Heading3"/>
      </w:pPr>
      <w:r>
        <w:rPr>
          <w:rFonts w:ascii="Meiryo UI" w:hAnsi="Meiryo UI"/>
          <w:color w:val="2E74B5"/>
        </w:rPr>
        <w:t>14.1 エントリー戦略</w:t>
      </w:r>
    </w:p>
    <w:p/>
    <w:p>
      <w:pPr>
        <w:shd w:val="clear" w:color="auto" w:fill="F2F2F2"/>
      </w:pPr>
      <w:r>
        <w:rPr>
          <w:rFonts w:ascii="Courier New" w:hAnsi="Courier New"/>
          <w:sz w:val="16"/>
        </w:rPr>
        <w:t>【竹村社長への具体的推奨アクション】</w:t>
        <w:br/>
        <w:br/>
        <w:t>■ 投資判断：強いBUY（深井格付け）</w:t>
        <w:br/>
        <w:t>■ 優先度：2（社長指示通り）</w:t>
        <w:br/>
        <w:br/>
        <w:t>【エントリー戦略】</w:t>
        <w:br/>
        <w:br/>
        <w:t>Phase 1（即時〜2週間以内）：</w:t>
        <w:br/>
        <w:t xml:space="preserve"> エントリー価格：¥3,600〜¥3,900</w:t>
        <w:br/>
        <w:t xml:space="preserve"> 推奨ポジションサイズ：ポートフォリオの3〜4%</w:t>
        <w:br/>
        <w:t xml:space="preserve"> 理由：4/15値上げ実施前後で市場の反応を確認してから入るのが賢明</w:t>
        <w:br/>
        <w:t xml:space="preserve">      ただし川村記念美術館の売却報道が出た場合は即時フルエントリー</w:t>
        <w:br/>
        <w:br/>
        <w:t>Phase 2（1〜3ヶ月以内，追加）：</w:t>
        <w:br/>
        <w:t xml:space="preserve"> 追加エントリー価格：¥3,400〜¥3,600（押し目）</w:t>
        <w:br/>
        <w:t xml:space="preserve"> 追加サイズ：ポートフォリオ+2%</w:t>
        <w:br/>
        <w:t xml:space="preserve"> トリガー：4月〜5月の決算発表で値上げ効果の利益改善確認後</w:t>
        <w:br/>
        <w:br/>
        <w:t>Phase 3（カタリスト発動時）：</w:t>
        <w:br/>
        <w:t xml:space="preserve"> 川村記念美術館売却報道・アクティビスト登場時：</w:t>
        <w:br/>
        <w:t xml:space="preserve">  → 既存ポジションの利確は急がず、ホールド継続</w:t>
        <w:br/>
        <w:t xml:space="preserve">  → 目標株価を¥5,200→¥6,800に引き上げ</w:t>
        <w:br/>
        <w:br/>
        <w:t>【損切りルール】</w:t>
        <w:br/>
        <w:t xml:space="preserve"> 損切りライン：¥3,200</w:t>
        <w:br/>
        <w:t xml:space="preserve"> 根拠：帳簿BPS（¥4,973）の64%水準で心理的サポートライン</w:t>
        <w:br/>
        <w:t xml:space="preserve"> Sun Chemical のれん減損発表があった場合：</w:t>
        <w:br/>
        <w:t xml:space="preserve"> → ¥3,200を¥2,800に引き下げて再評価</w:t>
        <w:br/>
        <w:br/>
        <w:t>【利確ルール（段階的）】</w:t>
        <w:br/>
        <w:t xml:space="preserve"> 第1ターゲット：¥4,500（+17.9%）→ 30%利確</w:t>
        <w:br/>
        <w:t xml:space="preserve"> 第2ターゲット：¥5,200（+36.2%）→ 40%利確</w:t>
        <w:br/>
        <w:t xml:space="preserve"> 第3ターゲット：¥6,500+（美術館売却確認後）→ 残り30%ホールド</w:t>
        <w:br/>
        <w:br/>
        <w:t>【時間軸】</w:t>
        <w:br/>
        <w:t xml:space="preserve"> コア保有期間：12〜18ヶ月</w:t>
        <w:br/>
        <w:t xml:space="preserve"> 最長保有シナリオ：美術館売却プロセス完了まで（2〜3年）</w:t>
      </w:r>
    </w:p>
    <w:p/>
    <w:p>
      <w:pPr>
        <w:pStyle w:val="Heading3"/>
      </w:pPr>
      <w:r>
        <w:rPr>
          <w:rFonts w:ascii="Meiryo UI" w:hAnsi="Meiryo UI"/>
          <w:color w:val="2E74B5"/>
        </w:rPr>
        <w:t>14.2 モニタリング項目</w:t>
      </w:r>
    </w:p>
    <w:p/>
    <w:p>
      <w:pPr>
        <w:shd w:val="clear" w:color="auto" w:fill="F2F2F2"/>
      </w:pPr>
      <w:r>
        <w:rPr>
          <w:rFonts w:ascii="Courier New" w:hAnsi="Courier New"/>
          <w:sz w:val="16"/>
        </w:rPr>
        <w:t>【月次モニタリング項目（優先順位）】</w:t>
        <w:br/>
        <w:br/>
        <w:t>Priority 1（毎月確認）：</w:t>
        <w:br/>
        <w:t xml:space="preserve"> □ DIC川村記念美術館の休館延長・売却報道</w:t>
        <w:br/>
        <w:t xml:space="preserve"> □ エポキシ樹脂値上げの浸透状況（顧客との交渉進捗）</w:t>
        <w:br/>
        <w:t xml:space="preserve"> □ ナフサ価格動向（WTI原油との連動確認）</w:t>
        <w:br/>
        <w:t xml:space="preserve"> □ AI半導体パッケージング市場の受注動向</w:t>
        <w:br/>
        <w:br/>
        <w:t>Priority 2（四半期確認）：</w:t>
        <w:br/>
        <w:t xml:space="preserve"> □ DIC決算発表での機能材料セグメント利益率</w:t>
        <w:br/>
        <w:t xml:space="preserve"> □ のれん減損テストの注記確認</w:t>
        <w:br/>
        <w:t xml:space="preserve"> □ アクティビスト株主の動向（大量保有報告書）</w:t>
        <w:br/>
        <w:br/>
        <w:t>Priority 3（半期確認）：</w:t>
        <w:br/>
        <w:t xml:space="preserve"> □ 競合（住友ベークライト・昭和電工マテリアル）の値上げ動向</w:t>
        <w:br/>
        <w:t xml:space="preserve"> □ AI投資関連（Google/Anthropic等）のハードウェア調達計画</w:t>
        <w:br/>
        <w:t xml:space="preserve"> □ 日本国内の地価動向（佐倉エリア）</w:t>
      </w:r>
    </w:p>
    <w:p/>
    <w:p>
      <w:pPr>
        <w:pStyle w:val="Heading3"/>
      </w:pPr>
      <w:r>
        <w:rPr>
          <w:rFonts w:ascii="Meiryo UI" w:hAnsi="Meiryo UI"/>
          <w:color w:val="2E74B5"/>
        </w:rPr>
        <w:t>14.3 深井最終コメント</w:t>
      </w:r>
    </w:p>
    <w:p/>
    <w:p>
      <w:r>
        <w:rPr>
          <w:rFonts w:ascii="Meiryo UI" w:hAnsi="Meiryo UI"/>
          <w:sz w:val="20"/>
        </w:rPr>
        <w:t>&gt; 「DIC（4631）は『静かな宝箱』だ。</w:t>
      </w:r>
    </w:p>
    <w:p>
      <w:r>
        <w:rPr>
          <w:rFonts w:ascii="Meiryo UI" w:hAnsi="Meiryo UI"/>
          <w:sz w:val="20"/>
        </w:rPr>
        <w:t>&gt;</w:t>
      </w:r>
    </w:p>
    <w:p>
      <w:r>
        <w:rPr>
          <w:rFonts w:ascii="Meiryo UI" w:hAnsi="Meiryo UI"/>
          <w:sz w:val="20"/>
        </w:rPr>
        <w:t>&gt; 表面的には低ROE（7.3%）・低PBR（0.77倍）の冴えない化学メーカーに見える。しかし蓋を開けると、①ホルムズ封鎖という地政学的ショックが皮肉にも価格転嫁のカタリストとなるエポキシ樹脂事業、②AI半導体パッケージングという10年に1度の産業転換期に位置する封止材事業、③千葉の森の中に眠るロスコ・モンドリアン・モネという¥1,500億超のコレクション——この三つが完全に市場に無視されている。</w:t>
      </w:r>
    </w:p>
    <w:p>
      <w:r>
        <w:rPr>
          <w:rFonts w:ascii="Meiryo UI" w:hAnsi="Meiryo UI"/>
          <w:sz w:val="20"/>
        </w:rPr>
        <w:t>&gt;</w:t>
      </w:r>
    </w:p>
    <w:p>
      <w:r>
        <w:rPr>
          <w:rFonts w:ascii="Meiryo UI" w:hAnsi="Meiryo UI"/>
          <w:sz w:val="20"/>
        </w:rPr>
        <w:t>&gt; 特に川村記念美術館は『最後の隠れた資産』だ。休館から1年以上が経過し、DIC経営陣は何らかの意思決定を迫られている。コレクション売却の公式発表があれば、株価は1日で¥1,000以上動く可能性がある。この銘柄は目標株価¥5,200（ベース）を目指しながら、美術館カタリストという『無料のコールオプション』を同時に保有できる構造になっている。</w:t>
      </w:r>
    </w:p>
    <w:p>
      <w:r>
        <w:rPr>
          <w:rFonts w:ascii="Meiryo UI" w:hAnsi="Meiryo UI"/>
          <w:sz w:val="20"/>
        </w:rPr>
        <w:t>&gt;</w:t>
      </w:r>
    </w:p>
    <w:p>
      <w:r>
        <w:rPr>
          <w:rFonts w:ascii="Meiryo UI" w:hAnsi="Meiryo UI"/>
          <w:sz w:val="20"/>
        </w:rPr>
        <w:t>&gt; リスクは太平洋の向こうの停戦交渉とSun Chemicalののれんだが、損切り¥3,200を遵守すればリスクリワード比は2.25:1で納得できる水準。優先度2として精査したが、川村記念美術館カタリストが動いた瞬間に優先度1に格上げすることを社長に進言する。」</w:t>
      </w:r>
    </w:p>
    <w:p>
      <w:r>
        <w:rPr>
          <w:rFonts w:ascii="Meiryo UI" w:hAnsi="Meiryo UI"/>
          <w:sz w:val="20"/>
        </w:rPr>
        <w:t>&gt;</w:t>
      </w:r>
    </w:p>
    <w:p>
      <w:r>
        <w:rPr>
          <w:rFonts w:ascii="Meiryo UI" w:hAnsi="Meiryo UI"/>
          <w:sz w:val="20"/>
        </w:rPr>
        <w:t>&gt; — 深井（竹村トレードカンパニー・アナリスト）</w:t>
      </w:r>
    </w:p>
    <w:p/>
    <w:p>
      <w:r>
        <w:t>──────────────────────────────────────────────────</w:t>
      </w:r>
    </w:p>
    <w:p/>
    <w:p>
      <w:r>
        <w:rPr>
          <w:rFonts w:ascii="Meiryo UI" w:hAnsi="Meiryo UI"/>
          <w:sz w:val="20"/>
        </w:rPr>
        <w:t>【免責事項】 本レポートは竹村トレードカンパニー内部の分析目的のみに使用される。財務指標（PBR 0.77倍・BPS ¥4,973・ROE 7.3%・PER 11.2倍・EPS ¥342）はyfinanceリアルタイム取得値のみを使用。川村記念美術館の美術品時価推計は公開情報・オークション実績に基づく推計値であり、専門家による個別鑑定値ではない。投資判断は自己責任で行うこと。</w:t>
      </w:r>
    </w:p>
    <w:p/>
    <w:p>
      <w:r>
        <w:t>──────────────────────────────────────────────────</w:t>
      </w:r>
    </w:p>
    <w:p>
      <w:r>
        <w:rPr>
          <w:rFonts w:ascii="Meiryo UI" w:hAnsi="Meiryo UI"/>
          <w:sz w:val="20"/>
        </w:rPr>
        <w:t>レポート作成：深井（DIC担当アナリスト）/ 竹村トレードカンパニー</w:t>
      </w:r>
    </w:p>
    <w:p>
      <w:r>
        <w:rPr>
          <w:rFonts w:ascii="Meiryo UI" w:hAnsi="Meiryo UI"/>
          <w:sz w:val="20"/>
        </w:rPr>
        <w:t>作成日時：2026年4月8日 15:13 JST</w:t>
      </w:r>
    </w:p>
    <w:p>
      <w:r>
        <w:rPr>
          <w:rFonts w:ascii="Meiryo UI" w:hAnsi="Meiryo UI"/>
          <w:sz w:val="20"/>
        </w:rPr>
        <w:t>次回更新予定：2026年5月（DIC決算発表後）</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2.411%</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日本10年国債（JGB10Y）2.411%</w:t>
            </w:r>
          </w:p>
        </w:tc>
      </w:tr>
      <w:tr>
        <w:tc>
          <w:tcPr>
            <w:tcW w:type="dxa" w:w="4703"/>
          </w:tcPr>
          <w:p>
            <w:r>
              <w:rPr>
                <w:rFonts w:ascii="Meiryo UI" w:hAnsi="Meiryo UI"/>
                <w:sz w:val="18"/>
              </w:rPr>
              <w:t>データ取得日時</w:t>
            </w:r>
          </w:p>
        </w:tc>
        <w:tc>
          <w:tcPr>
            <w:tcW w:type="dxa" w:w="4703"/>
          </w:tcPr>
          <w:p>
            <w:r>
              <w:rPr>
                <w:rFonts w:ascii="Meiryo UI" w:hAnsi="Meiryo UI"/>
                <w:sz w:val="18"/>
              </w:rPr>
              <w:t>2026-04-08 15:13 JST（財務省日次 R8.4.7）</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4631_DIC_BUY_DeepResearch_20260408.md を出力しました。</w:t>
      </w:r>
    </w:p>
    <w:p>
      <w:r>
        <w:rPr>
          <w:rFonts w:ascii="Meiryo UI" w:hAnsi="Meiryo UI"/>
          <w:sz w:val="20"/>
        </w:rPr>
        <w:t>浅井スコア +0 の銘柄 [4631]DIC についてDeepResearch完了。</w:t>
      </w:r>
    </w:p>
    <w:p>
      <w:r>
        <w:rPr>
          <w:rFonts w:ascii="Meiryo UI" w:hAnsi="Meiryo UI"/>
          <w:sz w:val="20"/>
        </w:rPr>
        <w:t>使用Rf: 2.411%（取得: 2026-04-08 15:13 JST（財務省日次 R8.4.7））</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