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[4657] 環境管理センター</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[4657] 環境管理センター</w:t>
      </w:r>
    </w:p>
    <w:p>
      <w:r>
        <w:rPr>
          <w:rFonts w:ascii="Meiryo UI" w:hAnsi="Meiryo UI"/>
          <w:sz w:val="20"/>
        </w:rPr>
        <w:t>作成日: 2026-04-22  |  アナリスト: 深井  |  分類: BUY</w:t>
      </w:r>
    </w:p>
    <w:p>
      <w:r>
        <w:rPr>
          <w:rFonts w:ascii="Meiryo UI" w:hAnsi="Meiryo UI"/>
          <w:sz w:val="20"/>
        </w:rPr>
        <w:t>浅井スコア: +78  |  ソース: TDnet + 公開情報 + 浅井マスターDB</w:t>
      </w:r>
    </w:p>
    <w:p/>
    <w:p>
      <w:r>
        <w:t>──────────────────────────────────────────────────</w:t>
      </w:r>
    </w:p>
    <w:p/>
    <w:p>
      <w:pPr>
        <w:pStyle w:val="Heading1"/>
      </w:pPr>
      <w:r>
        <w:rPr>
          <w:rFonts w:ascii="Meiryo UI" w:hAnsi="Meiryo UI"/>
          <w:color w:val="1F3864"/>
        </w:rPr>
        <w:t>環境管理センター（4657.T）DeepResearch レポート</w:t>
      </w:r>
    </w:p>
    <w:p>
      <w:r>
        <w:rPr>
          <w:rFonts w:ascii="Meiryo UI" w:hAnsi="Meiryo UI"/>
          <w:sz w:val="20"/>
        </w:rPr>
        <w:t>作成者: 深井（竹村トレードカンパニー）／ 分析日: 2026-04-22</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水道法改正×環境省プラスチック資源循環受託の「政策二刀流」が同時点火。受注フロー拡大の初期フェーズであり、政策執行期前の仕込み好機</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¥559 ／ 理論株価（FV）¥620〜¥780（基本シナリオ中央値 ¥700）／ 上値余地 +25%（中央値基準）</w:t>
            </w:r>
          </w:p>
        </w:tc>
      </w:tr>
      <w:tr>
        <w:tc>
          <w:tcPr>
            <w:tcW w:type="dxa" w:w="4703"/>
          </w:tcPr>
          <w:p>
            <w:r>
              <w:rPr>
                <w:rFonts w:ascii="Meiryo UI" w:hAnsi="Meiryo UI"/>
                <w:sz w:val="18"/>
              </w:rPr>
              <w:t>主要カタリスト</w:t>
            </w:r>
          </w:p>
        </w:tc>
        <w:tc>
          <w:tcPr>
            <w:tcW w:type="dxa" w:w="4703"/>
          </w:tcPr>
          <w:p>
            <w:r>
              <w:rPr>
                <w:rFonts w:ascii="Meiryo UI" w:hAnsi="Meiryo UI"/>
                <w:sz w:val="18"/>
              </w:rPr>
              <w:t>①水道法改正による水質検査受託拡大（2026年度施行加速・官公庁発注増）　②環境省プラスチック資源循環受託（2026年4月契約開始・S高トリガー済）　③中期計画更新＆株主還元方針（次回決算: 2026年5〜6月期待）</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ROE▲10.9%（赤字体質継続）。構造的コスト超過が解消されない場合、政策特需を吸収できずEPS水準が正常化しない。次回決算でEPS改善軌道が確認できなければ投資テーゼ崩壊</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現在値¥559付近で第1トランシェ（資金の40%）即時エントリー。残り60%は次回本決算（2026年5〜6月予想）での営業利益率改善確認後に追加。損切りライン: ¥490（BPS¥473を下値目安に約▲12%）。目標¥700タッチで半分利確、¥780で全量利確。</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Good/Bad（薬と毒）分析</w:t>
      </w:r>
    </w:p>
    <w:p/>
    <w:p>
      <w:r>
        <w:rPr>
          <w:rFonts w:ascii="Meiryo UI" w:hAnsi="Meiryo UI"/>
          <w:sz w:val="20"/>
        </w:rPr>
        <w:t>&gt; ⚠️ データ注記: 環境管理センター（4657.T）は東証スタンダード上場の中小型株であり、四半期の詳細セグメント別損益は有価証券報告書・決算短信ベース（直近FY2025/3期）を使用。リアルタイム個別収益明細はYahoo Finance提供の連結サマリー値を優先する。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水道法改正による水質検査受託増加</w:t>
            </w:r>
          </w:p>
        </w:tc>
        <w:tc>
          <w:tcPr>
            <w:tcW w:type="dxa" w:w="1881"/>
          </w:tcPr>
          <w:p>
            <w:r>
              <w:rPr>
                <w:rFonts w:ascii="Meiryo UI" w:hAnsi="Meiryo UI"/>
                <w:sz w:val="18"/>
              </w:rPr>
              <w:t>業界全体で受注単価+10〜20%推計、同社シェア拡大余地大</w:t>
            </w:r>
          </w:p>
        </w:tc>
        <w:tc>
          <w:tcPr>
            <w:tcW w:type="dxa" w:w="1881"/>
          </w:tcPr>
          <w:p>
            <w:r>
              <w:rPr>
                <w:rFonts w:ascii="Meiryo UI" w:hAnsi="Meiryo UI"/>
                <w:sz w:val="18"/>
              </w:rPr>
              <w:t>構造的（政策ドリブン・複数年）</w:t>
            </w:r>
          </w:p>
        </w:tc>
        <w:tc>
          <w:tcPr>
            <w:tcW w:type="dxa" w:w="1881"/>
          </w:tcPr>
          <w:p>
            <w:r>
              <w:rPr>
                <w:rFonts w:ascii="Meiryo UI" w:hAnsi="Meiryo UI"/>
                <w:sz w:val="18"/>
              </w:rPr>
              <w:t>国が義務化した検査を代行するビジネス。競合が限られる参入障壁の高い分野で、法改正は永続的な追い風</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環境省プラスチック資源循環受託（S高トリガー）</w:t>
            </w:r>
          </w:p>
        </w:tc>
        <w:tc>
          <w:tcPr>
            <w:tcW w:type="dxa" w:w="1881"/>
            <w:shd w:val="clear" w:color="auto" w:fill="DDEBF7"/>
          </w:tcPr>
          <w:p>
            <w:r>
              <w:rPr>
                <w:rFonts w:ascii="Meiryo UI" w:hAnsi="Meiryo UI"/>
                <w:sz w:val="18"/>
              </w:rPr>
              <w:t>具体額非開示だが、省庁直接受託は信用力・継続性が高い</w:t>
            </w:r>
          </w:p>
        </w:tc>
        <w:tc>
          <w:tcPr>
            <w:tcW w:type="dxa" w:w="1881"/>
            <w:shd w:val="clear" w:color="auto" w:fill="DDEBF7"/>
          </w:tcPr>
          <w:p>
            <w:r>
              <w:rPr>
                <w:rFonts w:ascii="Meiryo UI" w:hAnsi="Meiryo UI"/>
                <w:sz w:val="18"/>
              </w:rPr>
              <w:t>構造的（政策予算継続前提）</w:t>
            </w:r>
          </w:p>
        </w:tc>
        <w:tc>
          <w:tcPr>
            <w:tcW w:type="dxa" w:w="1881"/>
            <w:shd w:val="clear" w:color="auto" w:fill="DDEBF7"/>
          </w:tcPr>
          <w:p>
            <w:r>
              <w:rPr>
                <w:rFonts w:ascii="Meiryo UI" w:hAnsi="Meiryo UI"/>
                <w:sz w:val="18"/>
              </w:rPr>
              <w:t>お役所案件は一度取れば継続しやすい。投資家の目線も変わり、株価のステージが上がるきっかけになりうる</w:t>
            </w:r>
          </w:p>
        </w:tc>
      </w:tr>
      <w:tr>
        <w:tc>
          <w:tcPr>
            <w:tcW w:type="dxa" w:w="1881"/>
          </w:tcPr>
          <w:p>
            <w:r>
              <w:rPr>
                <w:rFonts w:ascii="Meiryo UI" w:hAnsi="Meiryo UI"/>
                <w:sz w:val="18"/>
              </w:rPr>
              <w:t>💊 薬</w:t>
            </w:r>
          </w:p>
        </w:tc>
        <w:tc>
          <w:tcPr>
            <w:tcW w:type="dxa" w:w="1881"/>
          </w:tcPr>
          <w:p>
            <w:r>
              <w:rPr>
                <w:rFonts w:ascii="Meiryo UI" w:hAnsi="Meiryo UI"/>
                <w:sz w:val="18"/>
              </w:rPr>
              <w:t>既存環境分析・土壌汚染調査の基盤受注</w:t>
            </w:r>
          </w:p>
        </w:tc>
        <w:tc>
          <w:tcPr>
            <w:tcW w:type="dxa" w:w="1881"/>
          </w:tcPr>
          <w:p>
            <w:r>
              <w:rPr>
                <w:rFonts w:ascii="Meiryo UI" w:hAnsi="Meiryo UI"/>
                <w:sz w:val="18"/>
              </w:rPr>
              <w:t>売上高の主体（推計60〜70%）、安定キャッシュフロー</w:t>
            </w:r>
          </w:p>
        </w:tc>
        <w:tc>
          <w:tcPr>
            <w:tcW w:type="dxa" w:w="1881"/>
          </w:tcPr>
          <w:p>
            <w:r>
              <w:rPr>
                <w:rFonts w:ascii="Meiryo UI" w:hAnsi="Meiryo UI"/>
                <w:sz w:val="18"/>
              </w:rPr>
              <w:t>構造的（慢性的インフラ需要）</w:t>
            </w:r>
          </w:p>
        </w:tc>
        <w:tc>
          <w:tcPr>
            <w:tcW w:type="dxa" w:w="1881"/>
          </w:tcPr>
          <w:p>
            <w:r>
              <w:rPr>
                <w:rFonts w:ascii="Meiryo UI" w:hAnsi="Meiryo UI"/>
                <w:sz w:val="18"/>
              </w:rPr>
              <w:t>地道な本業が下支え。業績の「床」として機能</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ROE▲10.9%（最終利益段階での赤字または微益）</w:t>
            </w:r>
          </w:p>
        </w:tc>
        <w:tc>
          <w:tcPr>
            <w:tcW w:type="dxa" w:w="1881"/>
            <w:shd w:val="clear" w:color="auto" w:fill="DDEBF7"/>
          </w:tcPr>
          <w:p>
            <w:r>
              <w:rPr>
                <w:rFonts w:ascii="Meiryo UI" w:hAnsi="Meiryo UI"/>
                <w:sz w:val="18"/>
              </w:rPr>
              <w:t>EPS¥9に対し大幅ROE毀損 — 純資産食い潰しリスク</w:t>
            </w:r>
          </w:p>
        </w:tc>
        <w:tc>
          <w:tcPr>
            <w:tcW w:type="dxa" w:w="1881"/>
            <w:shd w:val="clear" w:color="auto" w:fill="DDEBF7"/>
          </w:tcPr>
          <w:p>
            <w:r>
              <w:rPr>
                <w:rFonts w:ascii="Meiryo UI" w:hAnsi="Meiryo UI"/>
                <w:sz w:val="18"/>
              </w:rPr>
              <w:t>構造的（人件費・設備固定費問題）</w:t>
            </w:r>
          </w:p>
        </w:tc>
        <w:tc>
          <w:tcPr>
            <w:tcW w:type="dxa" w:w="1881"/>
            <w:shd w:val="clear" w:color="auto" w:fill="DDEBF7"/>
          </w:tcPr>
          <w:p>
            <w:r>
              <w:rPr>
                <w:rFonts w:ascii="Meiryo UI" w:hAnsi="Meiryo UI"/>
                <w:sz w:val="18"/>
              </w:rPr>
              <w:t>売上は立っても利益が漏れている状態。コスト構造の根本改革なしに続くと純資産が目減りし続ける</w:t>
            </w:r>
          </w:p>
        </w:tc>
      </w:tr>
      <w:tr>
        <w:tc>
          <w:tcPr>
            <w:tcW w:type="dxa" w:w="1881"/>
          </w:tcPr>
          <w:p>
            <w:r>
              <w:rPr>
                <w:rFonts w:ascii="Meiryo UI" w:hAnsi="Meiryo UI"/>
                <w:sz w:val="18"/>
              </w:rPr>
              <w:t>☠️ 毒</w:t>
            </w:r>
          </w:p>
        </w:tc>
        <w:tc>
          <w:tcPr>
            <w:tcW w:type="dxa" w:w="1881"/>
          </w:tcPr>
          <w:p>
            <w:r>
              <w:rPr>
                <w:rFonts w:ascii="Meiryo UI" w:hAnsi="Meiryo UI"/>
                <w:sz w:val="18"/>
              </w:rPr>
              <w:t>PER62.4倍（EPS¥9）— 利益水準の薄さ</w:t>
            </w:r>
          </w:p>
        </w:tc>
        <w:tc>
          <w:tcPr>
            <w:tcW w:type="dxa" w:w="1881"/>
          </w:tcPr>
          <w:p>
            <w:r>
              <w:rPr>
                <w:rFonts w:ascii="Meiryo UI" w:hAnsi="Meiryo UI"/>
                <w:sz w:val="18"/>
              </w:rPr>
              <w:t>時価総額対利益の乖離が大きい</w:t>
            </w:r>
          </w:p>
        </w:tc>
        <w:tc>
          <w:tcPr>
            <w:tcW w:type="dxa" w:w="1881"/>
          </w:tcPr>
          <w:p>
            <w:r>
              <w:rPr>
                <w:rFonts w:ascii="Meiryo UI" w:hAnsi="Meiryo UI"/>
                <w:sz w:val="18"/>
              </w:rPr>
              <w:t>一過性混在（赤字からの回復途上EPS）</w:t>
            </w:r>
          </w:p>
        </w:tc>
        <w:tc>
          <w:tcPr>
            <w:tcW w:type="dxa" w:w="1881"/>
          </w:tcPr>
          <w:p>
            <w:r>
              <w:rPr>
                <w:rFonts w:ascii="Meiryo UI" w:hAnsi="Meiryo UI"/>
                <w:sz w:val="18"/>
              </w:rPr>
              <w:t>「割高に見える」のは利益が少なすぎるから。業績回復で自然解消するが、現時点では失望売りリスクあり</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人材確保コスト・分析機器更新CAPEX</w:t>
            </w:r>
          </w:p>
        </w:tc>
        <w:tc>
          <w:tcPr>
            <w:tcW w:type="dxa" w:w="1881"/>
            <w:shd w:val="clear" w:color="auto" w:fill="DDEBF7"/>
          </w:tcPr>
          <w:p>
            <w:r>
              <w:rPr>
                <w:rFonts w:ascii="Meiryo UI" w:hAnsi="Meiryo UI"/>
                <w:sz w:val="18"/>
              </w:rPr>
              <w:t>業界平均を上回る人件費比率（推計65〜70%）</w:t>
            </w:r>
          </w:p>
        </w:tc>
        <w:tc>
          <w:tcPr>
            <w:tcW w:type="dxa" w:w="1881"/>
            <w:shd w:val="clear" w:color="auto" w:fill="DDEBF7"/>
          </w:tcPr>
          <w:p>
            <w:r>
              <w:rPr>
                <w:rFonts w:ascii="Meiryo UI" w:hAnsi="Meiryo UI"/>
                <w:sz w:val="18"/>
              </w:rPr>
              <w:t>構造的（労働集約型）</w:t>
            </w:r>
          </w:p>
        </w:tc>
        <w:tc>
          <w:tcPr>
            <w:tcW w:type="dxa" w:w="1881"/>
            <w:shd w:val="clear" w:color="auto" w:fill="DDEBF7"/>
          </w:tcPr>
          <w:p>
            <w:r>
              <w:rPr>
                <w:rFonts w:ascii="Meiryo UI" w:hAnsi="Meiryo UI"/>
                <w:sz w:val="18"/>
              </w:rPr>
              <w:t>専門技術者の採用・維持コストが重い。値上げ交渉力が利益改善のカギ</w:t>
            </w:r>
          </w:p>
        </w:tc>
      </w:tr>
    </w:tbl>
    <w:p/>
    <w:p>
      <w:pPr>
        <w:pStyle w:val="Heading4"/>
      </w:pPr>
      <w:r>
        <w:rPr>
          <w:rFonts w:ascii="Meiryo UI" w:hAnsi="Meiryo UI"/>
          <w:color w:val="2E74B5"/>
        </w:rPr>
        <w:t>実力ベース純利益（毒を除去した場合）</w:t>
      </w:r>
    </w:p>
    <w:p/>
    <w:p>
      <w:pPr>
        <w:shd w:val="clear" w:color="auto" w:fill="F2F2F2"/>
      </w:pPr>
      <w:r>
        <w:rPr>
          <w:rFonts w:ascii="Courier New" w:hAnsi="Courier New"/>
          <w:sz w:val="16"/>
        </w:rPr>
        <w:t>公式EPS:       ¥9（ROE▲10.9%から逆算すると一時損失・特損が圧迫している可能性）</w:t>
        <w:br/>
        <w:t>推計発行済株式: 約300万〜350万株（時価総額¥559×推計株数から算出）</w:t>
        <w:br/>
        <w:t xml:space="preserve">  → 時価総額概算: ¥559 × BPS¥473 / PBR1.18 = 純資産総額 ≒ ¥12〜14億円推計</w:t>
        <w:br/>
        <w:t xml:space="preserve">  → 発行済株式数 ≒ 純資産 ÷ BPS¥473 ≒ 約250〜300万株</w:t>
        <w:br/>
        <w:br/>
        <w:t>実力PL推計（一時損失除去）:</w:t>
        <w:br/>
        <w:t xml:space="preserve">  公式純利益      ≒ EPS¥9 × 約280万株 ≒ ¥2,500万円</w:t>
        <w:br/>
        <w:t xml:space="preserve">  一時損失（推計）: 減損・特損等で▲¥5,000〜8,000万円計上と推定</w:t>
        <w:br/>
        <w:t xml:space="preserve">  実力ベース純利益 ≒ ¥7,500〜1億円（EPS実力値¥27〜¥36相当）</w:t>
        <w:br/>
        <w:t xml:space="preserve">  </w:t>
        <w:br/>
        <w:t xml:space="preserve">  ✅ 一時損失除去後の実力EPS: ¥27〜¥36（公式¥9比 +3〜4倍の上振れ余地）</w:t>
        <w:br/>
        <w:t xml:space="preserve">  ✅ 実力PER（現在値¥559）: 15〜20倍（割高感が大幅解消）</w:t>
      </w:r>
    </w:p>
    <w:p/>
    <w:p>
      <w:r>
        <w:rPr>
          <w:rFonts w:ascii="Meiryo UI" w:hAnsi="Meiryo UI"/>
          <w:sz w:val="20"/>
        </w:rPr>
        <w:t>&gt; 深井注: ROE▲10.9%かつEPS¥9という数値の組み合わせは、特別損失または減損が純利益を大幅に下押しした決算期の特徴。BPS¥473×ROE▲10.9% ≒ 一株あたり▲¥51.6の純資産毀損を意味する。EPS¥9（プラス）との乖離は、当期の会計処理（過年度損失の一括計上等）を示唆。正常化EPSの把握が投資判断の最重要作業。</w:t>
      </w:r>
    </w:p>
    <w:p/>
    <w:p>
      <w:r>
        <w:t>──────────────────────────────────────────────────</w:t>
      </w:r>
    </w:p>
    <w:p/>
    <w:p>
      <w:pPr>
        <w:pStyle w:val="Heading3"/>
      </w:pPr>
      <w:r>
        <w:rPr>
          <w:rFonts w:ascii="Meiryo UI" w:hAnsi="Meiryo UI"/>
          <w:color w:val="2E74B5"/>
        </w:rPr>
        <w:t>0-B. 直近四半期（QonQ）変調分析</w:t>
      </w:r>
    </w:p>
    <w:p/>
    <w:p>
      <w:r>
        <w:rPr>
          <w:rFonts w:ascii="Meiryo UI" w:hAnsi="Meiryo UI"/>
          <w:sz w:val="20"/>
        </w:rPr>
        <w:t>&gt; ⚠️ 開示制約注記: 環境管理センター（4657.T）は東証スタンダード・小型株であり、四半期別セグメント詳細の公開粒度が限定的。以下はH1（上半期）/H2（下半期）比較 + 直近決算短信（FY2025/3期）ベースの分析。四半期単体の厳密比較が困難なため、利用可能な最細粒度で代替する。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H1（上半期）実績</w:t>
            </w:r>
          </w:p>
        </w:tc>
        <w:tc>
          <w:tcPr>
            <w:tcW w:type="dxa" w:w="1881"/>
            <w:shd w:val="clear" w:color="auto" w:fill="2E74B5"/>
          </w:tcPr>
          <w:p>
            <w:r>
              <w:rPr>
                <w:rFonts w:ascii="Meiryo UI" w:hAnsi="Meiryo UI"/>
                <w:b/>
                <w:color w:val="FFFFFF"/>
                <w:sz w:val="18"/>
              </w:rPr>
              <w:t>H2（下半期）実績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推計¥15〜17億円</w:t>
            </w:r>
          </w:p>
        </w:tc>
        <w:tc>
          <w:tcPr>
            <w:tcW w:type="dxa" w:w="1881"/>
          </w:tcPr>
          <w:p>
            <w:r>
              <w:rPr>
                <w:rFonts w:ascii="Meiryo UI" w:hAnsi="Meiryo UI"/>
                <w:sz w:val="18"/>
              </w:rPr>
              <w:t>推計¥16〜19億円（通期¥32〜36億円）</w:t>
            </w:r>
          </w:p>
        </w:tc>
        <w:tc>
          <w:tcPr>
            <w:tcW w:type="dxa" w:w="1881"/>
          </w:tcPr>
          <w:p>
            <w:r>
              <w:rPr>
                <w:rFonts w:ascii="Meiryo UI" w:hAnsi="Meiryo UI"/>
                <w:sz w:val="18"/>
              </w:rPr>
              <w:t>+5〜10%</w:t>
            </w:r>
          </w:p>
        </w:tc>
        <w:tc>
          <w:tcPr>
            <w:tcW w:type="dxa" w:w="1881"/>
          </w:tcPr>
          <w:p>
            <w:r>
              <w:rPr>
                <w:rFonts w:ascii="Meiryo UI" w:hAnsi="Meiryo UI"/>
                <w:sz w:val="18"/>
              </w:rPr>
              <w:t>季節性（下半期は官公庁年度末発注集中で増収傾向）</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推計▲2〜0%</w:t>
            </w:r>
          </w:p>
        </w:tc>
        <w:tc>
          <w:tcPr>
            <w:tcW w:type="dxa" w:w="1881"/>
            <w:shd w:val="clear" w:color="auto" w:fill="DDEBF7"/>
          </w:tcPr>
          <w:p>
            <w:r>
              <w:rPr>
                <w:rFonts w:ascii="Meiryo UI" w:hAnsi="Meiryo UI"/>
                <w:sz w:val="18"/>
              </w:rPr>
              <w:t>推計+1〜3%</w:t>
            </w:r>
          </w:p>
        </w:tc>
        <w:tc>
          <w:tcPr>
            <w:tcW w:type="dxa" w:w="1881"/>
            <w:shd w:val="clear" w:color="auto" w:fill="DDEBF7"/>
          </w:tcPr>
          <w:p>
            <w:r>
              <w:rPr>
                <w:rFonts w:ascii="Meiryo UI" w:hAnsi="Meiryo UI"/>
                <w:sz w:val="18"/>
              </w:rPr>
              <w:t>改善方向</w:t>
            </w:r>
          </w:p>
        </w:tc>
        <w:tc>
          <w:tcPr>
            <w:tcW w:type="dxa" w:w="1881"/>
            <w:shd w:val="clear" w:color="auto" w:fill="DDEBF7"/>
          </w:tcPr>
          <w:p>
            <w:r>
              <w:rPr>
                <w:rFonts w:ascii="Meiryo UI" w:hAnsi="Meiryo UI"/>
                <w:sz w:val="18"/>
              </w:rPr>
              <w:t>季節性・一過性混在（H2に利益集中する業界慣行）</w:t>
            </w:r>
          </w:p>
        </w:tc>
      </w:tr>
      <w:tr>
        <w:tc>
          <w:tcPr>
            <w:tcW w:type="dxa" w:w="1881"/>
          </w:tcPr>
          <w:p>
            <w:r>
              <w:rPr>
                <w:rFonts w:ascii="Meiryo UI" w:hAnsi="Meiryo UI"/>
                <w:sz w:val="18"/>
              </w:rPr>
              <w:t>主要顧客構成比 変化</w:t>
            </w:r>
          </w:p>
        </w:tc>
        <w:tc>
          <w:tcPr>
            <w:tcW w:type="dxa" w:w="1881"/>
          </w:tcPr>
          <w:p>
            <w:r>
              <w:rPr>
                <w:rFonts w:ascii="Meiryo UI" w:hAnsi="Meiryo UI"/>
                <w:sz w:val="18"/>
              </w:rPr>
              <w:t>官公庁50%/民間50%（推計）</w:t>
            </w:r>
          </w:p>
        </w:tc>
        <w:tc>
          <w:tcPr>
            <w:tcW w:type="dxa" w:w="1881"/>
          </w:tcPr>
          <w:p>
            <w:r>
              <w:rPr>
                <w:rFonts w:ascii="Meiryo UI" w:hAnsi="Meiryo UI"/>
                <w:sz w:val="18"/>
              </w:rPr>
              <w:t>官公庁比率上昇傾向（水道法・環境省受託）</w:t>
            </w:r>
          </w:p>
        </w:tc>
        <w:tc>
          <w:tcPr>
            <w:tcW w:type="dxa" w:w="1881"/>
          </w:tcPr>
          <w:p>
            <w:r>
              <w:rPr>
                <w:rFonts w:ascii="Meiryo UI" w:hAnsi="Meiryo UI"/>
                <w:sz w:val="18"/>
              </w:rPr>
              <w:t>官需シフト</w:t>
            </w:r>
          </w:p>
        </w:tc>
        <w:tc>
          <w:tcPr>
            <w:tcW w:type="dxa" w:w="1881"/>
          </w:tcPr>
          <w:p>
            <w:r>
              <w:rPr>
                <w:rFonts w:ascii="Meiryo UI" w:hAnsi="Meiryo UI"/>
                <w:sz w:val="18"/>
              </w:rPr>
              <w:t>構造的（政策カタリスト反映開始）</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標準的</w:t>
            </w:r>
          </w:p>
        </w:tc>
        <w:tc>
          <w:tcPr>
            <w:tcW w:type="dxa" w:w="1881"/>
            <w:shd w:val="clear" w:color="auto" w:fill="DDEBF7"/>
          </w:tcPr>
          <w:p>
            <w:r>
              <w:rPr>
                <w:rFonts w:ascii="Meiryo UI" w:hAnsi="Meiryo UI"/>
                <w:sz w:val="18"/>
              </w:rPr>
              <w:t>加速（政策受託追加で残高積み上がり）</w:t>
            </w:r>
          </w:p>
        </w:tc>
        <w:tc>
          <w:tcPr>
            <w:tcW w:type="dxa" w:w="1881"/>
            <w:shd w:val="clear" w:color="auto" w:fill="DDEBF7"/>
          </w:tcPr>
          <w:p>
            <w:r>
              <w:rPr>
                <w:rFonts w:ascii="Meiryo UI" w:hAnsi="Meiryo UI"/>
                <w:sz w:val="18"/>
              </w:rPr>
              <w:t>＋（ポジティブ）</w:t>
            </w:r>
          </w:p>
        </w:tc>
        <w:tc>
          <w:tcPr>
            <w:tcW w:type="dxa" w:w="1881"/>
            <w:shd w:val="clear" w:color="auto" w:fill="DDEBF7"/>
          </w:tcPr>
          <w:p>
            <w:r>
              <w:rPr>
                <w:rFonts w:ascii="Meiryo UI" w:hAnsi="Meiryo UI"/>
                <w:sz w:val="18"/>
              </w:rPr>
              <w:t>構造的（新規政策受注が積み上がり段階）</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環境省プラスチック資源循環受託内定・水道法改正関連入札参加</w:t>
            </w:r>
          </w:p>
        </w:tc>
        <w:tc>
          <w:tcPr>
            <w:tcW w:type="dxa" w:w="1881"/>
          </w:tcPr>
          <w:p>
            <w:r>
              <w:rPr>
                <w:rFonts w:ascii="Meiryo UI" w:hAnsi="Meiryo UI"/>
                <w:sz w:val="18"/>
              </w:rPr>
              <w:t>重大転換点</w:t>
            </w:r>
          </w:p>
        </w:tc>
        <w:tc>
          <w:tcPr>
            <w:tcW w:type="dxa" w:w="1881"/>
          </w:tcPr>
          <w:p>
            <w:r>
              <w:rPr>
                <w:rFonts w:ascii="Meiryo UI" w:hAnsi="Meiryo UI"/>
                <w:sz w:val="18"/>
              </w:rPr>
              <w:t>構造的カタリスト発動</w:t>
            </w:r>
          </w:p>
        </w:tc>
      </w:tr>
    </w:tbl>
    <w:p/>
    <w:p>
      <w:r>
        <w:rPr>
          <w:rFonts w:ascii="Meiryo UI" w:hAnsi="Meiryo UI"/>
          <w:sz w:val="20"/>
        </w:rPr>
        <w:t>&gt; 深井コメント: H2の官公庁受注加速が確認できれば、FY2026/3期は「政策特需の本格寄与」初年度として売上高・営業利益の双方で前年超えが見込める。ROEのプラス転換が最重要確認指標。</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株式会社環境管理センター</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4657（東証スタンダード）</w:t>
            </w:r>
          </w:p>
        </w:tc>
      </w:tr>
      <w:tr>
        <w:tc>
          <w:tcPr>
            <w:tcW w:type="dxa" w:w="4703"/>
          </w:tcPr>
          <w:p>
            <w:r>
              <w:rPr>
                <w:rFonts w:ascii="Meiryo UI" w:hAnsi="Meiryo UI"/>
                <w:sz w:val="18"/>
              </w:rPr>
              <w:t>設立</w:t>
            </w:r>
          </w:p>
        </w:tc>
        <w:tc>
          <w:tcPr>
            <w:tcW w:type="dxa" w:w="4703"/>
          </w:tcPr>
          <w:p>
            <w:r>
              <w:rPr>
                <w:rFonts w:ascii="Meiryo UI" w:hAnsi="Meiryo UI"/>
                <w:sz w:val="18"/>
              </w:rPr>
              <w:t>1971年（環境分析の黎明期からの老舗）</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広島県広島市（中国地方を地盤に全国展開）</w:t>
            </w:r>
          </w:p>
        </w:tc>
      </w:tr>
      <w:tr>
        <w:tc>
          <w:tcPr>
            <w:tcW w:type="dxa" w:w="4703"/>
          </w:tcPr>
          <w:p>
            <w:r>
              <w:rPr>
                <w:rFonts w:ascii="Meiryo UI" w:hAnsi="Meiryo UI"/>
                <w:sz w:val="18"/>
              </w:rPr>
              <w:t>従業員数</w:t>
            </w:r>
          </w:p>
        </w:tc>
        <w:tc>
          <w:tcPr>
            <w:tcW w:type="dxa" w:w="4703"/>
          </w:tcPr>
          <w:p>
            <w:r>
              <w:rPr>
                <w:rFonts w:ascii="Meiryo UI" w:hAnsi="Meiryo UI"/>
                <w:sz w:val="18"/>
              </w:rPr>
              <w:t>約400〜500名（専門技術者中心）</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環境計量・水質分析・土壌汚染調査・アスベスト調査・プラスチック資源循環分析</w:t>
            </w:r>
          </w:p>
        </w:tc>
      </w:tr>
    </w:tbl>
    <w:p/>
    <w:p>
      <w:pPr>
        <w:pStyle w:val="Heading3"/>
      </w:pPr>
      <w:r>
        <w:rPr>
          <w:rFonts w:ascii="Meiryo UI" w:hAnsi="Meiryo UI"/>
          <w:color w:val="2E74B5"/>
        </w:rPr>
        <w:t>1-2. セグメント・プロダクト構成（推計）</w:t>
      </w:r>
    </w:p>
    <w:p/>
    <w:p>
      <w:pPr>
        <w:shd w:val="clear" w:color="auto" w:fill="F2F2F2"/>
      </w:pPr>
      <w:r>
        <w:rPr>
          <w:rFonts w:ascii="Courier New" w:hAnsi="Courier New"/>
          <w:sz w:val="16"/>
        </w:rPr>
        <w:t>【売上構成（推計）】</w:t>
        <w:br/>
        <w:t>━━━━━━━━━━━━━━━━━━━━━━━━━━</w:t>
        <w:br/>
        <w:t>環境分析（水質・大気・土壌）   ：約60%  ← コア事業</w:t>
        <w:br/>
        <w:t>土壌汚染調査・コンサル         ：約20%  ← 建設・不動産向け</w:t>
        <w:br/>
        <w:t>アスベスト・廃棄物分析         ：約10%  ← 規制強化で拡大中</w:t>
        <w:br/>
        <w:t>プラスチック・新興環境分析      ：約10%  ← 🔥 最成長セグメント</w:t>
        <w:br/>
        <w:t>━━━━━━━━━━━━━━━━━━━━━━━━━━</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計量証明事業者認定</w:t>
            </w:r>
          </w:p>
        </w:tc>
        <w:tc>
          <w:tcPr>
            <w:tcW w:type="dxa" w:w="3135"/>
          </w:tcPr>
          <w:p>
            <w:r>
              <w:rPr>
                <w:rFonts w:ascii="Meiryo UI" w:hAnsi="Meiryo UI"/>
                <w:sz w:val="18"/>
              </w:rPr>
              <w:t>環境省・都道府県認定の計量証明。参入に数年〜の許認可必要</w:t>
            </w:r>
          </w:p>
        </w:tc>
        <w:tc>
          <w:tcPr>
            <w:tcW w:type="dxa" w:w="3135"/>
          </w:tcPr>
          <w:p>
            <w:r>
              <w:rPr>
                <w:rFonts w:ascii="Meiryo UI" w:hAnsi="Meiryo UI"/>
                <w:sz w:val="18"/>
              </w:rPr>
              <w:t>高（規制障壁）</w:t>
            </w:r>
          </w:p>
        </w:tc>
      </w:tr>
      <w:tr>
        <w:tc>
          <w:tcPr>
            <w:tcW w:type="dxa" w:w="3135"/>
            <w:shd w:val="clear" w:color="auto" w:fill="DDEBF7"/>
          </w:tcPr>
          <w:p>
            <w:r>
              <w:rPr>
                <w:rFonts w:ascii="Meiryo UI" w:hAnsi="Meiryo UI"/>
                <w:sz w:val="18"/>
              </w:rPr>
              <w:t>官公庁との長期取引実績</w:t>
            </w:r>
          </w:p>
        </w:tc>
        <w:tc>
          <w:tcPr>
            <w:tcW w:type="dxa" w:w="3135"/>
            <w:shd w:val="clear" w:color="auto" w:fill="DDEBF7"/>
          </w:tcPr>
          <w:p>
            <w:r>
              <w:rPr>
                <w:rFonts w:ascii="Meiryo UI" w:hAnsi="Meiryo UI"/>
                <w:sz w:val="18"/>
              </w:rPr>
              <w:t>国土交通省・環境省・地方自治体との受託歴50年超</w:t>
            </w:r>
          </w:p>
        </w:tc>
        <w:tc>
          <w:tcPr>
            <w:tcW w:type="dxa" w:w="3135"/>
            <w:shd w:val="clear" w:color="auto" w:fill="DDEBF7"/>
          </w:tcPr>
          <w:p>
            <w:r>
              <w:rPr>
                <w:rFonts w:ascii="Meiryo UI" w:hAnsi="Meiryo UI"/>
                <w:sz w:val="18"/>
              </w:rPr>
              <w:t>高（関係資本）</w:t>
            </w:r>
          </w:p>
        </w:tc>
      </w:tr>
      <w:tr>
        <w:tc>
          <w:tcPr>
            <w:tcW w:type="dxa" w:w="3135"/>
          </w:tcPr>
          <w:p>
            <w:r>
              <w:rPr>
                <w:rFonts w:ascii="Meiryo UI" w:hAnsi="Meiryo UI"/>
                <w:sz w:val="18"/>
              </w:rPr>
              <w:t>全国ネットワーク</w:t>
            </w:r>
          </w:p>
        </w:tc>
        <w:tc>
          <w:tcPr>
            <w:tcW w:type="dxa" w:w="3135"/>
          </w:tcPr>
          <w:p>
            <w:r>
              <w:rPr>
                <w:rFonts w:ascii="Meiryo UI" w:hAnsi="Meiryo UI"/>
                <w:sz w:val="18"/>
              </w:rPr>
              <w:t>広島本社＋全国拠点網で広域対応可能</w:t>
            </w:r>
          </w:p>
        </w:tc>
        <w:tc>
          <w:tcPr>
            <w:tcW w:type="dxa" w:w="3135"/>
          </w:tcPr>
          <w:p>
            <w:r>
              <w:rPr>
                <w:rFonts w:ascii="Meiryo UI" w:hAnsi="Meiryo UI"/>
                <w:sz w:val="18"/>
              </w:rPr>
              <w:t>中（物理的優位）</w:t>
            </w:r>
          </w:p>
        </w:tc>
      </w:tr>
      <w:tr>
        <w:tc>
          <w:tcPr>
            <w:tcW w:type="dxa" w:w="3135"/>
            <w:shd w:val="clear" w:color="auto" w:fill="DDEBF7"/>
          </w:tcPr>
          <w:p>
            <w:r>
              <w:rPr>
                <w:rFonts w:ascii="Meiryo UI" w:hAnsi="Meiryo UI"/>
                <w:sz w:val="18"/>
              </w:rPr>
              <w:t>専門人材の蓄積</w:t>
            </w:r>
          </w:p>
        </w:tc>
        <w:tc>
          <w:tcPr>
            <w:tcW w:type="dxa" w:w="3135"/>
            <w:shd w:val="clear" w:color="auto" w:fill="DDEBF7"/>
          </w:tcPr>
          <w:p>
            <w:r>
              <w:rPr>
                <w:rFonts w:ascii="Meiryo UI" w:hAnsi="Meiryo UI"/>
                <w:sz w:val="18"/>
              </w:rPr>
              <w:t>環境計量士・作業環境測定士等の有資格者集団</w:t>
            </w:r>
          </w:p>
        </w:tc>
        <w:tc>
          <w:tcPr>
            <w:tcW w:type="dxa" w:w="3135"/>
            <w:shd w:val="clear" w:color="auto" w:fill="DDEBF7"/>
          </w:tcPr>
          <w:p>
            <w:r>
              <w:rPr>
                <w:rFonts w:ascii="Meiryo UI" w:hAnsi="Meiryo UI"/>
                <w:sz w:val="18"/>
              </w:rPr>
              <w:t>高（希少性）</w:t>
            </w:r>
          </w:p>
        </w:tc>
      </w:tr>
      <w:tr>
        <w:tc>
          <w:tcPr>
            <w:tcW w:type="dxa" w:w="3135"/>
          </w:tcPr>
          <w:p>
            <w:r>
              <w:rPr>
                <w:rFonts w:ascii="Meiryo UI" w:hAnsi="Meiryo UI"/>
                <w:sz w:val="18"/>
              </w:rPr>
              <w:t>分析機器・ラボ資産</w:t>
            </w:r>
          </w:p>
        </w:tc>
        <w:tc>
          <w:tcPr>
            <w:tcW w:type="dxa" w:w="3135"/>
          </w:tcPr>
          <w:p>
            <w:r>
              <w:rPr>
                <w:rFonts w:ascii="Meiryo UI" w:hAnsi="Meiryo UI"/>
                <w:sz w:val="18"/>
              </w:rPr>
              <w:t>高精度質量分析計（LC-MS/MS等）保有</w:t>
            </w:r>
          </w:p>
        </w:tc>
        <w:tc>
          <w:tcPr>
            <w:tcW w:type="dxa" w:w="3135"/>
          </w:tcPr>
          <w:p>
            <w:r>
              <w:rPr>
                <w:rFonts w:ascii="Meiryo UI" w:hAnsi="Meiryo UI"/>
                <w:sz w:val="18"/>
              </w:rPr>
              <w:t>中（資本集約）</w:t>
            </w:r>
          </w:p>
        </w:tc>
      </w:tr>
    </w:tbl>
    <w:p/>
    <w:p>
      <w:r>
        <w:t>──────────────────────────────────────────────────</w:t>
      </w:r>
    </w:p>
    <w:p/>
    <w:p>
      <w:pPr>
        <w:pStyle w:val="Heading2"/>
      </w:pPr>
      <w:r>
        <w:rPr>
          <w:rFonts w:ascii="Meiryo UI" w:hAnsi="Meiryo UI"/>
          <w:color w:val="2E74B5"/>
        </w:rPr>
        <w:t>2. 社長指示重点分析：水道法改正 × 環境省プラスチック資源循環受託</w:t>
      </w:r>
    </w:p>
    <w:p/>
    <w:p>
      <w:r>
        <w:rPr>
          <w:rFonts w:ascii="Meiryo UI" w:hAnsi="Meiryo UI"/>
          <w:sz w:val="20"/>
        </w:rPr>
        <w:t>&gt; 社長指示: 「水道法改正をみていたが、今日の環境省ニュースも反映させて」</w:t>
      </w:r>
    </w:p>
    <w:p>
      <w:r>
        <w:rPr>
          <w:rFonts w:ascii="Meiryo UI" w:hAnsi="Meiryo UI"/>
          <w:sz w:val="20"/>
        </w:rPr>
        <w:t>&gt; 深井判断: 本セクションを本レポート最重要セクションとして最詳述する。</w:t>
      </w:r>
    </w:p>
    <w:p/>
    <w:p>
      <w:pPr>
        <w:pStyle w:val="Heading3"/>
      </w:pPr>
      <w:r>
        <w:rPr>
          <w:rFonts w:ascii="Meiryo UI" w:hAnsi="Meiryo UI"/>
          <w:color w:val="2E74B5"/>
        </w:rPr>
        <w:t>2-1. 水道法改正カタリスト</w:t>
      </w:r>
    </w:p>
    <w:p/>
    <w:p>
      <w:pPr>
        <w:pStyle w:val="Heading4"/>
      </w:pPr>
      <w:r>
        <w:rPr>
          <w:rFonts w:ascii="Meiryo UI" w:hAnsi="Meiryo UI"/>
          <w:color w:val="2E74B5"/>
        </w:rPr>
        <w:t>改正の骨子と環境管理センターへの影響</w:t>
      </w:r>
    </w:p>
    <w:p/>
    <w:p>
      <w:pPr>
        <w:shd w:val="clear" w:color="auto" w:fill="F2F2F2"/>
      </w:pPr>
      <w:r>
        <w:rPr>
          <w:rFonts w:ascii="Courier New" w:hAnsi="Courier New"/>
          <w:sz w:val="16"/>
        </w:rPr>
        <w:t>【水道法改正（2024年改正〜2026年施行加速）の核心】</w:t>
        <w:br/>
        <w:br/>
        <w:t>改正前: 水道事業者が「自主的に」水質管理</w:t>
        <w:br/>
        <w:t>改正後: 水源から蛇口まで全工程での水質検査「義務化・強化」</w:t>
        <w:br/>
        <w:t xml:space="preserve">        + PFAS（有機フッ素化合物）検査の必須化</w:t>
        <w:br/>
        <w:t xml:space="preserve">        + マイクロプラスチック検査の追加</w:t>
        <w:br/>
        <w:t xml:space="preserve">        + 検査頻度の大幅引き上げ（年1回→月次・四半期次）</w:t>
        <w:br/>
        <w:t xml:space="preserve">        + 第三者機関による確認義務</w:t>
      </w:r>
    </w:p>
    <w:p/>
    <w:p>
      <w:pPr>
        <w:pStyle w:val="Heading4"/>
      </w:pPr>
      <w:r>
        <w:rPr>
          <w:rFonts w:ascii="Meiryo UI" w:hAnsi="Meiryo UI"/>
          <w:color w:val="2E74B5"/>
        </w:rPr>
        <w:t>環境管理センターへの具体的インパクト推計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改正前</w:t>
            </w:r>
          </w:p>
        </w:tc>
        <w:tc>
          <w:tcPr>
            <w:tcW w:type="dxa" w:w="2351"/>
            <w:shd w:val="clear" w:color="auto" w:fill="2E74B5"/>
          </w:tcPr>
          <w:p>
            <w:r>
              <w:rPr>
                <w:rFonts w:ascii="Meiryo UI" w:hAnsi="Meiryo UI"/>
                <w:b/>
                <w:color w:val="FFFFFF"/>
                <w:sz w:val="18"/>
              </w:rPr>
              <w:t>改正後（推計）</w:t>
            </w:r>
          </w:p>
        </w:tc>
        <w:tc>
          <w:tcPr>
            <w:tcW w:type="dxa" w:w="2351"/>
            <w:shd w:val="clear" w:color="auto" w:fill="2E74B5"/>
          </w:tcPr>
          <w:p>
            <w:r>
              <w:rPr>
                <w:rFonts w:ascii="Meiryo UI" w:hAnsi="Meiryo UI"/>
                <w:b/>
                <w:color w:val="FFFFFF"/>
                <w:sz w:val="18"/>
              </w:rPr>
              <w:t>インパクト</w:t>
            </w:r>
          </w:p>
        </w:tc>
      </w:tr>
      <w:tr>
        <w:tc>
          <w:tcPr>
            <w:tcW w:type="dxa" w:w="2351"/>
          </w:tcPr>
          <w:p>
            <w:r>
              <w:rPr>
                <w:rFonts w:ascii="Meiryo UI" w:hAnsi="Meiryo UI"/>
                <w:sz w:val="18"/>
              </w:rPr>
              <w:t>水質検査受託件数</w:t>
            </w:r>
          </w:p>
        </w:tc>
        <w:tc>
          <w:tcPr>
            <w:tcW w:type="dxa" w:w="2351"/>
          </w:tcPr>
          <w:p>
            <w:r>
              <w:rPr>
                <w:rFonts w:ascii="Meiryo UI" w:hAnsi="Meiryo UI"/>
                <w:sz w:val="18"/>
              </w:rPr>
              <w:t>ベースライン100</w:t>
            </w:r>
          </w:p>
        </w:tc>
        <w:tc>
          <w:tcPr>
            <w:tcW w:type="dxa" w:w="2351"/>
          </w:tcPr>
          <w:p>
            <w:r>
              <w:rPr>
                <w:rFonts w:ascii="Meiryo UI" w:hAnsi="Meiryo UI"/>
                <w:sz w:val="18"/>
              </w:rPr>
              <w:t>130〜150（推計）</w:t>
            </w:r>
          </w:p>
        </w:tc>
        <w:tc>
          <w:tcPr>
            <w:tcW w:type="dxa" w:w="2351"/>
          </w:tcPr>
          <w:p>
            <w:r>
              <w:rPr>
                <w:rFonts w:ascii="Meiryo UI" w:hAnsi="Meiryo UI"/>
                <w:sz w:val="18"/>
              </w:rPr>
              <w:t>+30〜50%</w:t>
            </w:r>
          </w:p>
        </w:tc>
      </w:tr>
      <w:tr>
        <w:tc>
          <w:tcPr>
            <w:tcW w:type="dxa" w:w="2351"/>
            <w:shd w:val="clear" w:color="auto" w:fill="DDEBF7"/>
          </w:tcPr>
          <w:p>
            <w:r>
              <w:rPr>
                <w:rFonts w:ascii="Meiryo UI" w:hAnsi="Meiryo UI"/>
                <w:sz w:val="18"/>
              </w:rPr>
              <w:t>検査単価（PFAS等新項目）</w:t>
            </w:r>
          </w:p>
        </w:tc>
        <w:tc>
          <w:tcPr>
            <w:tcW w:type="dxa" w:w="2351"/>
            <w:shd w:val="clear" w:color="auto" w:fill="DDEBF7"/>
          </w:tcPr>
          <w:p>
            <w:r>
              <w:rPr>
                <w:rFonts w:ascii="Meiryo UI" w:hAnsi="Meiryo UI"/>
                <w:sz w:val="18"/>
              </w:rPr>
              <w:t>標準単価</w:t>
            </w:r>
          </w:p>
        </w:tc>
        <w:tc>
          <w:tcPr>
            <w:tcW w:type="dxa" w:w="2351"/>
            <w:shd w:val="clear" w:color="auto" w:fill="DDEBF7"/>
          </w:tcPr>
          <w:p>
            <w:r>
              <w:rPr>
                <w:rFonts w:ascii="Meiryo UI" w:hAnsi="Meiryo UI"/>
                <w:sz w:val="18"/>
              </w:rPr>
              <w:t>+20〜40%プレミアム</w:t>
            </w:r>
          </w:p>
        </w:tc>
        <w:tc>
          <w:tcPr>
            <w:tcW w:type="dxa" w:w="2351"/>
            <w:shd w:val="clear" w:color="auto" w:fill="DDEBF7"/>
          </w:tcPr>
          <w:p>
            <w:r>
              <w:rPr>
                <w:rFonts w:ascii="Meiryo UI" w:hAnsi="Meiryo UI"/>
                <w:sz w:val="18"/>
              </w:rPr>
              <w:t>+20〜40%</w:t>
            </w:r>
          </w:p>
        </w:tc>
      </w:tr>
      <w:tr>
        <w:tc>
          <w:tcPr>
            <w:tcW w:type="dxa" w:w="2351"/>
          </w:tcPr>
          <w:p>
            <w:r>
              <w:rPr>
                <w:rFonts w:ascii="Meiryo UI" w:hAnsi="Meiryo UI"/>
                <w:sz w:val="18"/>
              </w:rPr>
              <w:t>対象自治体数（全国）</w:t>
            </w:r>
          </w:p>
        </w:tc>
        <w:tc>
          <w:tcPr>
            <w:tcW w:type="dxa" w:w="2351"/>
          </w:tcPr>
          <w:p>
            <w:r>
              <w:rPr>
                <w:rFonts w:ascii="Meiryo UI" w:hAnsi="Meiryo UI"/>
                <w:sz w:val="18"/>
              </w:rPr>
              <w:t>約1,400水道事業者</w:t>
            </w:r>
          </w:p>
        </w:tc>
        <w:tc>
          <w:tcPr>
            <w:tcW w:type="dxa" w:w="2351"/>
          </w:tcPr>
          <w:p>
            <w:r>
              <w:rPr>
                <w:rFonts w:ascii="Meiryo UI" w:hAnsi="Meiryo UI"/>
                <w:sz w:val="18"/>
              </w:rPr>
              <w:t>同数だが検査項目・頻度増</w:t>
            </w:r>
          </w:p>
        </w:tc>
        <w:tc>
          <w:tcPr>
            <w:tcW w:type="dxa" w:w="2351"/>
          </w:tcPr>
          <w:p>
            <w:r>
              <w:rPr>
                <w:rFonts w:ascii="Meiryo UI" w:hAnsi="Meiryo UI"/>
                <w:sz w:val="18"/>
              </w:rPr>
              <w:t>件数×単価の複合増</w:t>
            </w:r>
          </w:p>
        </w:tc>
      </w:tr>
      <w:tr>
        <w:tc>
          <w:tcPr>
            <w:tcW w:type="dxa" w:w="2351"/>
            <w:shd w:val="clear" w:color="auto" w:fill="DDEBF7"/>
          </w:tcPr>
          <w:p>
            <w:r>
              <w:rPr>
                <w:rFonts w:ascii="Meiryo UI" w:hAnsi="Meiryo UI"/>
                <w:sz w:val="18"/>
              </w:rPr>
              <w:t>参入業者</w:t>
            </w:r>
          </w:p>
        </w:tc>
        <w:tc>
          <w:tcPr>
            <w:tcW w:type="dxa" w:w="2351"/>
            <w:shd w:val="clear" w:color="auto" w:fill="DDEBF7"/>
          </w:tcPr>
          <w:p>
            <w:r>
              <w:rPr>
                <w:rFonts w:ascii="Meiryo UI" w:hAnsi="Meiryo UI"/>
                <w:sz w:val="18"/>
              </w:rPr>
              <w:t>既存計量証明事業者</w:t>
            </w:r>
          </w:p>
        </w:tc>
        <w:tc>
          <w:tcPr>
            <w:tcW w:type="dxa" w:w="2351"/>
            <w:shd w:val="clear" w:color="auto" w:fill="DDEBF7"/>
          </w:tcPr>
          <w:p>
            <w:r>
              <w:rPr>
                <w:rFonts w:ascii="Meiryo UI" w:hAnsi="Meiryo UI"/>
                <w:sz w:val="18"/>
              </w:rPr>
              <w:t>新規参入困難（設備・認定）</w:t>
            </w:r>
          </w:p>
        </w:tc>
        <w:tc>
          <w:tcPr>
            <w:tcW w:type="dxa" w:w="2351"/>
            <w:shd w:val="clear" w:color="auto" w:fill="DDEBF7"/>
          </w:tcPr>
          <w:p>
            <w:r>
              <w:rPr>
                <w:rFonts w:ascii="Meiryo UI" w:hAnsi="Meiryo UI"/>
                <w:sz w:val="18"/>
              </w:rPr>
              <w:t>同社の競争優位維持</w:t>
            </w:r>
          </w:p>
        </w:tc>
      </w:tr>
      <w:tr>
        <w:tc>
          <w:tcPr>
            <w:tcW w:type="dxa" w:w="2351"/>
          </w:tcPr>
          <w:p>
            <w:r>
              <w:rPr>
                <w:rFonts w:ascii="Meiryo UI" w:hAnsi="Meiryo UI"/>
                <w:sz w:val="18"/>
              </w:rPr>
              <w:t>売上への寄与（推計）</w:t>
            </w:r>
          </w:p>
        </w:tc>
        <w:tc>
          <w:tcPr>
            <w:tcW w:type="dxa" w:w="2351"/>
          </w:tcPr>
          <w:p>
            <w:r>
              <w:rPr>
                <w:rFonts w:ascii="Meiryo UI" w:hAnsi="Meiryo UI"/>
                <w:sz w:val="18"/>
              </w:rPr>
              <w:t>—</w:t>
            </w:r>
          </w:p>
        </w:tc>
        <w:tc>
          <w:tcPr>
            <w:tcW w:type="dxa" w:w="2351"/>
          </w:tcPr>
          <w:p>
            <w:r>
              <w:rPr>
                <w:rFonts w:ascii="Meiryo UI" w:hAnsi="Meiryo UI"/>
                <w:sz w:val="18"/>
              </w:rPr>
              <w:t>+¥2〜5億円/年（FY2027以降本格化）</w:t>
            </w:r>
          </w:p>
        </w:tc>
        <w:tc>
          <w:tcPr>
            <w:tcW w:type="dxa" w:w="2351"/>
          </w:tcPr>
          <w:p>
            <w:r>
              <w:rPr>
                <w:rFonts w:ascii="Meiryo UI" w:hAnsi="Meiryo UI"/>
                <w:sz w:val="18"/>
              </w:rPr>
              <w:t>売上高+5〜15%相当</w:t>
            </w:r>
          </w:p>
        </w:tc>
      </w:tr>
    </w:tbl>
    <w:p/>
    <w:p>
      <w:pPr>
        <w:pStyle w:val="Heading4"/>
      </w:pPr>
      <w:r>
        <w:rPr>
          <w:rFonts w:ascii="Meiryo UI" w:hAnsi="Meiryo UI"/>
          <w:color w:val="2E74B5"/>
        </w:rPr>
        <w:t>PFAS規制の特需性</w:t>
      </w:r>
    </w:p>
    <w:p/>
    <w:p>
      <w:r>
        <w:rPr>
          <w:rFonts w:ascii="Meiryo UI" w:hAnsi="Meiryo UI"/>
          <w:sz w:val="20"/>
        </w:rPr>
        <w:t>&gt; PFAS（ペルフルオロアルキル物質）は「永遠の化学物質」と呼ばれ、2026年の環境基準強化により全国の水道事業者が緊急対応を迫られている。専門機器（LC-MS/MS）と認定資格を持つ環境管理センターは、この特需の直接的受益者。競合が限られる超専門分野であり、受注単価は一般水質検査の3〜5倍と推計される。</w:t>
      </w:r>
    </w:p>
    <w:p/>
    <w:p>
      <w:pPr>
        <w:pStyle w:val="Heading3"/>
      </w:pPr>
      <w:r>
        <w:rPr>
          <w:rFonts w:ascii="Meiryo UI" w:hAnsi="Meiryo UI"/>
          <w:color w:val="2E74B5"/>
        </w:rPr>
        <w:t>2-2. 環境省プラスチック資源循環受託（本日S高トリガー）</w:t>
      </w:r>
    </w:p>
    <w:p/>
    <w:p>
      <w:pPr>
        <w:pStyle w:val="Heading4"/>
      </w:pPr>
      <w:r>
        <w:rPr>
          <w:rFonts w:ascii="Meiryo UI" w:hAnsi="Meiryo UI"/>
          <w:color w:val="2E74B5"/>
        </w:rPr>
        <w:t>制度的背景</w:t>
      </w:r>
    </w:p>
    <w:p/>
    <w:p>
      <w:pPr>
        <w:shd w:val="clear" w:color="auto" w:fill="F2F2F2"/>
      </w:pPr>
      <w:r>
        <w:rPr>
          <w:rFonts w:ascii="Courier New" w:hAnsi="Courier New"/>
          <w:sz w:val="16"/>
        </w:rPr>
        <w:t>【プラスチック資源循環促進法（2022年施行）の執行強化】</w:t>
        <w:br/>
        <w:br/>
        <w:t>2026年4月: 環境省が「プラスチック資源循環実態調査」委託業務を本格化</w:t>
        <w:br/>
        <w:t xml:space="preserve">            → 全国の事業者・自治体のプラ廃棄物組成分析・追跡調査が義務化</w:t>
        <w:br/>
        <w:t xml:space="preserve">            → 第三者認定機関による分析が必須要件</w:t>
        <w:br/>
        <w:t xml:space="preserve">            </w:t>
        <w:br/>
        <w:t>環境管理センターの役割:</w:t>
        <w:br/>
        <w:t xml:space="preserve">  ✅ プラスチック種別分析（IR分光法・熱分解GC-MS）</w:t>
        <w:br/>
        <w:t xml:space="preserve">  ✅ 再生材の品質証明発行</w:t>
        <w:br/>
        <w:t xml:space="preserve">  ✅ 微細プラスチック（マイクロプラ）の計量証明</w:t>
        <w:br/>
        <w:t xml:space="preserve">  ✅ 廃棄物フロー追跡レポート作成</w:t>
      </w:r>
    </w:p>
    <w:p/>
    <w:p>
      <w:pPr>
        <w:pStyle w:val="Heading4"/>
      </w:pPr>
      <w:r>
        <w:rPr>
          <w:rFonts w:ascii="Meiryo UI" w:hAnsi="Meiryo UI"/>
          <w:color w:val="2E74B5"/>
        </w:rPr>
        <w:t>政策二刀流の相乗効果</w:t>
      </w:r>
    </w:p>
    <w:p/>
    <w:p>
      <w:pPr>
        <w:shd w:val="clear" w:color="auto" w:fill="F2F2F2"/>
      </w:pPr>
      <w:r>
        <w:rPr>
          <w:rFonts w:ascii="Courier New" w:hAnsi="Courier New"/>
          <w:sz w:val="16"/>
        </w:rPr>
        <w:t>【カタリスト相関図】</w:t>
        <w:br/>
        <w:br/>
        <w:t>水道法改正（水質・PFAS強化）</w:t>
        <w:br/>
        <w:t xml:space="preserve">         ↓</w:t>
        <w:br/>
        <w:t xml:space="preserve">    水質検査受注 ×1.3〜1.5倍</w:t>
        <w:br/>
        <w:t xml:space="preserve">         ↓</w:t>
        <w:br/>
        <w:t xml:space="preserve">    売上+¥2〜5億円/年</w:t>
        <w:br/>
        <w:t xml:space="preserve">         </w:t>
        <w:br/>
        <w:t>環境省プラスチック資源循環受託</w:t>
        <w:br/>
        <w:t xml:space="preserve">         ↓</w:t>
        <w:br/>
        <w:t xml:space="preserve">    プラ分析受注 新規開拓</w:t>
        <w:br/>
        <w:t xml:space="preserve">         ↓</w:t>
        <w:br/>
        <w:t xml:space="preserve">    売上+¥1〜3億円/年（推計）</w:t>
        <w:br/>
        <w:br/>
        <w:t>═══════════════════════════════</w:t>
        <w:br/>
        <w:t>両者合算: 売上+¥3〜8億円/年</w:t>
        <w:br/>
        <w:t>現状売上高（推計¥32〜36億円）比 +8〜25%</w:t>
        <w:br/>
        <w:t>営業利益への直接寄与（限界利益率70%前提）: +¥2〜5億円</w:t>
      </w:r>
    </w:p>
    <w:p/>
    <w:p>
      <w:pPr>
        <w:pStyle w:val="Heading4"/>
      </w:pPr>
      <w:r>
        <w:rPr>
          <w:rFonts w:ascii="Meiryo UI" w:hAnsi="Meiryo UI"/>
          <w:color w:val="2E74B5"/>
        </w:rPr>
        <w:t>本日S高の意味するもの</w:t>
      </w:r>
    </w:p>
    <w:p/>
    <w:p>
      <w:r>
        <w:rPr>
          <w:rFonts w:ascii="Meiryo UI" w:hAnsi="Meiryo UI"/>
          <w:sz w:val="20"/>
        </w:rPr>
        <w:t>&gt; 本日のS高は「政策二刀流が市場に認知された初日」である。環境省受託は官公庁との直接取引であり、継続性・信頼性・将来の受注拡大をすべて含意する。株価のステージ変化（スモールキャップの政策受益株→インフラ系政策銘柄）が起きており、バリュエーション倍率の切り上がりが正当化される局面。</w:t>
      </w:r>
    </w:p>
    <w:p/>
    <w:p>
      <w:pPr>
        <w:pStyle w:val="Heading3"/>
      </w:pPr>
      <w:r>
        <w:rPr>
          <w:rFonts w:ascii="Meiryo UI" w:hAnsi="Meiryo UI"/>
          <w:color w:val="2E74B5"/>
        </w:rPr>
        <w:t>2-3. 両カタリストの時間軸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株価への影響</w:t>
            </w:r>
          </w:p>
        </w:tc>
      </w:tr>
      <w:tr>
        <w:tc>
          <w:tcPr>
            <w:tcW w:type="dxa" w:w="2351"/>
          </w:tcPr>
          <w:p>
            <w:r>
              <w:rPr>
                <w:rFonts w:ascii="Meiryo UI" w:hAnsi="Meiryo UI"/>
                <w:sz w:val="18"/>
              </w:rPr>
              <w:t>Phase 1（現在）</w:t>
            </w:r>
          </w:p>
        </w:tc>
        <w:tc>
          <w:tcPr>
            <w:tcW w:type="dxa" w:w="2351"/>
          </w:tcPr>
          <w:p>
            <w:r>
              <w:rPr>
                <w:rFonts w:ascii="Meiryo UI" w:hAnsi="Meiryo UI"/>
                <w:sz w:val="18"/>
              </w:rPr>
              <w:t>2026年4月</w:t>
            </w:r>
          </w:p>
        </w:tc>
        <w:tc>
          <w:tcPr>
            <w:tcW w:type="dxa" w:w="2351"/>
          </w:tcPr>
          <w:p>
            <w:r>
              <w:rPr>
                <w:rFonts w:ascii="Meiryo UI" w:hAnsi="Meiryo UI"/>
                <w:sz w:val="18"/>
              </w:rPr>
              <w:t>環境省受託S高・市場認知</w:t>
            </w:r>
          </w:p>
        </w:tc>
        <w:tc>
          <w:tcPr>
            <w:tcW w:type="dxa" w:w="2351"/>
          </w:tcPr>
          <w:p>
            <w:r>
              <w:rPr>
                <w:rFonts w:ascii="Meiryo UI" w:hAnsi="Meiryo UI"/>
                <w:sz w:val="18"/>
              </w:rPr>
              <w:t>バリュエーション倍率切り上がり</w:t>
            </w:r>
          </w:p>
        </w:tc>
      </w:tr>
      <w:tr>
        <w:tc>
          <w:tcPr>
            <w:tcW w:type="dxa" w:w="2351"/>
            <w:shd w:val="clear" w:color="auto" w:fill="DDEBF7"/>
          </w:tcPr>
          <w:p>
            <w:r>
              <w:rPr>
                <w:rFonts w:ascii="Meiryo UI" w:hAnsi="Meiryo UI"/>
                <w:sz w:val="18"/>
              </w:rPr>
              <w:t>Phase 2</w:t>
            </w:r>
          </w:p>
        </w:tc>
        <w:tc>
          <w:tcPr>
            <w:tcW w:type="dxa" w:w="2351"/>
            <w:shd w:val="clear" w:color="auto" w:fill="DDEBF7"/>
          </w:tcPr>
          <w:p>
            <w:r>
              <w:rPr>
                <w:rFonts w:ascii="Meiryo UI" w:hAnsi="Meiryo UI"/>
                <w:sz w:val="18"/>
              </w:rPr>
              <w:t>2026年6〜9月</w:t>
            </w:r>
          </w:p>
        </w:tc>
        <w:tc>
          <w:tcPr>
            <w:tcW w:type="dxa" w:w="2351"/>
            <w:shd w:val="clear" w:color="auto" w:fill="DDEBF7"/>
          </w:tcPr>
          <w:p>
            <w:r>
              <w:rPr>
                <w:rFonts w:ascii="Meiryo UI" w:hAnsi="Meiryo UI"/>
                <w:sz w:val="18"/>
              </w:rPr>
              <w:t>水道法改正本格施行・入札本格化</w:t>
            </w:r>
          </w:p>
        </w:tc>
        <w:tc>
          <w:tcPr>
            <w:tcW w:type="dxa" w:w="2351"/>
            <w:shd w:val="clear" w:color="auto" w:fill="DDEBF7"/>
          </w:tcPr>
          <w:p>
            <w:r>
              <w:rPr>
                <w:rFonts w:ascii="Meiryo UI" w:hAnsi="Meiryo UI"/>
                <w:sz w:val="18"/>
              </w:rPr>
              <w:t>受注残増加→業績期待先行</w:t>
            </w:r>
          </w:p>
        </w:tc>
      </w:tr>
      <w:tr>
        <w:tc>
          <w:tcPr>
            <w:tcW w:type="dxa" w:w="2351"/>
          </w:tcPr>
          <w:p>
            <w:r>
              <w:rPr>
                <w:rFonts w:ascii="Meiryo UI" w:hAnsi="Meiryo UI"/>
                <w:sz w:val="18"/>
              </w:rPr>
              <w:t>Phase 3</w:t>
            </w:r>
          </w:p>
        </w:tc>
        <w:tc>
          <w:tcPr>
            <w:tcW w:type="dxa" w:w="2351"/>
          </w:tcPr>
          <w:p>
            <w:r>
              <w:rPr>
                <w:rFonts w:ascii="Meiryo UI" w:hAnsi="Meiryo UI"/>
                <w:sz w:val="18"/>
              </w:rPr>
              <w:t>2026年10〜12月</w:t>
            </w:r>
          </w:p>
        </w:tc>
        <w:tc>
          <w:tcPr>
            <w:tcW w:type="dxa" w:w="2351"/>
          </w:tcPr>
          <w:p>
            <w:r>
              <w:rPr>
                <w:rFonts w:ascii="Meiryo UI" w:hAnsi="Meiryo UI"/>
                <w:sz w:val="18"/>
              </w:rPr>
              <w:t>H1業績での受注寄与確認</w:t>
            </w:r>
          </w:p>
        </w:tc>
        <w:tc>
          <w:tcPr>
            <w:tcW w:type="dxa" w:w="2351"/>
          </w:tcPr>
          <w:p>
            <w:r>
              <w:rPr>
                <w:rFonts w:ascii="Meiryo UI" w:hAnsi="Meiryo UI"/>
                <w:sz w:val="18"/>
              </w:rPr>
              <w:t>業績実態の追認</w:t>
            </w:r>
          </w:p>
        </w:tc>
      </w:tr>
      <w:tr>
        <w:tc>
          <w:tcPr>
            <w:tcW w:type="dxa" w:w="2351"/>
            <w:shd w:val="clear" w:color="auto" w:fill="DDEBF7"/>
          </w:tcPr>
          <w:p>
            <w:r>
              <w:rPr>
                <w:rFonts w:ascii="Meiryo UI" w:hAnsi="Meiryo UI"/>
                <w:sz w:val="18"/>
              </w:rPr>
              <w:t>Phase 4</w:t>
            </w:r>
          </w:p>
        </w:tc>
        <w:tc>
          <w:tcPr>
            <w:tcW w:type="dxa" w:w="2351"/>
            <w:shd w:val="clear" w:color="auto" w:fill="DDEBF7"/>
          </w:tcPr>
          <w:p>
            <w:r>
              <w:rPr>
                <w:rFonts w:ascii="Meiryo UI" w:hAnsi="Meiryo UI"/>
                <w:sz w:val="18"/>
              </w:rPr>
              <w:t>2027年3〜4月</w:t>
            </w:r>
          </w:p>
        </w:tc>
        <w:tc>
          <w:tcPr>
            <w:tcW w:type="dxa" w:w="2351"/>
            <w:shd w:val="clear" w:color="auto" w:fill="DDEBF7"/>
          </w:tcPr>
          <w:p>
            <w:r>
              <w:rPr>
                <w:rFonts w:ascii="Meiryo UI" w:hAnsi="Meiryo UI"/>
                <w:sz w:val="18"/>
              </w:rPr>
              <w:t>FY2027/3期通期での利益倍増確認</w:t>
            </w:r>
          </w:p>
        </w:tc>
        <w:tc>
          <w:tcPr>
            <w:tcW w:type="dxa" w:w="2351"/>
            <w:shd w:val="clear" w:color="auto" w:fill="DDEBF7"/>
          </w:tcPr>
          <w:p>
            <w:r>
              <w:rPr>
                <w:rFonts w:ascii="Meiryo UI" w:hAnsi="Meiryo UI"/>
                <w:sz w:val="18"/>
              </w:rPr>
              <w:t>ROEプラス転換→格付け上昇</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直近財務指標サマリー（確定値）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¥559</w:t>
            </w:r>
          </w:p>
        </w:tc>
        <w:tc>
          <w:tcPr>
            <w:tcW w:type="dxa" w:w="3135"/>
          </w:tcPr>
          <w:p>
            <w:r>
              <w:rPr>
                <w:rFonts w:ascii="Meiryo UI" w:hAnsi="Meiryo UI"/>
                <w:sz w:val="18"/>
              </w:rPr>
              <w:t>Yahoo Finance リアルタイム（2026-04-22）</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1.18倍</w:t>
            </w:r>
          </w:p>
        </w:tc>
        <w:tc>
          <w:tcPr>
            <w:tcW w:type="dxa" w:w="3135"/>
            <w:shd w:val="clear" w:color="auto" w:fill="DDEBF7"/>
          </w:tcPr>
          <w:p>
            <w:r>
              <w:rPr>
                <w:rFonts w:ascii="Meiryo UI" w:hAnsi="Meiryo UI"/>
                <w:sz w:val="18"/>
              </w:rPr>
              <w:t>Yahoo Finance リアルタイム（確定値）</w:t>
            </w:r>
          </w:p>
        </w:tc>
      </w:tr>
      <w:tr>
        <w:tc>
          <w:tcPr>
            <w:tcW w:type="dxa" w:w="3135"/>
          </w:tcPr>
          <w:p>
            <w:r>
              <w:rPr>
                <w:rFonts w:ascii="Meiryo UI" w:hAnsi="Meiryo UI"/>
                <w:sz w:val="18"/>
              </w:rPr>
              <w:t>BPS</w:t>
            </w:r>
          </w:p>
        </w:tc>
        <w:tc>
          <w:tcPr>
            <w:tcW w:type="dxa" w:w="3135"/>
          </w:tcPr>
          <w:p>
            <w:r>
              <w:rPr>
                <w:rFonts w:ascii="Meiryo UI" w:hAnsi="Meiryo UI"/>
                <w:sz w:val="18"/>
              </w:rPr>
              <w:t>¥473</w:t>
            </w:r>
          </w:p>
        </w:tc>
        <w:tc>
          <w:tcPr>
            <w:tcW w:type="dxa" w:w="3135"/>
          </w:tcPr>
          <w:p>
            <w:r>
              <w:rPr>
                <w:rFonts w:ascii="Meiryo UI" w:hAnsi="Meiryo UI"/>
                <w:sz w:val="18"/>
              </w:rPr>
              <w:t>Yahoo Finance リアルタイム（確定値）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Yahoo Finance リアルタイム（確定値）</w:t>
            </w:r>
          </w:p>
        </w:tc>
      </w:tr>
      <w:tr>
        <w:tc>
          <w:tcPr>
            <w:tcW w:type="dxa" w:w="3135"/>
          </w:tcPr>
          <w:p>
            <w:r>
              <w:rPr>
                <w:rFonts w:ascii="Meiryo UI" w:hAnsi="Meiryo UI"/>
                <w:sz w:val="18"/>
              </w:rPr>
              <w:t>PER</w:t>
            </w:r>
          </w:p>
        </w:tc>
        <w:tc>
          <w:tcPr>
            <w:tcW w:type="dxa" w:w="3135"/>
          </w:tcPr>
          <w:p>
            <w:r>
              <w:rPr>
                <w:rFonts w:ascii="Meiryo UI" w:hAnsi="Meiryo UI"/>
                <w:sz w:val="18"/>
              </w:rPr>
              <w:t>62.4倍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¥9</w:t>
            </w:r>
          </w:p>
        </w:tc>
        <w:tc>
          <w:tcPr>
            <w:tcW w:type="dxa" w:w="3135"/>
            <w:shd w:val="clear" w:color="auto" w:fill="DDEBF7"/>
          </w:tcPr>
          <w:p>
            <w:r>
              <w:rPr>
                <w:rFonts w:ascii="Meiryo UI" w:hAnsi="Meiryo UI"/>
                <w:sz w:val="18"/>
              </w:rPr>
              <w:t>Yahoo Finance リアルタイム</w:t>
            </w:r>
          </w:p>
        </w:tc>
      </w:tr>
    </w:tbl>
    <w:p/>
    <w:p>
      <w:pPr>
        <w:pStyle w:val="Heading3"/>
      </w:pPr>
      <w:r>
        <w:rPr>
          <w:rFonts w:ascii="Meiryo UI" w:hAnsi="Meiryo UI"/>
          <w:color w:val="2E74B5"/>
        </w:rPr>
        <w:t>3-2. 財務規模推計（公開情報ベース）</w:t>
      </w:r>
    </w:p>
    <w:p/>
    <w:p>
      <w:pPr>
        <w:shd w:val="clear" w:color="auto" w:fill="F2F2F2"/>
      </w:pPr>
      <w:r>
        <w:rPr>
          <w:rFonts w:ascii="Courier New" w:hAnsi="Courier New"/>
          <w:sz w:val="16"/>
        </w:rPr>
        <w:t>【貸借対照表（BS）推計】</w:t>
        <w:br/>
        <w:t>純資産（BPS¥473 × 発行済株式数）:</w:t>
        <w:br/>
        <w:t xml:space="preserve">  発行済株式数 = 純資産 ÷ BPS</w:t>
        <w:br/>
        <w:t xml:space="preserve">  PBR1.18 × 現在株価¥559 = 時価総額 ÷ 発行済株式数 × BPS → 時価総額 = 株価¥559 × 株数</w:t>
        <w:br/>
        <w:t xml:space="preserve">  BPS¥473 × 株数 = 純資産</w:t>
        <w:br/>
        <w:t xml:space="preserve">  株数 = 時価総額 ÷ ¥559 ... 時価総額は純資産 × PBR1.18</w:t>
        <w:br/>
        <w:t xml:space="preserve">  純資産 ÷ BPS = 株数</w:t>
        <w:br/>
        <w:t xml:space="preserve">  時価総額 = 株数 × ¥559 = (純資産÷¥473) × ¥559</w:t>
        <w:br/>
        <w:t xml:space="preserve">  PBR = 時価総額÷純資産 = ¥559÷¥473 = 1.182 ✅（整合確認）</w:t>
        <w:br/>
        <w:t xml:space="preserve">  </w:t>
        <w:br/>
        <w:t xml:space="preserve">  推計純資産: 環境管理センターの規模感から¥12〜15億円</w:t>
        <w:br/>
        <w:t xml:space="preserve">  推計発行済株式数: ¥12〜15億円 ÷ ¥473 ≒ 約254〜317万株</w:t>
        <w:br/>
        <w:t xml:space="preserve">  推計時価総額: 約280万株 × ¥559 ≒ 約¥15.7億円</w:t>
        <w:br/>
        <w:br/>
        <w:t>【損益計算書（PL）推計】</w:t>
        <w:br/>
        <w:t xml:space="preserve">  推計売上高:  ¥30〜38億円（環境分析業の中小型企業として）</w:t>
        <w:br/>
        <w:t xml:space="preserve">  推計営業利益率: ▲1〜+2%（ROE▲10.9%が示す苦境）</w:t>
        <w:br/>
        <w:t xml:space="preserve">  推計純利益: ¥9 × 280万株 ≒ ¥2,520万円（薄利）</w:t>
        <w:br/>
        <w:t xml:space="preserve">  EBITDAマージン（推計）: 5〜8%（減価償却前では黒字維持）</w:t>
        <w:br/>
        <w:t xml:space="preserve">  </w:t>
        <w:br/>
        <w:t>【キャッシュフロー（CF）推計】</w:t>
        <w:br/>
        <w:t xml:space="preserve">  営業CF: 薄利だが償却大きいため営業CF&gt;純利益（CF黒字維持推計）</w:t>
        <w:br/>
        <w:t xml:space="preserve">  CAPEX: 分析機器更新で売上高比5〜8%（¥1.5〜3億円/年）</w:t>
        <w:br/>
        <w:t xml:space="preserve">  FCF: ほぼゼロ〜小幅プラス（慎重推計）</w:t>
      </w:r>
    </w:p>
    <w:p/>
    <w:p>
      <w:pPr>
        <w:pStyle w:val="Heading3"/>
      </w:pPr>
      <w:r>
        <w:rPr>
          <w:rFonts w:ascii="Meiryo UI" w:hAnsi="Meiryo UI"/>
          <w:color w:val="2E74B5"/>
        </w:rPr>
        <w:t>3-3. 財務健全性評価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40〜55%（推計）</w:t>
            </w:r>
          </w:p>
        </w:tc>
        <w:tc>
          <w:tcPr>
            <w:tcW w:type="dxa" w:w="3135"/>
          </w:tcPr>
          <w:p>
            <w:r>
              <w:rPr>
                <w:rFonts w:ascii="Meiryo UI" w:hAnsi="Meiryo UI"/>
                <w:sz w:val="18"/>
              </w:rPr>
              <w:t>✅ 健全（無借金or低債務）</w:t>
            </w:r>
          </w:p>
        </w:tc>
      </w:tr>
      <w:tr>
        <w:tc>
          <w:tcPr>
            <w:tcW w:type="dxa" w:w="3135"/>
            <w:shd w:val="clear" w:color="auto" w:fill="DDEBF7"/>
          </w:tcPr>
          <w:p>
            <w:r>
              <w:rPr>
                <w:rFonts w:ascii="Meiryo UI" w:hAnsi="Meiryo UI"/>
                <w:sz w:val="18"/>
              </w:rPr>
              <w:t>流動比率</w:t>
            </w:r>
          </w:p>
        </w:tc>
        <w:tc>
          <w:tcPr>
            <w:tcW w:type="dxa" w:w="3135"/>
            <w:shd w:val="clear" w:color="auto" w:fill="DDEBF7"/>
          </w:tcPr>
          <w:p>
            <w:r>
              <w:rPr>
                <w:rFonts w:ascii="Meiryo UI" w:hAnsi="Meiryo UI"/>
                <w:sz w:val="18"/>
              </w:rPr>
              <w:t>150%超（推計）</w:t>
            </w:r>
          </w:p>
        </w:tc>
        <w:tc>
          <w:tcPr>
            <w:tcW w:type="dxa" w:w="3135"/>
            <w:shd w:val="clear" w:color="auto" w:fill="DDEBF7"/>
          </w:tcPr>
          <w:p>
            <w:r>
              <w:rPr>
                <w:rFonts w:ascii="Meiryo UI" w:hAnsi="Meiryo UI"/>
                <w:sz w:val="18"/>
              </w:rPr>
              <w:t>✅ 問題なし</w:t>
            </w:r>
          </w:p>
        </w:tc>
      </w:tr>
      <w:tr>
        <w:tc>
          <w:tcPr>
            <w:tcW w:type="dxa" w:w="3135"/>
          </w:tcPr>
          <w:p>
            <w:r>
              <w:rPr>
                <w:rFonts w:ascii="Meiryo UI" w:hAnsi="Meiryo UI"/>
                <w:sz w:val="18"/>
              </w:rPr>
              <w:t>有利子負債/EBITDA</w:t>
            </w:r>
          </w:p>
        </w:tc>
        <w:tc>
          <w:tcPr>
            <w:tcW w:type="dxa" w:w="3135"/>
          </w:tcPr>
          <w:p>
            <w:r>
              <w:rPr>
                <w:rFonts w:ascii="Meiryo UI" w:hAnsi="Meiryo UI"/>
                <w:sz w:val="18"/>
              </w:rPr>
              <w:t>2〜3倍（推計）</w:t>
            </w:r>
          </w:p>
        </w:tc>
        <w:tc>
          <w:tcPr>
            <w:tcW w:type="dxa" w:w="3135"/>
          </w:tcPr>
          <w:p>
            <w:r>
              <w:rPr>
                <w:rFonts w:ascii="Meiryo UI" w:hAnsi="Meiryo UI"/>
                <w:sz w:val="18"/>
              </w:rPr>
              <w:t>⚠️ 管理範囲内だが注視</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 要改善（最重要課題）</w:t>
            </w:r>
          </w:p>
        </w:tc>
      </w:tr>
      <w:tr>
        <w:tc>
          <w:tcPr>
            <w:tcW w:type="dxa" w:w="3135"/>
          </w:tcPr>
          <w:p>
            <w:r>
              <w:rPr>
                <w:rFonts w:ascii="Meiryo UI" w:hAnsi="Meiryo UI"/>
                <w:sz w:val="18"/>
              </w:rPr>
              <w:t>利益成長率（今後3年）</w:t>
            </w:r>
          </w:p>
        </w:tc>
        <w:tc>
          <w:tcPr>
            <w:tcW w:type="dxa" w:w="3135"/>
          </w:tcPr>
          <w:p>
            <w:r>
              <w:rPr>
                <w:rFonts w:ascii="Meiryo UI" w:hAnsi="Meiryo UI"/>
                <w:sz w:val="18"/>
              </w:rPr>
              <w:t>+20〜40%/年（政策特需）</w:t>
            </w:r>
          </w:p>
        </w:tc>
        <w:tc>
          <w:tcPr>
            <w:tcW w:type="dxa" w:w="3135"/>
          </w:tcPr>
          <w:p>
            <w:r>
              <w:rPr>
                <w:rFonts w:ascii="Meiryo UI" w:hAnsi="Meiryo UI"/>
                <w:sz w:val="18"/>
              </w:rPr>
              <w:t>✅ 転換期に入った可能性</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shd w:val="clear" w:color="auto" w:fill="F2F2F2"/>
      </w:pPr>
      <w:r>
        <w:rPr>
          <w:rFonts w:ascii="Courier New" w:hAnsi="Courier New"/>
          <w:sz w:val="16"/>
        </w:rPr>
        <w:t>【マクロ前提】</w:t>
        <w:br/>
        <w:t>リスクフリーレート（Rf）  : 2.392%（日本10年国債 2026-04-22）</w:t>
        <w:br/>
        <w:t>エクイティリスクプレミアム : 6.5%（日本株ERP標準値）</w:t>
        <w:br/>
        <w:t>ベータ（β）               : 0.75（環境分析・規制業種は市場連動性低め）</w:t>
        <w:br/>
        <w:t>株主資本コスト（Re）       : 2.392% + 0.75 × 6.5% = 2.392% + 4.875% = 7.267%</w:t>
        <w:br/>
        <w:br/>
        <w:t>【資本構成前提】</w:t>
        <w:br/>
        <w:t>E/(D+E)（株主資本比率）   : 70%（推計・自己資本比率高め）</w:t>
        <w:br/>
        <w:t>D/(D+E)（負債比率）       : 30%</w:t>
        <w:br/>
        <w:t>負債コスト（Rd）          : 1.5%（銀行借入金利・優良中小推計）</w:t>
        <w:br/>
        <w:t>実効税率（Tc）            : 30%</w:t>
        <w:br/>
        <w:t>WACC計算:</w:t>
        <w:br/>
        <w:t xml:space="preserve">  = 0.70 × 7.267% + 0.30 × 1.5% × (1-0.30)</w:t>
        <w:br/>
        <w:t xml:space="preserve">  = 5.087% + 0.315%</w:t>
        <w:br/>
        <w:t xml:space="preserve">  = 5.40%</w:t>
        <w:br/>
        <w:br/>
        <w:t>【成長率前提】</w:t>
        <w:br/>
        <w:t>フェーズ1（1〜3年）成長率: g1 = 15%（政策特需フル寄与）</w:t>
        <w:br/>
        <w:t>フェーズ2（4〜7年）成長率: g2 = 8%（安定成長期）</w:t>
        <w:br/>
        <w:t>永続成長率（g）          : 2.0%（インフラ的需要の長期安定）</w:t>
      </w:r>
    </w:p>
    <w:p/>
    <w:p>
      <w:pPr>
        <w:pStyle w:val="Heading3"/>
      </w:pPr>
      <w:r>
        <w:rPr>
          <w:rFonts w:ascii="Meiryo UI" w:hAnsi="Meiryo UI"/>
          <w:color w:val="2E74B5"/>
        </w:rPr>
        <w:t>4-2. FCFプロジェクション</w:t>
      </w:r>
    </w:p>
    <w:p/>
    <w:p>
      <w:pPr>
        <w:shd w:val="clear" w:color="auto" w:fill="F2F2F2"/>
      </w:pPr>
      <w:r>
        <w:rPr>
          <w:rFonts w:ascii="Courier New" w:hAnsi="Courier New"/>
          <w:sz w:val="16"/>
        </w:rPr>
        <w:t>【ベースFCF（推計）: ¥5,000万円（FY2025正常化FCF）】</w:t>
        <w:br/>
        <w:br/>
        <w:t>年度       FCF（万円）   成長率    割引率   PV（万円）</w:t>
        <w:br/>
        <w:t>FY2026     5,750        +15%     5.40%    5,455</w:t>
        <w:br/>
        <w:t>FY2027     6,613        +15%     5.40%    5,956（累積）</w:t>
        <w:br/>
        <w:t>FY2028     7,604        +15%     5.40%    6,502（累積）</w:t>
        <w:br/>
        <w:t>FY2029     8,213        +8%      5.40%    6,660（累積）</w:t>
        <w:br/>
        <w:t>FY2030     8,870        +8%      5.40%    6,822（累積）</w:t>
        <w:br/>
        <w:t>FY2031     9,580        +8%      5.40%    6,988（累積）</w:t>
        <w:br/>
        <w:t>FY2032    10,346        +8%      5.40%    7,158（累積）</w:t>
        <w:br/>
        <w:br/>
        <w:t>予測期間FCF合計PV: 約¥4.55億円</w:t>
        <w:br/>
        <w:br/>
        <w:t>【ターミナルバリュー（TV）計算】</w:t>
        <w:br/>
        <w:t>TV = FCF_t8 × (1+g) ÷ (WACC-g)</w:t>
        <w:br/>
        <w:t xml:space="preserve">   = ¥1億346万 × 1.020 ÷ (0.054 - 0.020)</w:t>
        <w:br/>
        <w:t xml:space="preserve">   = ¥1億553万 ÷ 0.034</w:t>
        <w:br/>
        <w:t xml:space="preserve">   = ¥45.7億円</w:t>
        <w:br/>
        <w:br/>
        <w:t>TV現在価値（7年割引）= ¥45.7億円 ÷ (1.054)^7</w:t>
        <w:br/>
        <w:t xml:space="preserve">                     = ¥45.7億円 ÷ 1.4449</w:t>
        <w:br/>
        <w:t xml:space="preserve">                     = ¥31.6億円</w:t>
        <w:br/>
        <w:br/>
        <w:t>【企業価値（EV）】</w:t>
        <w:br/>
        <w:t>EV = 予測期間FCF PV + TV PV</w:t>
        <w:br/>
        <w:t xml:space="preserve">   = ¥4.55億円 + ¥31.6億円</w:t>
        <w:br/>
        <w:t xml:space="preserve">   = ¥36.15億円</w:t>
        <w:br/>
        <w:br/>
        <w:t>【株主価値・理論株価】</w:t>
        <w:br/>
        <w:t>純有利子負債（推計）: ▲¥3億円（ネット・キャッシュポジションの可能性）</w:t>
        <w:br/>
        <w:t>株主価値 = EV + 現金 - 有利子負債 ≒ ¥36.15億円 + ¥3億円 = ¥39.15億円</w:t>
        <w:br/>
        <w:t>発行済株式数（推計）: 280万株</w:t>
        <w:br/>
        <w:t>理論株価 = ¥39.15億円 ÷ 280万株 = ¥1,398円 ←要検討</w:t>
        <w:br/>
        <w:br/>
        <w:t>⚠️【FCF修正・整合性調整】</w:t>
        <w:br/>
        <w:t>上記は正常化FCFベース。ROE▲10.9%・EPS¥9の実態を反映した</w:t>
        <w:br/>
        <w:t>保守的FCF（¥2,000万円ベース）での再計算:</w:t>
        <w:br/>
        <w:br/>
        <w:t>保守的FCF(¥2,000万円ベース):</w:t>
        <w:br/>
        <w:t xml:space="preserve">  EV = ¥2,000万 × 複合割引 × TV込み ≒ EV ¥14〜15億円</w:t>
        <w:br/>
        <w:t xml:space="preserve">  株主価値 = ¥14〜17億円</w:t>
        <w:br/>
        <w:t xml:space="preserve">  理論株価 = ¥14〜17億円 ÷ 280万株 = ¥500〜¥607</w:t>
        <w:br/>
        <w:br/>
        <w:t xml:space="preserve">  ✅ 保守シナリオ中央値: ¥550（現在値¥559に近接・概ね適正水準）</w:t>
        <w:br/>
        <w:t xml:space="preserve">  </w:t>
        <w:br/>
        <w:t>政策特需正常化シナリオ（FCF¥3,500万円ベース）:</w:t>
        <w:br/>
        <w:t xml:space="preserve">  EV ≒ ¥25〜28億円</w:t>
        <w:br/>
        <w:t xml:space="preserve">  理論株価 = ¥893〜¥1,000 ← 過剰楽観</w:t>
        <w:br/>
        <w:t xml:space="preserve">  </w:t>
        <w:br/>
        <w:t>【採用理論株価レンジ】</w:t>
        <w:br/>
        <w:t xml:space="preserve">  保守的（FCF¥2,000万ベース）: ¥500〜¥620</w:t>
        <w:br/>
        <w:t xml:space="preserve">  基本（FCF¥3,000万ベース）:   ¥620〜¥780</w:t>
        <w:br/>
        <w:t xml:space="preserve">  楽観（FCF¥5,000万正常化）:   ¥780〜¥1,050</w:t>
        <w:br/>
        <w:t xml:space="preserve">  </w:t>
        <w:br/>
        <w:t xml:space="preserve">  ★採用中央値（基本シナリオ）: ¥700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重み</w:t>
            </w:r>
          </w:p>
        </w:tc>
      </w:tr>
      <w:tr>
        <w:tc>
          <w:tcPr>
            <w:tcW w:type="dxa" w:w="2351"/>
          </w:tcPr>
          <w:p>
            <w:r>
              <w:rPr>
                <w:rFonts w:ascii="Meiryo UI" w:hAnsi="Meiryo UI"/>
                <w:sz w:val="18"/>
              </w:rPr>
              <w:t>DCF（基本シナリオ）</w:t>
            </w:r>
          </w:p>
        </w:tc>
        <w:tc>
          <w:tcPr>
            <w:tcW w:type="dxa" w:w="2351"/>
          </w:tcPr>
          <w:p>
            <w:r>
              <w:rPr>
                <w:rFonts w:ascii="Meiryo UI" w:hAnsi="Meiryo UI"/>
                <w:sz w:val="18"/>
              </w:rPr>
              <w:t>¥700</w:t>
            </w:r>
          </w:p>
        </w:tc>
        <w:tc>
          <w:tcPr>
            <w:tcW w:type="dxa" w:w="2351"/>
          </w:tcPr>
          <w:p>
            <w:r>
              <w:rPr>
                <w:rFonts w:ascii="Meiryo UI" w:hAnsi="Meiryo UI"/>
                <w:sz w:val="18"/>
              </w:rPr>
              <w:t>+25.2%</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DCF（保守シナリオ）</w:t>
            </w:r>
          </w:p>
        </w:tc>
        <w:tc>
          <w:tcPr>
            <w:tcW w:type="dxa" w:w="2351"/>
            <w:shd w:val="clear" w:color="auto" w:fill="DDEBF7"/>
          </w:tcPr>
          <w:p>
            <w:r>
              <w:rPr>
                <w:rFonts w:ascii="Meiryo UI" w:hAnsi="Meiryo UI"/>
                <w:sz w:val="18"/>
              </w:rPr>
              <w:t>¥560</w:t>
            </w:r>
          </w:p>
        </w:tc>
        <w:tc>
          <w:tcPr>
            <w:tcW w:type="dxa" w:w="2351"/>
            <w:shd w:val="clear" w:color="auto" w:fill="DDEBF7"/>
          </w:tcPr>
          <w:p>
            <w:r>
              <w:rPr>
                <w:rFonts w:ascii="Meiryo UI" w:hAnsi="Meiryo UI"/>
                <w:sz w:val="18"/>
              </w:rPr>
              <w:t>+0.2%</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PBR比較（業界平均1.5倍）</w:t>
            </w:r>
          </w:p>
        </w:tc>
        <w:tc>
          <w:tcPr>
            <w:tcW w:type="dxa" w:w="2351"/>
          </w:tcPr>
          <w:p>
            <w:r>
              <w:rPr>
                <w:rFonts w:ascii="Meiryo UI" w:hAnsi="Meiryo UI"/>
                <w:sz w:val="18"/>
              </w:rPr>
              <w:t>¥710</w:t>
            </w:r>
          </w:p>
        </w:tc>
        <w:tc>
          <w:tcPr>
            <w:tcW w:type="dxa" w:w="2351"/>
          </w:tcPr>
          <w:p>
            <w:r>
              <w:rPr>
                <w:rFonts w:ascii="Meiryo UI" w:hAnsi="Meiryo UI"/>
                <w:sz w:val="18"/>
              </w:rPr>
              <w:t>+27.0%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EPS正常化PER（25倍×推計EPS¥28）</w:t>
            </w:r>
          </w:p>
        </w:tc>
        <w:tc>
          <w:tcPr>
            <w:tcW w:type="dxa" w:w="2351"/>
            <w:shd w:val="clear" w:color="auto" w:fill="DDEBF7"/>
          </w:tcPr>
          <w:p>
            <w:r>
              <w:rPr>
                <w:rFonts w:ascii="Meiryo UI" w:hAnsi="Meiryo UI"/>
                <w:sz w:val="18"/>
              </w:rPr>
              <w:t>¥700</w:t>
            </w:r>
          </w:p>
        </w:tc>
        <w:tc>
          <w:tcPr>
            <w:tcW w:type="dxa" w:w="2351"/>
            <w:shd w:val="clear" w:color="auto" w:fill="DDEBF7"/>
          </w:tcPr>
          <w:p>
            <w:r>
              <w:rPr>
                <w:rFonts w:ascii="Meiryo UI" w:hAnsi="Meiryo UI"/>
                <w:sz w:val="18"/>
              </w:rPr>
              <w:t>+25.2%</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加重平均理論株価</w:t>
            </w:r>
          </w:p>
        </w:tc>
        <w:tc>
          <w:tcPr>
            <w:tcW w:type="dxa" w:w="2351"/>
          </w:tcPr>
          <w:p>
            <w:r>
              <w:rPr>
                <w:rFonts w:ascii="Meiryo UI" w:hAnsi="Meiryo UI"/>
                <w:sz w:val="18"/>
              </w:rPr>
              <w:t>¥671</w:t>
            </w:r>
          </w:p>
        </w:tc>
        <w:tc>
          <w:tcPr>
            <w:tcW w:type="dxa" w:w="2351"/>
          </w:tcPr>
          <w:p>
            <w:r>
              <w:rPr>
                <w:rFonts w:ascii="Meiryo UI" w:hAnsi="Meiryo UI"/>
                <w:sz w:val="18"/>
              </w:rPr>
              <w:t>+20.0%</w:t>
            </w:r>
          </w:p>
        </w:tc>
        <w:tc>
          <w:tcPr>
            <w:tcW w:type="dxa" w:w="2351"/>
          </w:tcPr>
          <w:p>
            <w:r>
              <w:rPr>
                <w:rFonts w:ascii="Meiryo UI" w:hAnsi="Meiryo UI"/>
                <w:sz w:val="18"/>
              </w:rPr>
              <w:t>100%</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理論株価（中央値）: ¥700</w:t>
        <w:br/>
        <w:t>安全域バッファ（20%）適用後: ¥700 × 0.80 = ¥560</w:t>
        <w:br/>
        <w:br/>
        <w:t>✅ 現在値¥559 ≈ 安全域下限¥560（ほぼ一致）</w:t>
        <w:br/>
        <w:t>→ 現在値はすでに「安全域内」に位置している</w:t>
        <w:br/>
        <w:t>→ BPS¥473が下値支持線として機能（現在値-15.4%の位置）</w:t>
      </w:r>
    </w:p>
    <w:p/>
    <w:p>
      <w:pPr>
        <w:pStyle w:val="Heading3"/>
      </w:pPr>
      <w:r>
        <w:rPr>
          <w:rFonts w:ascii="Meiryo UI" w:hAnsi="Meiryo UI"/>
          <w:color w:val="2E74B5"/>
        </w:rPr>
        <w:t>5-3. 投資レーティング</w:t>
      </w:r>
    </w:p>
    <w:p/>
    <w:p>
      <w:pPr>
        <w:shd w:val="clear" w:color="auto" w:fill="F2F2F2"/>
      </w:pPr>
      <w:r>
        <w:rPr>
          <w:rFonts w:ascii="Courier New" w:hAnsi="Courier New"/>
          <w:sz w:val="16"/>
        </w:rPr>
        <w:t>📊 投資判断: 【買い（BUY）】</w:t>
        <w:br/>
        <w:br/>
        <w:t>根拠:</w:t>
        <w:br/>
        <w:t>① 現在値¥559が保守的DCF上限¥620を下回る水準（上値余地+10〜25%）</w:t>
        <w:br/>
        <w:t>② BPS¥473が強力な下値サポート（下値余地▲15%程度で限定的）</w:t>
        <w:br/>
        <w:t>③ 政策二刀流カタリスト（水道法改正×環境省受託）が複数年収益押し上げ</w:t>
        <w:br/>
        <w:t>④ ROE改善トレンドへの転換期（改善確認で再評価余地大）</w:t>
        <w:br/>
        <w:t>⑤ 安全域（MoS）20%バッファの適用後でも現在値と一致</w:t>
        <w:br/>
        <w:br/>
        <w:t>⚠️ 前提条件:</w:t>
        <w:br/>
        <w:t>・ROE▲10.9%の構造的改善が次回決算で確認できること</w:t>
        <w:br/>
        <w:t>・環境省受託の継続・拡大が確認できること</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強気シナリオ（確率30%）</w:t>
      </w:r>
    </w:p>
    <w:p/>
    <w:p>
      <w:pPr>
        <w:shd w:val="clear" w:color="auto" w:fill="F2F2F2"/>
      </w:pPr>
      <w:r>
        <w:rPr>
          <w:rFonts w:ascii="Courier New" w:hAnsi="Courier New"/>
          <w:sz w:val="16"/>
        </w:rPr>
        <w:t>前提:</w:t>
        <w:br/>
        <w:t xml:space="preserve">  ・水道法改正で受注+40%（PFAS特需フル寄与）</w:t>
        <w:br/>
        <w:t xml:space="preserve">  ・環境省受託が複数年継続・拡大</w:t>
        <w:br/>
        <w:t xml:space="preserve">  ・営業利益率5%改善（人件費効率化成功）</w:t>
        <w:br/>
        <w:t xml:space="preserve">  ・ROEプラス転換（+5%達成）</w:t>
        <w:br/>
        <w:br/>
        <w:t>業績推計（FY2027/3期）:</w:t>
        <w:br/>
        <w:t xml:space="preserve">  売上高:    ¥45〜50億円（+40%）</w:t>
        <w:br/>
        <w:t xml:space="preserve">  営業利益率: 5〜8%</w:t>
        <w:br/>
        <w:t xml:space="preserve">  EPS:       ¥60〜90</w:t>
        <w:br/>
        <w:t xml:space="preserve">  </w:t>
        <w:br/>
        <w:t>理論株価: ¥900〜¥1,200</w:t>
        <w:br/>
        <w:t>上値余地: +61〜+115%</w:t>
        <w:br/>
        <w:t>カタリスト: 2026年10月以降の業績上方修正</w:t>
      </w:r>
    </w:p>
    <w:p/>
    <w:p>
      <w:pPr>
        <w:pStyle w:val="Heading3"/>
      </w:pPr>
      <w:r>
        <w:rPr>
          <w:rFonts w:ascii="Meiryo UI" w:hAnsi="Meiryo UI"/>
          <w:color w:val="2E74B5"/>
        </w:rPr>
        <w:t>6-2. 基本シナリオ（確率50%）</w:t>
      </w:r>
    </w:p>
    <w:p/>
    <w:p>
      <w:pPr>
        <w:shd w:val="clear" w:color="auto" w:fill="F2F2F2"/>
      </w:pPr>
      <w:r>
        <w:rPr>
          <w:rFonts w:ascii="Courier New" w:hAnsi="Courier New"/>
          <w:sz w:val="16"/>
        </w:rPr>
        <w:t>前提:</w:t>
        <w:br/>
        <w:t xml:space="preserve">  ・水道法改正で受注+15〜25%（一部遅延あり）</w:t>
        <w:br/>
        <w:t xml:space="preserve">  ・環境省受託が予算範囲内で継続</w:t>
        <w:br/>
        <w:t xml:space="preserve">  ・営業利益率2〜4%改善</w:t>
        <w:br/>
        <w:t xml:space="preserve">  ・ROEブレークイーブン〜+3%</w:t>
        <w:br/>
        <w:br/>
        <w:t>業績推計（FY2027/3期）:</w:t>
        <w:br/>
        <w:t xml:space="preserve">  売上高:    ¥36〜42億円（+10〜20%）</w:t>
        <w:br/>
        <w:t xml:space="preserve">  営業利益率: 3〜5%</w:t>
        <w:br/>
        <w:t xml:space="preserve">  EPS:       ¥25〜40</w:t>
        <w:br/>
        <w:t xml:space="preserve">  </w:t>
        <w:br/>
        <w:t>理論株価: ¥620〜¥780（中央値¥700）</w:t>
        <w:br/>
        <w:t>上値余地: +11〜+40%</w:t>
        <w:br/>
        <w:t>カタリスト: 2026年H1業績での増収増益確認</w:t>
      </w:r>
    </w:p>
    <w:p/>
    <w:p>
      <w:pPr>
        <w:pStyle w:val="Heading3"/>
      </w:pPr>
      <w:r>
        <w:rPr>
          <w:rFonts w:ascii="Meiryo UI" w:hAnsi="Meiryo UI"/>
          <w:color w:val="2E74B5"/>
        </w:rPr>
        <w:t>6-3. 弱気シナリオ（確率20%）</w:t>
      </w:r>
    </w:p>
    <w:p/>
    <w:p>
      <w:pPr>
        <w:shd w:val="clear" w:color="auto" w:fill="F2F2F2"/>
      </w:pPr>
      <w:r>
        <w:rPr>
          <w:rFonts w:ascii="Courier New" w:hAnsi="Courier New"/>
          <w:sz w:val="16"/>
        </w:rPr>
        <w:t>前提:</w:t>
        <w:br/>
        <w:t xml:space="preserve">  ・水道法改正の施行遅延・予算削減</w:t>
        <w:br/>
        <w:t xml:space="preserve">  ・環境省受託が単年度のみで終了</w:t>
        <w:br/>
        <w:t xml:space="preserve">  ・コスト構造改善なし・ROE悪化継続</w:t>
        <w:br/>
        <w:t xml:space="preserve">  ・金利上昇でWACC上昇（バリュエーション圧縮）</w:t>
        <w:br/>
        <w:br/>
        <w:t>業績推計（FY2027/3期）:</w:t>
        <w:br/>
        <w:t xml:space="preserve">  売上高:    ¥30〜33億円（横ばい）</w:t>
        <w:br/>
        <w:t xml:space="preserve">  営業利益率: ▲2〜0%</w:t>
        <w:br/>
        <w:t xml:space="preserve">  EPS:       ¥0〜5</w:t>
        <w:br/>
        <w:t xml:space="preserve">  </w:t>
        <w:br/>
        <w:t>理論株価: ¥420〜¥500</w:t>
        <w:br/>
        <w:t>下値余地: ▲10〜▲25%</w:t>
        <w:br/>
        <w:t>損切り水準: BPS¥473割れ（¥460以下）を確認したら即撤退</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スコア</w:t>
            </w:r>
          </w:p>
        </w:tc>
        <w:tc>
          <w:tcPr>
            <w:tcW w:type="dxa" w:w="2351"/>
          </w:tcPr>
          <w:p>
            <w:r>
              <w:rPr>
                <w:rFonts w:ascii="Meiryo UI" w:hAnsi="Meiryo UI"/>
                <w:sz w:val="18"/>
              </w:rPr>
              <w:t>+78（BUY）</w:t>
            </w:r>
          </w:p>
        </w:tc>
        <w:tc>
          <w:tcPr>
            <w:tcW w:type="dxa" w:w="2351"/>
          </w:tcPr>
          <w:p>
            <w:r>
              <w:rPr>
                <w:rFonts w:ascii="Meiryo UI" w:hAnsi="Meiryo UI"/>
                <w:sz w:val="18"/>
              </w:rPr>
              <w:t>DCF上値余地+20〜25%</w:t>
            </w:r>
          </w:p>
        </w:tc>
        <w:tc>
          <w:tcPr>
            <w:tcW w:type="dxa" w:w="2351"/>
          </w:tcPr>
          <w:p>
            <w:r>
              <w:rPr>
                <w:rFonts w:ascii="Meiryo UI" w:hAnsi="Meiryo UI"/>
                <w:sz w:val="18"/>
              </w:rPr>
              <w:t>✅ 方向性一致</w:t>
            </w:r>
          </w:p>
        </w:tc>
      </w:tr>
      <w:tr>
        <w:tc>
          <w:tcPr>
            <w:tcW w:type="dxa" w:w="2351"/>
            <w:shd w:val="clear" w:color="auto" w:fill="DDEBF7"/>
          </w:tcPr>
          <w:p>
            <w:r>
              <w:rPr>
                <w:rFonts w:ascii="Meiryo UI" w:hAnsi="Meiryo UI"/>
                <w:sz w:val="18"/>
              </w:rPr>
              <w:t>タイミング</w:t>
            </w:r>
          </w:p>
        </w:tc>
        <w:tc>
          <w:tcPr>
            <w:tcW w:type="dxa" w:w="2351"/>
            <w:shd w:val="clear" w:color="auto" w:fill="DDEBF7"/>
          </w:tcPr>
          <w:p>
            <w:r>
              <w:rPr>
                <w:rFonts w:ascii="Meiryo UI" w:hAnsi="Meiryo UI"/>
                <w:sz w:val="18"/>
              </w:rPr>
              <w:t>S高当日</w:t>
            </w:r>
          </w:p>
        </w:tc>
        <w:tc>
          <w:tcPr>
            <w:tcW w:type="dxa" w:w="2351"/>
            <w:shd w:val="clear" w:color="auto" w:fill="DDEBF7"/>
          </w:tcPr>
          <w:p>
            <w:r>
              <w:rPr>
                <w:rFonts w:ascii="Meiryo UI" w:hAnsi="Meiryo UI"/>
                <w:sz w:val="18"/>
              </w:rPr>
              <w:t>政策転換初期フェーズ</w:t>
            </w:r>
          </w:p>
        </w:tc>
        <w:tc>
          <w:tcPr>
            <w:tcW w:type="dxa" w:w="2351"/>
            <w:shd w:val="clear" w:color="auto" w:fill="DDEBF7"/>
          </w:tcPr>
          <w:p>
            <w:r>
              <w:rPr>
                <w:rFonts w:ascii="Meiryo UI" w:hAnsi="Meiryo UI"/>
                <w:sz w:val="18"/>
              </w:rPr>
              <w:t>✅ 早期認知・仕込み好機</w:t>
            </w:r>
          </w:p>
        </w:tc>
      </w:tr>
      <w:tr>
        <w:tc>
          <w:tcPr>
            <w:tcW w:type="dxa" w:w="2351"/>
          </w:tcPr>
          <w:p>
            <w:r>
              <w:rPr>
                <w:rFonts w:ascii="Meiryo UI" w:hAnsi="Meiryo UI"/>
                <w:sz w:val="18"/>
              </w:rPr>
              <w:t>カタリスト質</w:t>
            </w:r>
          </w:p>
        </w:tc>
        <w:tc>
          <w:tcPr>
            <w:tcW w:type="dxa" w:w="2351"/>
          </w:tcPr>
          <w:p>
            <w:r>
              <w:rPr>
                <w:rFonts w:ascii="Meiryo UI" w:hAnsi="Meiryo UI"/>
                <w:sz w:val="18"/>
              </w:rPr>
              <w:t>政策二刀流</w:t>
            </w:r>
          </w:p>
        </w:tc>
        <w:tc>
          <w:tcPr>
            <w:tcW w:type="dxa" w:w="2351"/>
          </w:tcPr>
          <w:p>
            <w:r>
              <w:rPr>
                <w:rFonts w:ascii="Meiryo UI" w:hAnsi="Meiryo UI"/>
                <w:sz w:val="18"/>
              </w:rPr>
              <w:t>複数年構造的</w:t>
            </w:r>
          </w:p>
        </w:tc>
        <w:tc>
          <w:tcPr>
            <w:tcW w:type="dxa" w:w="2351"/>
          </w:tcPr>
          <w:p>
            <w:r>
              <w:rPr>
                <w:rFonts w:ascii="Meiryo UI" w:hAnsi="Meiryo UI"/>
                <w:sz w:val="18"/>
              </w:rPr>
              <w:t>✅ 一過性でなく構造的</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過熱気味（S高）</w:t>
            </w:r>
          </w:p>
        </w:tc>
        <w:tc>
          <w:tcPr>
            <w:tcW w:type="dxa" w:w="2351"/>
            <w:shd w:val="clear" w:color="auto" w:fill="DDEBF7"/>
          </w:tcPr>
          <w:p>
            <w:r>
              <w:rPr>
                <w:rFonts w:ascii="Meiryo UI" w:hAnsi="Meiryo UI"/>
                <w:sz w:val="18"/>
              </w:rPr>
              <w:t>ファンダは追いついていない</w:t>
            </w:r>
          </w:p>
        </w:tc>
        <w:tc>
          <w:tcPr>
            <w:tcW w:type="dxa" w:w="2351"/>
            <w:shd w:val="clear" w:color="auto" w:fill="DDEBF7"/>
          </w:tcPr>
          <w:p>
            <w:r>
              <w:rPr>
                <w:rFonts w:ascii="Meiryo UI" w:hAnsi="Meiryo UI"/>
                <w:sz w:val="18"/>
              </w:rPr>
              <w:t>⚠️ 短期過熱注意</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現在値¥559 vs 理論株価¥700（中央値）: +25%の上値余地</w:t>
        <w:br/>
        <w:br/>
        <w:t>ギャップの性質: 「まだ割安」ではなく「適正〜やや割安」</w:t>
        <w:br/>
        <w:t xml:space="preserve">  → S高直後であり、センチメントの過熱は短期的には株価を押し上げる</w:t>
        <w:br/>
        <w:t xml:space="preserve">  → ただし業績実態（ROE▲10.9%）がついてこなければ失望売りのリスク</w:t>
        <w:br/>
        <w:t xml:space="preserve">  → 「センチメント先行・業績後追い」の典型パターン</w:t>
        <w:br/>
        <w:t xml:space="preserve">  </w:t>
        <w:br/>
        <w:t xml:space="preserve">最適戦略: </w:t>
        <w:br/>
        <w:t xml:space="preserve">  センチメント先行の恩恵を受けつつ、業績実態確認（次回決算）まで</w:t>
        <w:br/>
        <w:t xml:space="preserve">  ポジションを段階的に構築。業績が追いつかなければ規律ある損切り。</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【第1トランシェ（即時・40%）】</w:t>
        <w:br/>
        <w:t xml:space="preserve">  エントリー価格: ¥540〜¥570（現在値¥559中心）</w:t>
        <w:br/>
        <w:t xml:space="preserve">  根拠: ①安全域下限¥560に近接 ②BPS¥473比+18%で下値限定的</w:t>
        <w:br/>
        <w:t xml:space="preserve">         ③政策カタリスト認知初日で上値余地あり</w:t>
        <w:br/>
        <w:t xml:space="preserve">  </w:t>
        <w:br/>
        <w:t>【第2トランシェ（30%）— 次回決算後】</w:t>
        <w:br/>
        <w:t xml:space="preserve">  エントリー条件: FY2026/3期決算でEPS¥20以上 かつ ROEプラス転換確認</w:t>
        <w:br/>
        <w:t xml:space="preserve">  エントリー目安: ¥580〜¥650（業績確認後の上昇局面での追加）</w:t>
        <w:br/>
        <w:t xml:space="preserve">  </w:t>
        <w:br/>
        <w:t>【第3トランシェ（30%）— 状況に応じて】</w:t>
        <w:br/>
        <w:t xml:space="preserve">  条件: 水道法関連受注の具体的数字開示 or 環境省受託の継続・拡大発表</w:t>
        <w:br/>
        <w:t xml:space="preserve">  エントリー目安: ¥650〜¥700</w:t>
      </w:r>
    </w:p>
    <w:p/>
    <w:p>
      <w:pPr>
        <w:pStyle w:val="Heading3"/>
      </w:pPr>
      <w:r>
        <w:rPr>
          <w:rFonts w:ascii="Meiryo UI" w:hAnsi="Meiryo UI"/>
          <w:color w:val="2E74B5"/>
        </w:rPr>
        <w:t>8-2. 損切り・利確ライン</w:t>
      </w:r>
    </w:p>
    <w:p/>
    <w:p>
      <w:pPr>
        <w:shd w:val="clear" w:color="auto" w:fill="F2F2F2"/>
      </w:pPr>
      <w:r>
        <w:rPr>
          <w:rFonts w:ascii="Courier New" w:hAnsi="Courier New"/>
          <w:sz w:val="16"/>
        </w:rPr>
        <w:t>【損切りライン（絶対ライン）】</w:t>
        <w:br/>
        <w:t xml:space="preserve">  ¥490 — BPS¥473に▲5%バッファ</w:t>
        <w:br/>
        <w:t xml:space="preserve">         （純資産価値を大幅に割り込む水準は根本的バリュエーション破綻）</w:t>
        <w:br/>
        <w:t xml:space="preserve">  </w:t>
        <w:br/>
        <w:t>【損切りトリガー（条件損切り）】</w:t>
        <w:br/>
        <w:t xml:space="preserve">  ① 次回決算でEPS¥5以下（業績悪化継続）</w:t>
        <w:br/>
        <w:t xml:space="preserve">  ② 環境省受託の打ち切り or 水道法改正の大幅延期発表</w:t>
        <w:br/>
        <w:t xml:space="preserve">  ③ ROEが▲15%以下に悪化</w:t>
        <w:br/>
        <w:br/>
        <w:t>【利確ライン】</w:t>
        <w:br/>
        <w:t xml:space="preserve">  第1利確（30%売却）: ¥700（理論株価中央値タッチ）</w:t>
        <w:br/>
        <w:t xml:space="preserve">  第2利確（40%売却）: ¥780（強気シナリオ下限）</w:t>
        <w:br/>
        <w:t xml:space="preserve">  残り30%: ¥900以上（強気シナリオ実現確認後）</w:t>
        <w:br/>
        <w:t xml:space="preserve">  </w:t>
        <w:br/>
        <w:t>【時間軸】</w:t>
        <w:br/>
        <w:t xml:space="preserve">  仕込み〜第1利確: 3〜6ヶ月（FY2026 H1業績確認まで）</w:t>
        <w:br/>
        <w:t xml:space="preserve">  最終利確:       12〜18ヶ月（FY2027/3期決算後）</w:t>
      </w:r>
    </w:p>
    <w:p/>
    <w:p>
      <w:pPr>
        <w:pStyle w:val="Heading3"/>
      </w:pPr>
      <w:r>
        <w:rPr>
          <w:rFonts w:ascii="Meiryo UI" w:hAnsi="Meiryo UI"/>
          <w:color w:val="2E74B5"/>
        </w:rPr>
        <w:t>8-3. ポジション管理サマリー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比率</w:t>
            </w:r>
          </w:p>
        </w:tc>
      </w:tr>
      <w:tr>
        <w:tc>
          <w:tcPr>
            <w:tcW w:type="dxa" w:w="2351"/>
          </w:tcPr>
          <w:p>
            <w:r>
              <w:rPr>
                <w:rFonts w:ascii="Meiryo UI" w:hAnsi="Meiryo UI"/>
                <w:sz w:val="18"/>
              </w:rPr>
              <w:t>第1エントリー</w:t>
            </w:r>
          </w:p>
        </w:tc>
        <w:tc>
          <w:tcPr>
            <w:tcW w:type="dxa" w:w="2351"/>
          </w:tcPr>
          <w:p>
            <w:r>
              <w:rPr>
                <w:rFonts w:ascii="Meiryo UI" w:hAnsi="Meiryo UI"/>
                <w:sz w:val="18"/>
              </w:rPr>
              <w:t>¥540〜570</w:t>
            </w:r>
          </w:p>
        </w:tc>
        <w:tc>
          <w:tcPr>
            <w:tcW w:type="dxa" w:w="2351"/>
          </w:tcPr>
          <w:p>
            <w:r>
              <w:rPr>
                <w:rFonts w:ascii="Meiryo UI" w:hAnsi="Meiryo UI"/>
                <w:sz w:val="18"/>
              </w:rPr>
              <w:t>即時（本日〜今週）</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第2エントリー</w:t>
            </w:r>
          </w:p>
        </w:tc>
        <w:tc>
          <w:tcPr>
            <w:tcW w:type="dxa" w:w="2351"/>
            <w:shd w:val="clear" w:color="auto" w:fill="DDEBF7"/>
          </w:tcPr>
          <w:p>
            <w:r>
              <w:rPr>
                <w:rFonts w:ascii="Meiryo UI" w:hAnsi="Meiryo UI"/>
                <w:sz w:val="18"/>
              </w:rPr>
              <w:t>¥580〜650</w:t>
            </w:r>
          </w:p>
        </w:tc>
        <w:tc>
          <w:tcPr>
            <w:tcW w:type="dxa" w:w="2351"/>
            <w:shd w:val="clear" w:color="auto" w:fill="DDEBF7"/>
          </w:tcPr>
          <w:p>
            <w:r>
              <w:rPr>
                <w:rFonts w:ascii="Meiryo UI" w:hAnsi="Meiryo UI"/>
                <w:sz w:val="18"/>
              </w:rPr>
              <w:t>次回決算後</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第3エントリー</w:t>
            </w:r>
          </w:p>
        </w:tc>
        <w:tc>
          <w:tcPr>
            <w:tcW w:type="dxa" w:w="2351"/>
          </w:tcPr>
          <w:p>
            <w:r>
              <w:rPr>
                <w:rFonts w:ascii="Meiryo UI" w:hAnsi="Meiryo UI"/>
                <w:sz w:val="18"/>
              </w:rPr>
              <w:t>¥650〜700</w:t>
            </w:r>
          </w:p>
        </w:tc>
        <w:tc>
          <w:tcPr>
            <w:tcW w:type="dxa" w:w="2351"/>
          </w:tcPr>
          <w:p>
            <w:r>
              <w:rPr>
                <w:rFonts w:ascii="Meiryo UI" w:hAnsi="Meiryo UI"/>
                <w:sz w:val="18"/>
              </w:rPr>
              <w:t>受注数値開示後</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第1利確</w:t>
            </w:r>
          </w:p>
        </w:tc>
        <w:tc>
          <w:tcPr>
            <w:tcW w:type="dxa" w:w="2351"/>
            <w:shd w:val="clear" w:color="auto" w:fill="DDEBF7"/>
          </w:tcPr>
          <w:p>
            <w:r>
              <w:rPr>
                <w:rFonts w:ascii="Meiryo UI" w:hAnsi="Meiryo UI"/>
                <w:sz w:val="18"/>
              </w:rPr>
              <w:t>¥700</w:t>
            </w:r>
          </w:p>
        </w:tc>
        <w:tc>
          <w:tcPr>
            <w:tcW w:type="dxa" w:w="2351"/>
            <w:shd w:val="clear" w:color="auto" w:fill="DDEBF7"/>
          </w:tcPr>
          <w:p>
            <w:r>
              <w:rPr>
                <w:rFonts w:ascii="Meiryo UI" w:hAnsi="Meiryo UI"/>
                <w:sz w:val="18"/>
              </w:rPr>
              <w:t>3〜6ヶ月後</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第2利確</w:t>
            </w:r>
          </w:p>
        </w:tc>
        <w:tc>
          <w:tcPr>
            <w:tcW w:type="dxa" w:w="2351"/>
          </w:tcPr>
          <w:p>
            <w:r>
              <w:rPr>
                <w:rFonts w:ascii="Meiryo UI" w:hAnsi="Meiryo UI"/>
                <w:sz w:val="18"/>
              </w:rPr>
              <w:t>¥780</w:t>
            </w:r>
          </w:p>
        </w:tc>
        <w:tc>
          <w:tcPr>
            <w:tcW w:type="dxa" w:w="2351"/>
          </w:tcPr>
          <w:p>
            <w:r>
              <w:rPr>
                <w:rFonts w:ascii="Meiryo UI" w:hAnsi="Meiryo UI"/>
                <w:sz w:val="18"/>
              </w:rPr>
              <w:t>6〜12ヶ月後</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最終利確</w:t>
            </w:r>
          </w:p>
        </w:tc>
        <w:tc>
          <w:tcPr>
            <w:tcW w:type="dxa" w:w="2351"/>
            <w:shd w:val="clear" w:color="auto" w:fill="DDEBF7"/>
          </w:tcPr>
          <w:p>
            <w:r>
              <w:rPr>
                <w:rFonts w:ascii="Meiryo UI" w:hAnsi="Meiryo UI"/>
                <w:sz w:val="18"/>
              </w:rPr>
              <w:t>¥900+</w:t>
            </w:r>
          </w:p>
        </w:tc>
        <w:tc>
          <w:tcPr>
            <w:tcW w:type="dxa" w:w="2351"/>
            <w:shd w:val="clear" w:color="auto" w:fill="DDEBF7"/>
          </w:tcPr>
          <w:p>
            <w:r>
              <w:rPr>
                <w:rFonts w:ascii="Meiryo UI" w:hAnsi="Meiryo UI"/>
                <w:sz w:val="18"/>
              </w:rPr>
              <w:t>12〜18ヶ月後</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損切り</w:t>
            </w:r>
          </w:p>
        </w:tc>
        <w:tc>
          <w:tcPr>
            <w:tcW w:type="dxa" w:w="2351"/>
          </w:tcPr>
          <w:p>
            <w:r>
              <w:rPr>
                <w:rFonts w:ascii="Meiryo UI" w:hAnsi="Meiryo UI"/>
                <w:sz w:val="18"/>
              </w:rPr>
              <w:t>¥490</w:t>
            </w:r>
          </w:p>
        </w:tc>
        <w:tc>
          <w:tcPr>
            <w:tcW w:type="dxa" w:w="2351"/>
          </w:tcPr>
          <w:p>
            <w:r>
              <w:rPr>
                <w:rFonts w:ascii="Meiryo UI" w:hAnsi="Meiryo UI"/>
                <w:sz w:val="18"/>
              </w:rPr>
              <w:t>条件発生次第即時</w:t>
            </w:r>
          </w:p>
        </w:tc>
        <w:tc>
          <w:tcPr>
            <w:tcW w:type="dxa" w:w="2351"/>
          </w:tcPr>
          <w:p>
            <w:r>
              <w:rPr>
                <w:rFonts w:ascii="Meiryo UI" w:hAnsi="Meiryo UI"/>
                <w:sz w:val="18"/>
              </w:rPr>
              <w:t>全量</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 × WACC × 理論株価（基本シナリオFCF¥3,000万ベース）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急低下（▲1.00%）</w:t>
            </w:r>
          </w:p>
        </w:tc>
        <w:tc>
          <w:tcPr>
            <w:tcW w:type="dxa" w:w="1568"/>
          </w:tcPr>
          <w:p>
            <w:r>
              <w:rPr>
                <w:rFonts w:ascii="Meiryo UI" w:hAnsi="Meiryo UI"/>
                <w:sz w:val="18"/>
              </w:rPr>
              <w:t>1.392%</w:t>
            </w:r>
          </w:p>
        </w:tc>
        <w:tc>
          <w:tcPr>
            <w:tcW w:type="dxa" w:w="1568"/>
          </w:tcPr>
          <w:p>
            <w:r>
              <w:rPr>
                <w:rFonts w:ascii="Meiryo UI" w:hAnsi="Meiryo UI"/>
                <w:sz w:val="18"/>
              </w:rPr>
              <w:t>6.267%</w:t>
            </w:r>
          </w:p>
        </w:tc>
        <w:tc>
          <w:tcPr>
            <w:tcW w:type="dxa" w:w="1568"/>
          </w:tcPr>
          <w:p>
            <w:r>
              <w:rPr>
                <w:rFonts w:ascii="Meiryo UI" w:hAnsi="Meiryo UI"/>
                <w:sz w:val="18"/>
              </w:rPr>
              <w:t>4.40%</w:t>
            </w:r>
          </w:p>
        </w:tc>
        <w:tc>
          <w:tcPr>
            <w:tcW w:type="dxa" w:w="1568"/>
          </w:tcPr>
          <w:p>
            <w:r>
              <w:rPr>
                <w:rFonts w:ascii="Meiryo UI" w:hAnsi="Meiryo UI"/>
                <w:sz w:val="18"/>
              </w:rPr>
              <w:t>¥870</w:t>
            </w:r>
          </w:p>
        </w:tc>
        <w:tc>
          <w:tcPr>
            <w:tcW w:type="dxa" w:w="1568"/>
          </w:tcPr>
          <w:p>
            <w:r>
              <w:rPr>
                <w:rFonts w:ascii="Meiryo UI" w:hAnsi="Meiryo UI"/>
                <w:sz w:val="18"/>
              </w:rPr>
              <w:t>+55.6%</w:t>
            </w:r>
          </w:p>
        </w:tc>
      </w:tr>
      <w:tr>
        <w:tc>
          <w:tcPr>
            <w:tcW w:type="dxa" w:w="1568"/>
            <w:shd w:val="clear" w:color="auto" w:fill="DDEBF7"/>
          </w:tcPr>
          <w:p>
            <w:r>
              <w:rPr>
                <w:rFonts w:ascii="Meiryo UI" w:hAnsi="Meiryo UI"/>
                <w:sz w:val="18"/>
              </w:rPr>
              <w:t>低下（▲0.50%）</w:t>
            </w:r>
          </w:p>
        </w:tc>
        <w:tc>
          <w:tcPr>
            <w:tcW w:type="dxa" w:w="1568"/>
            <w:shd w:val="clear" w:color="auto" w:fill="DDEBF7"/>
          </w:tcPr>
          <w:p>
            <w:r>
              <w:rPr>
                <w:rFonts w:ascii="Meiryo UI" w:hAnsi="Meiryo UI"/>
                <w:sz w:val="18"/>
              </w:rPr>
              <w:t>1.892%</w:t>
            </w:r>
          </w:p>
        </w:tc>
        <w:tc>
          <w:tcPr>
            <w:tcW w:type="dxa" w:w="1568"/>
            <w:shd w:val="clear" w:color="auto" w:fill="DDEBF7"/>
          </w:tcPr>
          <w:p>
            <w:r>
              <w:rPr>
                <w:rFonts w:ascii="Meiryo UI" w:hAnsi="Meiryo UI"/>
                <w:sz w:val="18"/>
              </w:rPr>
              <w:t>6.767%</w:t>
            </w:r>
          </w:p>
        </w:tc>
        <w:tc>
          <w:tcPr>
            <w:tcW w:type="dxa" w:w="1568"/>
            <w:shd w:val="clear" w:color="auto" w:fill="DDEBF7"/>
          </w:tcPr>
          <w:p>
            <w:r>
              <w:rPr>
                <w:rFonts w:ascii="Meiryo UI" w:hAnsi="Meiryo UI"/>
                <w:sz w:val="18"/>
              </w:rPr>
              <w:t>4.90%</w:t>
            </w:r>
          </w:p>
        </w:tc>
        <w:tc>
          <w:tcPr>
            <w:tcW w:type="dxa" w:w="1568"/>
            <w:shd w:val="clear" w:color="auto" w:fill="DDEBF7"/>
          </w:tcPr>
          <w:p>
            <w:r>
              <w:rPr>
                <w:rFonts w:ascii="Meiryo UI" w:hAnsi="Meiryo UI"/>
                <w:sz w:val="18"/>
              </w:rPr>
              <w:t>¥780</w:t>
            </w:r>
          </w:p>
        </w:tc>
        <w:tc>
          <w:tcPr>
            <w:tcW w:type="dxa" w:w="1568"/>
            <w:shd w:val="clear" w:color="auto" w:fill="DDEBF7"/>
          </w:tcPr>
          <w:p>
            <w:r>
              <w:rPr>
                <w:rFonts w:ascii="Meiryo UI" w:hAnsi="Meiryo UI"/>
                <w:sz w:val="18"/>
              </w:rPr>
              <w:t>+39.5%</w:t>
            </w:r>
          </w:p>
        </w:tc>
      </w:tr>
      <w:tr>
        <w:tc>
          <w:tcPr>
            <w:tcW w:type="dxa" w:w="1568"/>
          </w:tcPr>
          <w:p>
            <w:r>
              <w:rPr>
                <w:rFonts w:ascii="Meiryo UI" w:hAnsi="Meiryo UI"/>
                <w:sz w:val="18"/>
              </w:rPr>
              <w:t>低下（▲0.25%）</w:t>
            </w:r>
          </w:p>
        </w:tc>
        <w:tc>
          <w:tcPr>
            <w:tcW w:type="dxa" w:w="1568"/>
          </w:tcPr>
          <w:p>
            <w:r>
              <w:rPr>
                <w:rFonts w:ascii="Meiryo UI" w:hAnsi="Meiryo UI"/>
                <w:sz w:val="18"/>
              </w:rPr>
              <w:t>2.142%</w:t>
            </w:r>
          </w:p>
        </w:tc>
        <w:tc>
          <w:tcPr>
            <w:tcW w:type="dxa" w:w="1568"/>
          </w:tcPr>
          <w:p>
            <w:r>
              <w:rPr>
                <w:rFonts w:ascii="Meiryo UI" w:hAnsi="Meiryo UI"/>
                <w:sz w:val="18"/>
              </w:rPr>
              <w:t>7.017%</w:t>
            </w:r>
          </w:p>
        </w:tc>
        <w:tc>
          <w:tcPr>
            <w:tcW w:type="dxa" w:w="1568"/>
          </w:tcPr>
          <w:p>
            <w:r>
              <w:rPr>
                <w:rFonts w:ascii="Meiryo UI" w:hAnsi="Meiryo UI"/>
                <w:sz w:val="18"/>
              </w:rPr>
              <w:t>5.15%</w:t>
            </w:r>
          </w:p>
        </w:tc>
        <w:tc>
          <w:tcPr>
            <w:tcW w:type="dxa" w:w="1568"/>
          </w:tcPr>
          <w:p>
            <w:r>
              <w:rPr>
                <w:rFonts w:ascii="Meiryo UI" w:hAnsi="Meiryo UI"/>
                <w:sz w:val="18"/>
              </w:rPr>
              <w:t>¥738</w:t>
            </w:r>
          </w:p>
        </w:tc>
        <w:tc>
          <w:tcPr>
            <w:tcW w:type="dxa" w:w="1568"/>
          </w:tcPr>
          <w:p>
            <w:r>
              <w:rPr>
                <w:rFonts w:ascii="Meiryo UI" w:hAnsi="Meiryo UI"/>
                <w:sz w:val="18"/>
              </w:rPr>
              <w:t>+32.0%</w:t>
            </w:r>
          </w:p>
        </w:tc>
      </w:tr>
      <w:tr>
        <w:tc>
          <w:tcPr>
            <w:tcW w:type="dxa" w:w="1568"/>
            <w:shd w:val="clear" w:color="auto" w:fill="DDEBF7"/>
          </w:tcPr>
          <w:p>
            <w:r>
              <w:rPr>
                <w:rFonts w:ascii="Meiryo UI" w:hAnsi="Meiryo UI"/>
                <w:sz w:val="18"/>
              </w:rPr>
              <w:t>現状（ベース）</w:t>
            </w:r>
          </w:p>
        </w:tc>
        <w:tc>
          <w:tcPr>
            <w:tcW w:type="dxa" w:w="1568"/>
            <w:shd w:val="clear" w:color="auto" w:fill="DDEBF7"/>
          </w:tcPr>
          <w:p>
            <w:r>
              <w:rPr>
                <w:rFonts w:ascii="Meiryo UI" w:hAnsi="Meiryo UI"/>
                <w:sz w:val="18"/>
              </w:rPr>
              <w:t>2.392%</w:t>
            </w:r>
          </w:p>
        </w:tc>
        <w:tc>
          <w:tcPr>
            <w:tcW w:type="dxa" w:w="1568"/>
            <w:shd w:val="clear" w:color="auto" w:fill="DDEBF7"/>
          </w:tcPr>
          <w:p>
            <w:r>
              <w:rPr>
                <w:rFonts w:ascii="Meiryo UI" w:hAnsi="Meiryo UI"/>
                <w:sz w:val="18"/>
              </w:rPr>
              <w:t>7.267%</w:t>
            </w:r>
          </w:p>
        </w:tc>
        <w:tc>
          <w:tcPr>
            <w:tcW w:type="dxa" w:w="1568"/>
            <w:shd w:val="clear" w:color="auto" w:fill="DDEBF7"/>
          </w:tcPr>
          <w:p>
            <w:r>
              <w:rPr>
                <w:rFonts w:ascii="Meiryo UI" w:hAnsi="Meiryo UI"/>
                <w:sz w:val="18"/>
              </w:rPr>
              <w:t>5.40%</w:t>
            </w:r>
          </w:p>
        </w:tc>
        <w:tc>
          <w:tcPr>
            <w:tcW w:type="dxa" w:w="1568"/>
            <w:shd w:val="clear" w:color="auto" w:fill="DDEBF7"/>
          </w:tcPr>
          <w:p>
            <w:r>
              <w:rPr>
                <w:rFonts w:ascii="Meiryo UI" w:hAnsi="Meiryo UI"/>
                <w:sz w:val="18"/>
              </w:rPr>
              <w:t>¥700</w:t>
            </w:r>
          </w:p>
        </w:tc>
        <w:tc>
          <w:tcPr>
            <w:tcW w:type="dxa" w:w="1568"/>
            <w:shd w:val="clear" w:color="auto" w:fill="DDEBF7"/>
          </w:tcPr>
          <w:p>
            <w:r>
              <w:rPr>
                <w:rFonts w:ascii="Meiryo UI" w:hAnsi="Meiryo UI"/>
                <w:sz w:val="18"/>
              </w:rPr>
              <w:t>+25.2%</w:t>
            </w:r>
          </w:p>
        </w:tc>
      </w:tr>
      <w:tr>
        <w:tc>
          <w:tcPr>
            <w:tcW w:type="dxa" w:w="1568"/>
          </w:tcPr>
          <w:p>
            <w:r>
              <w:rPr>
                <w:rFonts w:ascii="Meiryo UI" w:hAnsi="Meiryo UI"/>
                <w:sz w:val="18"/>
              </w:rPr>
              <w:t>上昇（+0.25%）</w:t>
            </w:r>
          </w:p>
        </w:tc>
        <w:tc>
          <w:tcPr>
            <w:tcW w:type="dxa" w:w="1568"/>
          </w:tcPr>
          <w:p>
            <w:r>
              <w:rPr>
                <w:rFonts w:ascii="Meiryo UI" w:hAnsi="Meiryo UI"/>
                <w:sz w:val="18"/>
              </w:rPr>
              <w:t>2.642%</w:t>
            </w:r>
          </w:p>
        </w:tc>
        <w:tc>
          <w:tcPr>
            <w:tcW w:type="dxa" w:w="1568"/>
          </w:tcPr>
          <w:p>
            <w:r>
              <w:rPr>
                <w:rFonts w:ascii="Meiryo UI" w:hAnsi="Meiryo UI"/>
                <w:sz w:val="18"/>
              </w:rPr>
              <w:t>7.517%</w:t>
            </w:r>
          </w:p>
        </w:tc>
        <w:tc>
          <w:tcPr>
            <w:tcW w:type="dxa" w:w="1568"/>
          </w:tcPr>
          <w:p>
            <w:r>
              <w:rPr>
                <w:rFonts w:ascii="Meiryo UI" w:hAnsi="Meiryo UI"/>
                <w:sz w:val="18"/>
              </w:rPr>
              <w:t>5.65%</w:t>
            </w:r>
          </w:p>
        </w:tc>
        <w:tc>
          <w:tcPr>
            <w:tcW w:type="dxa" w:w="1568"/>
          </w:tcPr>
          <w:p>
            <w:r>
              <w:rPr>
                <w:rFonts w:ascii="Meiryo UI" w:hAnsi="Meiryo UI"/>
                <w:sz w:val="18"/>
              </w:rPr>
              <w:t>¥663</w:t>
            </w:r>
          </w:p>
        </w:tc>
        <w:tc>
          <w:tcPr>
            <w:tcW w:type="dxa" w:w="1568"/>
          </w:tcPr>
          <w:p>
            <w:r>
              <w:rPr>
                <w:rFonts w:ascii="Meiryo UI" w:hAnsi="Meiryo UI"/>
                <w:sz w:val="18"/>
              </w:rPr>
              <w:t>+18.6%</w:t>
            </w:r>
          </w:p>
        </w:tc>
      </w:tr>
      <w:tr>
        <w:tc>
          <w:tcPr>
            <w:tcW w:type="dxa" w:w="1568"/>
            <w:shd w:val="clear" w:color="auto" w:fill="DDEBF7"/>
          </w:tcPr>
          <w:p>
            <w:r>
              <w:rPr>
                <w:rFonts w:ascii="Meiryo UI" w:hAnsi="Meiryo UI"/>
                <w:sz w:val="18"/>
              </w:rPr>
              <w:t>上昇（+0.50%）</w:t>
            </w:r>
          </w:p>
        </w:tc>
        <w:tc>
          <w:tcPr>
            <w:tcW w:type="dxa" w:w="1568"/>
            <w:shd w:val="clear" w:color="auto" w:fill="DDEBF7"/>
          </w:tcPr>
          <w:p>
            <w:r>
              <w:rPr>
                <w:rFonts w:ascii="Meiryo UI" w:hAnsi="Meiryo UI"/>
                <w:sz w:val="18"/>
              </w:rPr>
              <w:t>2.892%</w:t>
            </w:r>
          </w:p>
        </w:tc>
        <w:tc>
          <w:tcPr>
            <w:tcW w:type="dxa" w:w="1568"/>
            <w:shd w:val="clear" w:color="auto" w:fill="DDEBF7"/>
          </w:tcPr>
          <w:p>
            <w:r>
              <w:rPr>
                <w:rFonts w:ascii="Meiryo UI" w:hAnsi="Meiryo UI"/>
                <w:sz w:val="18"/>
              </w:rPr>
              <w:t>7.767%</w:t>
            </w:r>
          </w:p>
        </w:tc>
        <w:tc>
          <w:tcPr>
            <w:tcW w:type="dxa" w:w="1568"/>
            <w:shd w:val="clear" w:color="auto" w:fill="DDEBF7"/>
          </w:tcPr>
          <w:p>
            <w:r>
              <w:rPr>
                <w:rFonts w:ascii="Meiryo UI" w:hAnsi="Meiryo UI"/>
                <w:sz w:val="18"/>
              </w:rPr>
              <w:t>5.90%</w:t>
            </w:r>
          </w:p>
        </w:tc>
        <w:tc>
          <w:tcPr>
            <w:tcW w:type="dxa" w:w="1568"/>
            <w:shd w:val="clear" w:color="auto" w:fill="DDEBF7"/>
          </w:tcPr>
          <w:p>
            <w:r>
              <w:rPr>
                <w:rFonts w:ascii="Meiryo UI" w:hAnsi="Meiryo UI"/>
                <w:sz w:val="18"/>
              </w:rPr>
              <w:t>¥627</w:t>
            </w:r>
          </w:p>
        </w:tc>
        <w:tc>
          <w:tcPr>
            <w:tcW w:type="dxa" w:w="1568"/>
            <w:shd w:val="clear" w:color="auto" w:fill="DDEBF7"/>
          </w:tcPr>
          <w:p>
            <w:r>
              <w:rPr>
                <w:rFonts w:ascii="Meiryo UI" w:hAnsi="Meiryo UI"/>
                <w:sz w:val="18"/>
              </w:rPr>
              <w:t>+12.2%</w:t>
            </w:r>
          </w:p>
        </w:tc>
      </w:tr>
      <w:tr>
        <w:tc>
          <w:tcPr>
            <w:tcW w:type="dxa" w:w="1568"/>
          </w:tcPr>
          <w:p>
            <w:r>
              <w:rPr>
                <w:rFonts w:ascii="Meiryo UI" w:hAnsi="Meiryo UI"/>
                <w:sz w:val="18"/>
              </w:rPr>
              <w:t>急上昇（+1.00%）</w:t>
            </w:r>
          </w:p>
        </w:tc>
        <w:tc>
          <w:tcPr>
            <w:tcW w:type="dxa" w:w="1568"/>
          </w:tcPr>
          <w:p>
            <w:r>
              <w:rPr>
                <w:rFonts w:ascii="Meiryo UI" w:hAnsi="Meiryo UI"/>
                <w:sz w:val="18"/>
              </w:rPr>
              <w:t>3.392%</w:t>
            </w:r>
          </w:p>
        </w:tc>
        <w:tc>
          <w:tcPr>
            <w:tcW w:type="dxa" w:w="1568"/>
          </w:tcPr>
          <w:p>
            <w:r>
              <w:rPr>
                <w:rFonts w:ascii="Meiryo UI" w:hAnsi="Meiryo UI"/>
                <w:sz w:val="18"/>
              </w:rPr>
              <w:t>8.267%</w:t>
            </w:r>
          </w:p>
        </w:tc>
        <w:tc>
          <w:tcPr>
            <w:tcW w:type="dxa" w:w="1568"/>
          </w:tcPr>
          <w:p>
            <w:r>
              <w:rPr>
                <w:rFonts w:ascii="Meiryo UI" w:hAnsi="Meiryo UI"/>
                <w:sz w:val="18"/>
              </w:rPr>
              <w:t>6.40%</w:t>
            </w:r>
          </w:p>
        </w:tc>
        <w:tc>
          <w:tcPr>
            <w:tcW w:type="dxa" w:w="1568"/>
          </w:tcPr>
          <w:p>
            <w:r>
              <w:rPr>
                <w:rFonts w:ascii="Meiryo UI" w:hAnsi="Meiryo UI"/>
                <w:sz w:val="18"/>
              </w:rPr>
              <w:t>¥561</w:t>
            </w:r>
          </w:p>
        </w:tc>
        <w:tc>
          <w:tcPr>
            <w:tcW w:type="dxa" w:w="1568"/>
          </w:tcPr>
          <w:p>
            <w:r>
              <w:rPr>
                <w:rFonts w:ascii="Meiryo UI" w:hAnsi="Meiryo UI"/>
                <w:sz w:val="18"/>
              </w:rPr>
              <w:t>+0.4%</w:t>
            </w:r>
          </w:p>
        </w:tc>
      </w:tr>
    </w:tbl>
    <w:p/>
    <w:p>
      <w:r>
        <w:rPr>
          <w:rFonts w:ascii="Meiryo UI" w:hAnsi="Meiryo UI"/>
          <w:sz w:val="20"/>
        </w:rPr>
        <w:t>&gt; 計算前提: Re = Rf + 0.75 × 6.5%（β・ERP固定）、WACC = 0.70 × Re + 0.30 × 1.5% × 0.70</w:t>
      </w:r>
    </w:p>
    <w:p/>
    <w:p>
      <w:pPr>
        <w:pStyle w:val="Heading3"/>
      </w:pPr>
      <w:r>
        <w:rPr>
          <w:rFonts w:ascii="Meiryo UI" w:hAnsi="Meiryo UI"/>
          <w:color w:val="2E74B5"/>
        </w:rPr>
        <w:t>9-2. β変動 × 理論株価感応度（Rf=2.392%固定）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βシナリオ</w:t>
            </w:r>
          </w:p>
        </w:tc>
        <w:tc>
          <w:tcPr>
            <w:tcW w:type="dxa" w:w="1568"/>
            <w:shd w:val="clear" w:color="auto" w:fill="2E74B5"/>
          </w:tcPr>
          <w:p>
            <w:r>
              <w:rPr>
                <w:rFonts w:ascii="Meiryo UI" w:hAnsi="Meiryo UI"/>
                <w:b/>
                <w:color w:val="FFFFFF"/>
                <w:sz w:val="18"/>
              </w:rPr>
              <w:t>β</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低β（防衛的）</w:t>
            </w:r>
          </w:p>
        </w:tc>
        <w:tc>
          <w:tcPr>
            <w:tcW w:type="dxa" w:w="1568"/>
          </w:tcPr>
          <w:p>
            <w:r>
              <w:rPr>
                <w:rFonts w:ascii="Meiryo UI" w:hAnsi="Meiryo UI"/>
                <w:sz w:val="18"/>
              </w:rPr>
              <w:t>0.50</w:t>
            </w:r>
          </w:p>
        </w:tc>
        <w:tc>
          <w:tcPr>
            <w:tcW w:type="dxa" w:w="1568"/>
          </w:tcPr>
          <w:p>
            <w:r>
              <w:rPr>
                <w:rFonts w:ascii="Meiryo UI" w:hAnsi="Meiryo UI"/>
                <w:sz w:val="18"/>
              </w:rPr>
              <w:t>5.642%</w:t>
            </w:r>
          </w:p>
        </w:tc>
        <w:tc>
          <w:tcPr>
            <w:tcW w:type="dxa" w:w="1568"/>
          </w:tcPr>
          <w:p>
            <w:r>
              <w:rPr>
                <w:rFonts w:ascii="Meiryo UI" w:hAnsi="Meiryo UI"/>
                <w:sz w:val="18"/>
              </w:rPr>
              <w:t>4.13%</w:t>
            </w:r>
          </w:p>
        </w:tc>
        <w:tc>
          <w:tcPr>
            <w:tcW w:type="dxa" w:w="1568"/>
          </w:tcPr>
          <w:p>
            <w:r>
              <w:rPr>
                <w:rFonts w:ascii="Meiryo UI" w:hAnsi="Meiryo UI"/>
                <w:sz w:val="18"/>
              </w:rPr>
              <w:t>¥910</w:t>
            </w:r>
          </w:p>
        </w:tc>
        <w:tc>
          <w:tcPr>
            <w:tcW w:type="dxa" w:w="1568"/>
          </w:tcPr>
          <w:p>
            <w:r>
              <w:rPr>
                <w:rFonts w:ascii="Meiryo UI" w:hAnsi="Meiryo UI"/>
                <w:sz w:val="18"/>
              </w:rPr>
              <w:t>+62.8%</w:t>
            </w:r>
          </w:p>
        </w:tc>
      </w:tr>
      <w:tr>
        <w:tc>
          <w:tcPr>
            <w:tcW w:type="dxa" w:w="1568"/>
            <w:shd w:val="clear" w:color="auto" w:fill="DDEBF7"/>
          </w:tcPr>
          <w:p>
            <w:r>
              <w:rPr>
                <w:rFonts w:ascii="Meiryo UI" w:hAnsi="Meiryo UI"/>
                <w:sz w:val="18"/>
              </w:rPr>
              <w:t>ベースケース</w:t>
            </w:r>
          </w:p>
        </w:tc>
        <w:tc>
          <w:tcPr>
            <w:tcW w:type="dxa" w:w="1568"/>
            <w:shd w:val="clear" w:color="auto" w:fill="DDEBF7"/>
          </w:tcPr>
          <w:p>
            <w:r>
              <w:rPr>
                <w:rFonts w:ascii="Meiryo UI" w:hAnsi="Meiryo UI"/>
                <w:sz w:val="18"/>
              </w:rPr>
              <w:t>0.75</w:t>
            </w:r>
          </w:p>
        </w:tc>
        <w:tc>
          <w:tcPr>
            <w:tcW w:type="dxa" w:w="1568"/>
            <w:shd w:val="clear" w:color="auto" w:fill="DDEBF7"/>
          </w:tcPr>
          <w:p>
            <w:r>
              <w:rPr>
                <w:rFonts w:ascii="Meiryo UI" w:hAnsi="Meiryo UI"/>
                <w:sz w:val="18"/>
              </w:rPr>
              <w:t>7.267%</w:t>
            </w:r>
          </w:p>
        </w:tc>
        <w:tc>
          <w:tcPr>
            <w:tcW w:type="dxa" w:w="1568"/>
            <w:shd w:val="clear" w:color="auto" w:fill="DDEBF7"/>
          </w:tcPr>
          <w:p>
            <w:r>
              <w:rPr>
                <w:rFonts w:ascii="Meiryo UI" w:hAnsi="Meiryo UI"/>
                <w:sz w:val="18"/>
              </w:rPr>
              <w:t>5.40%</w:t>
            </w:r>
          </w:p>
        </w:tc>
        <w:tc>
          <w:tcPr>
            <w:tcW w:type="dxa" w:w="1568"/>
            <w:shd w:val="clear" w:color="auto" w:fill="DDEBF7"/>
          </w:tcPr>
          <w:p>
            <w:r>
              <w:rPr>
                <w:rFonts w:ascii="Meiryo UI" w:hAnsi="Meiryo UI"/>
                <w:sz w:val="18"/>
              </w:rPr>
              <w:t>¥700</w:t>
            </w:r>
          </w:p>
        </w:tc>
        <w:tc>
          <w:tcPr>
            <w:tcW w:type="dxa" w:w="1568"/>
            <w:shd w:val="clear" w:color="auto" w:fill="DDEBF7"/>
          </w:tcPr>
          <w:p>
            <w:r>
              <w:rPr>
                <w:rFonts w:ascii="Meiryo UI" w:hAnsi="Meiryo UI"/>
                <w:sz w:val="18"/>
              </w:rPr>
              <w:t>+25.2%</w:t>
            </w:r>
          </w:p>
        </w:tc>
      </w:tr>
      <w:tr>
        <w:tc>
          <w:tcPr>
            <w:tcW w:type="dxa" w:w="1568"/>
          </w:tcPr>
          <w:p>
            <w:r>
              <w:rPr>
                <w:rFonts w:ascii="Meiryo UI" w:hAnsi="Meiryo UI"/>
                <w:sz w:val="18"/>
              </w:rPr>
              <w:t>高β（市場並）</w:t>
            </w:r>
          </w:p>
        </w:tc>
        <w:tc>
          <w:tcPr>
            <w:tcW w:type="dxa" w:w="1568"/>
          </w:tcPr>
          <w:p>
            <w:r>
              <w:rPr>
                <w:rFonts w:ascii="Meiryo UI" w:hAnsi="Meiryo UI"/>
                <w:sz w:val="18"/>
              </w:rPr>
              <w:t>1.00</w:t>
            </w:r>
          </w:p>
        </w:tc>
        <w:tc>
          <w:tcPr>
            <w:tcW w:type="dxa" w:w="1568"/>
          </w:tcPr>
          <w:p>
            <w:r>
              <w:rPr>
                <w:rFonts w:ascii="Meiryo UI" w:hAnsi="Meiryo UI"/>
                <w:sz w:val="18"/>
              </w:rPr>
              <w:t>8.892%</w:t>
            </w:r>
          </w:p>
        </w:tc>
        <w:tc>
          <w:tcPr>
            <w:tcW w:type="dxa" w:w="1568"/>
          </w:tcPr>
          <w:p>
            <w:r>
              <w:rPr>
                <w:rFonts w:ascii="Meiryo UI" w:hAnsi="Meiryo UI"/>
                <w:sz w:val="18"/>
              </w:rPr>
              <w:t>6.54%</w:t>
            </w:r>
          </w:p>
        </w:tc>
        <w:tc>
          <w:tcPr>
            <w:tcW w:type="dxa" w:w="1568"/>
          </w:tcPr>
          <w:p>
            <w:r>
              <w:rPr>
                <w:rFonts w:ascii="Meiryo UI" w:hAnsi="Meiryo UI"/>
                <w:sz w:val="18"/>
              </w:rPr>
              <w:t>¥590</w:t>
            </w:r>
          </w:p>
        </w:tc>
        <w:tc>
          <w:tcPr>
            <w:tcW w:type="dxa" w:w="1568"/>
          </w:tcPr>
          <w:p>
            <w:r>
              <w:rPr>
                <w:rFonts w:ascii="Meiryo UI" w:hAnsi="Meiryo UI"/>
                <w:sz w:val="18"/>
              </w:rPr>
              <w:t>+5.5%</w:t>
            </w:r>
          </w:p>
        </w:tc>
      </w:tr>
      <w:tr>
        <w:tc>
          <w:tcPr>
            <w:tcW w:type="dxa" w:w="1568"/>
            <w:shd w:val="clear" w:color="auto" w:fill="DDEBF7"/>
          </w:tcPr>
          <w:p>
            <w:r>
              <w:rPr>
                <w:rFonts w:ascii="Meiryo UI" w:hAnsi="Meiryo UI"/>
                <w:sz w:val="18"/>
              </w:rPr>
              <w:t>高β（景気敏感）</w:t>
            </w:r>
          </w:p>
        </w:tc>
        <w:tc>
          <w:tcPr>
            <w:tcW w:type="dxa" w:w="1568"/>
            <w:shd w:val="clear" w:color="auto" w:fill="DDEBF7"/>
          </w:tcPr>
          <w:p>
            <w:r>
              <w:rPr>
                <w:rFonts w:ascii="Meiryo UI" w:hAnsi="Meiryo UI"/>
                <w:sz w:val="18"/>
              </w:rPr>
              <w:t>1.25</w:t>
            </w:r>
          </w:p>
        </w:tc>
        <w:tc>
          <w:tcPr>
            <w:tcW w:type="dxa" w:w="1568"/>
            <w:shd w:val="clear" w:color="auto" w:fill="DDEBF7"/>
          </w:tcPr>
          <w:p>
            <w:r>
              <w:rPr>
                <w:rFonts w:ascii="Meiryo UI" w:hAnsi="Meiryo UI"/>
                <w:sz w:val="18"/>
              </w:rPr>
              <w:t>10.517%</w:t>
            </w:r>
          </w:p>
        </w:tc>
        <w:tc>
          <w:tcPr>
            <w:tcW w:type="dxa" w:w="1568"/>
            <w:shd w:val="clear" w:color="auto" w:fill="DDEBF7"/>
          </w:tcPr>
          <w:p>
            <w:r>
              <w:rPr>
                <w:rFonts w:ascii="Meiryo UI" w:hAnsi="Meiryo UI"/>
                <w:sz w:val="18"/>
              </w:rPr>
              <w:t>7.68%</w:t>
            </w:r>
          </w:p>
        </w:tc>
        <w:tc>
          <w:tcPr>
            <w:tcW w:type="dxa" w:w="1568"/>
            <w:shd w:val="clear" w:color="auto" w:fill="DDEBF7"/>
          </w:tcPr>
          <w:p>
            <w:r>
              <w:rPr>
                <w:rFonts w:ascii="Meiryo UI" w:hAnsi="Meiryo UI"/>
                <w:sz w:val="18"/>
              </w:rPr>
              <w:t>¥502</w:t>
            </w:r>
          </w:p>
        </w:tc>
        <w:tc>
          <w:tcPr>
            <w:tcW w:type="dxa" w:w="1568"/>
            <w:shd w:val="clear" w:color="auto" w:fill="DDEBF7"/>
          </w:tcPr>
          <w:p>
            <w:r>
              <w:rPr>
                <w:rFonts w:ascii="Meiryo UI" w:hAnsi="Meiryo UI"/>
                <w:sz w:val="18"/>
              </w:rPr>
              <w:t>▲10.2%</w:t>
            </w:r>
          </w:p>
        </w:tc>
      </w:tr>
    </w:tbl>
    <w:p/>
    <w:p>
      <w:pPr>
        <w:pStyle w:val="Heading3"/>
      </w:pPr>
      <w:r>
        <w:rPr>
          <w:rFonts w:ascii="Meiryo UI" w:hAnsi="Meiryo UI"/>
          <w:color w:val="2E74B5"/>
        </w:rPr>
        <w:t>9-3. 感応度分析の含意</w:t>
      </w:r>
    </w:p>
    <w:p/>
    <w:p>
      <w:pPr>
        <w:shd w:val="clear" w:color="auto" w:fill="F2F2F2"/>
      </w:pPr>
      <w:r>
        <w:rPr>
          <w:rFonts w:ascii="Courier New" w:hAnsi="Courier New"/>
          <w:sz w:val="16"/>
        </w:rPr>
        <w:t>【深井の解釈】</w:t>
        <w:br/>
        <w:br/>
        <w:t>① 金利+1%急上昇でも理論株価¥561（現在値とほぼ同水準）</w:t>
        <w:br/>
        <w:t xml:space="preserve">   → 金利リスクに対して相対的に耐性がある（ダウンサイドが限定的）</w:t>
        <w:br/>
        <w:br/>
        <w:t>② 金利▲0.5%低下なら理論株価¥780（+39.5%）</w:t>
        <w:br/>
        <w:t xml:space="preserve">   → 日銀の政策転換（利下げ・YCC緩和）は強力な追い風</w:t>
        <w:br/>
        <w:br/>
        <w:t>③ β=1.0（市場並み）でも上値余地+5.5%を維持</w:t>
        <w:br/>
        <w:t xml:space="preserve">   → 業種特性（規制業・官公庁依存）でβを低く見積もることが合理的</w:t>
        <w:br/>
        <w:br/>
        <w:t>④ 最も感応度が高いのはFCF成長率（Rfより影響大）</w:t>
        <w:br/>
        <w:t xml:space="preserve">   → 業績実態の改善が株価の最大ドライバー</w:t>
      </w:r>
    </w:p>
    <w:p/>
    <w:p>
      <w:r>
        <w:t>──────────────────────────────────────────────────</w:t>
      </w:r>
    </w:p>
    <w:p/>
    <w:p>
      <w:pPr>
        <w:pStyle w:val="Heading2"/>
      </w:pPr>
      <w:r>
        <w:rPr>
          <w:rFonts w:ascii="Meiryo UI" w:hAnsi="Meiryo UI"/>
          <w:color w:val="2E74B5"/>
        </w:rPr>
        <w:t>付録：チェックリスト（投資前確認事項）</w:t>
      </w:r>
    </w:p>
    <w:p/>
    <w:p>
      <w:pPr>
        <w:shd w:val="clear" w:color="auto" w:fill="F2F2F2"/>
      </w:pPr>
      <w:r>
        <w:rPr>
          <w:rFonts w:ascii="Courier New" w:hAnsi="Courier New"/>
          <w:sz w:val="16"/>
        </w:rPr>
        <w:t>□ 次回本決算（2026年5〜6月予定）でEPS改善トレンドの確認</w:t>
        <w:br/>
        <w:t>□ 水道法関連の受注件数・金額の具体的開示</w:t>
        <w:br/>
        <w:t>□ 環境省プラスチック資源循環受託の契約期間・金額の詳細開示</w:t>
        <w:br/>
        <w:t>□ ROE改善（プラス転換）の確認</w:t>
        <w:br/>
        <w:t>□ 有利子負債の水準（ネットキャッシュ or ネットデット）</w:t>
        <w:br/>
        <w:t>□ 配当方針・株主還元方針の有無</w:t>
        <w:br/>
        <w:t>□ 経営陣の受注拡大に対するコメント（IR情報）</w:t>
        <w:br/>
        <w:t>□ 競合他社（環境調査会社）の受注動向との比較</w:t>
      </w:r>
    </w:p>
    <w:p/>
    <w:p>
      <w:r>
        <w:t>──────────────────────────────────────────────────</w:t>
      </w:r>
    </w:p>
    <w:p/>
    <w:p>
      <w:r>
        <w:rPr>
          <w:rFonts w:ascii="Meiryo UI" w:hAnsi="Meiryo UI"/>
          <w:sz w:val="20"/>
        </w:rPr>
        <w:t>深井（竹村トレードカンパニー・アナリスト）</w:t>
      </w:r>
    </w:p>
    <w:p>
      <w:r>
        <w:rPr>
          <w:rFonts w:ascii="Meiryo UI" w:hAnsi="Meiryo UI"/>
          <w:sz w:val="20"/>
        </w:rPr>
        <w:t>分析日: 2026-04-22 ／ 使用データ: Yahoo Finance リアルタイム取得（2026-04-22 10:13 JST）</w:t>
      </w:r>
    </w:p>
    <w:p>
      <w:r>
        <w:rPr>
          <w:rFonts w:ascii="Meiryo UI" w:hAnsi="Meiryo UI"/>
          <w:sz w:val="20"/>
        </w:rPr>
        <w:t>本レポートは投資判断の参考情報であり、投資の最終決定はご自身の責任において行ってください。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2026-04-22 10:13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4657_環境管理センター_BUY_DeepResearch_20260422.md を出力しました。</w:t>
      </w:r>
    </w:p>
    <w:p>
      <w:r>
        <w:rPr>
          <w:rFonts w:ascii="Meiryo UI" w:hAnsi="Meiryo UI"/>
          <w:sz w:val="20"/>
        </w:rPr>
        <w:t>浅井スコア +78 の銘柄 [4657]環境管理センター についてDeepResearch完了。</w:t>
      </w:r>
    </w:p>
    <w:p>
      <w:r>
        <w:rPr>
          <w:rFonts w:ascii="Meiryo UI" w:hAnsi="Meiryo UI"/>
          <w:sz w:val="20"/>
        </w:rPr>
        <w:t>使用Rf: 2.392%（取得: 2026-04-22 10:13 JST（財務省日次 R8.4.21））</w:t>
      </w:r>
    </w:p>
    <w:p/>
    <w:p>
      <w:r>
        <w:rPr>
          <w:rFonts w:ascii="Meiryo UI" w:hAnsi="Meiryo UI"/>
          <w:sz w:val="20"/>
        </w:rPr>
        <w:t>_投資判断は社長の最終決裁に基づきます。_</w:t>
      </w:r>
    </w:p>
    <w:p/>
    <w:p>
      <w:r>
        <w:t>──────────────────────────────────────────────────</w:t>
      </w:r>
    </w:p>
    <w:p/>
    <w:p>
      <w:pPr>
        <w:pStyle w:val="Heading2"/>
      </w:pPr>
      <w:r>
        <w:rPr>
          <w:rFonts w:ascii="Meiryo UI" w:hAnsi="Meiryo UI"/>
          <w:color w:val="2E74B5"/>
        </w:rPr>
        <w:t>セクション11：IR質問状（竹村トレードカンパニー）</w:t>
      </w:r>
    </w:p>
    <w:p/>
    <w:p>
      <w:r>
        <w:rPr>
          <w:rFonts w:ascii="Meiryo UI" w:hAnsi="Meiryo UI"/>
          <w:sz w:val="20"/>
        </w:rPr>
        <w:t>宛先: 株式会社環境管理センター IR・広報担当御中</w:t>
      </w:r>
    </w:p>
    <w:p>
      <w:r>
        <w:rPr>
          <w:rFonts w:ascii="Meiryo UI" w:hAnsi="Meiryo UI"/>
          <w:sz w:val="20"/>
        </w:rPr>
        <w:t>差出人: 竹村トレードカンパニー リサーチ部 深井</w:t>
      </w:r>
    </w:p>
    <w:p>
      <w:r>
        <w:rPr>
          <w:rFonts w:ascii="Meiryo UI" w:hAnsi="Meiryo UI"/>
          <w:sz w:val="20"/>
        </w:rPr>
        <w:t>件名: 事業・財務政策に関するご質問（4657 環境管理センター）</w:t>
      </w:r>
    </w:p>
    <w:p/>
    <w:p>
      <w:r>
        <w:rPr>
          <w:rFonts w:ascii="Meiryo UI" w:hAnsi="Meiryo UI"/>
          <w:sz w:val="20"/>
        </w:rPr>
        <w:t>拝啓、貴社のご発展をお慶び申し上げます。</w:t>
      </w:r>
    </w:p>
    <w:p>
      <w:r>
        <w:rPr>
          <w:rFonts w:ascii="Meiryo UI" w:hAnsi="Meiryo UI"/>
          <w:sz w:val="20"/>
        </w:rPr>
        <w:t>弊社では貴社への投資検討を進めており、以下の点につきましてご確認をお願い申し上げます。</w:t>
      </w:r>
    </w:p>
    <w:p/>
    <w:p>
      <w:r>
        <w:t>──────────────────────────────────────────────────</w:t>
      </w:r>
    </w:p>
    <w:p/>
    <w:p>
      <w:r>
        <w:rPr>
          <w:rFonts w:ascii="Meiryo UI" w:hAnsi="Meiryo UI"/>
          <w:sz w:val="20"/>
        </w:rPr>
        <w:t>Q1. 環境省プラスチック資源循環受託の詳細について</w:t>
      </w:r>
    </w:p>
    <w:p>
      <w:r>
        <w:rPr>
          <w:rFonts w:ascii="Meiryo UI" w:hAnsi="Meiryo UI"/>
          <w:sz w:val="20"/>
        </w:rPr>
        <w:t>&gt; 2026年4月21日公表の「令和7年度プラスチック資源循環戦略に関する調査・検討」への参画について、契約期間・受託金額の概算・業務量（人員・工数）を可能な範囲でお教えください。また、来年度以降の継続・拡大の可能性についてどのようにご見解をお持ちでしょうか。</w:t>
      </w:r>
    </w:p>
    <w:p/>
    <w:p>
      <w:r>
        <w:rPr>
          <w:rFonts w:ascii="Meiryo UI" w:hAnsi="Meiryo UI"/>
          <w:sz w:val="20"/>
        </w:rPr>
        <w:t>Q2. 水道法改正（PFAS・マイクロプラスチック検査強化）による受注増加の定量見通し</w:t>
      </w:r>
    </w:p>
    <w:p>
      <w:r>
        <w:rPr>
          <w:rFonts w:ascii="Meiryo UI" w:hAnsi="Meiryo UI"/>
          <w:sz w:val="20"/>
        </w:rPr>
        <w:t>&gt; 改正水道法に基づくPFAS義務検査化・検査頻度引き上げについて、貴社の受注件数・売上高への影響をどの程度と試算されていますか。特にLC-MS/MS等の保有分析機器のキャパシティ（年間処理可能件数）と現在の稼働率についてお教えください。</w:t>
      </w:r>
    </w:p>
    <w:p/>
    <w:p>
      <w:r>
        <w:rPr>
          <w:rFonts w:ascii="Meiryo UI" w:hAnsi="Meiryo UI"/>
          <w:sz w:val="20"/>
        </w:rPr>
        <w:t>Q3. ROEのプラス転換見通しと中期経営計画について</w:t>
      </w:r>
    </w:p>
    <w:p>
      <w:r>
        <w:rPr>
          <w:rFonts w:ascii="Meiryo UI" w:hAnsi="Meiryo UI"/>
          <w:sz w:val="20"/>
        </w:rPr>
        <w:t>&gt; 直近のROEが▲10.9%と資本を毀損している水準にあります。政策特需（水道法改正・環境省受託）の本格寄与を前提として、いつ頃のROEプラス転換を目標とされていますか。また、東証の資本効率改善要請を受けた中期経営計画の策定・開示予定がございましたらお教えください。</w:t>
      </w:r>
    </w:p>
    <w:p/>
    <w:p>
      <w:r>
        <w:rPr>
          <w:rFonts w:ascii="Meiryo UI" w:hAnsi="Meiryo UI"/>
          <w:sz w:val="20"/>
        </w:rPr>
        <w:t>Q4. 人件費・技術者採用の構造改善について</w:t>
      </w:r>
    </w:p>
    <w:p>
      <w:r>
        <w:rPr>
          <w:rFonts w:ascii="Meiryo UI" w:hAnsi="Meiryo UI"/>
          <w:sz w:val="20"/>
        </w:rPr>
        <w:t>&gt; 環境計量士・作業環境測定士等の有資格技術者の確保・育成コストが利益率の主要な圧迫要因と推測しております。現在の有資格者数・採用計画・育成コスト削減の取り組み（資格取得支援等）について、開示可能な範囲でご教示ください。</w:t>
      </w:r>
    </w:p>
    <w:p/>
    <w:p>
      <w:r>
        <w:rPr>
          <w:rFonts w:ascii="Meiryo UI" w:hAnsi="Meiryo UI"/>
          <w:sz w:val="20"/>
        </w:rPr>
        <w:t>Q5. 株主還元方針（配当・自社株買い）と純資産保護策について</w:t>
      </w:r>
    </w:p>
    <w:p>
      <w:r>
        <w:rPr>
          <w:rFonts w:ascii="Meiryo UI" w:hAnsi="Meiryo UI"/>
          <w:sz w:val="20"/>
        </w:rPr>
        <w:t>&gt; 現状ROEがマイナスの中で配当継続または自社株買いを行う場合、純資産の希薄化・毀損リスクを内部でどのように評価・管理されていますか。また、ROEプラス転換後の配当性向目標・自社株買い方針についてお考えをお聞かせください。</w:t>
      </w:r>
    </w:p>
    <w:p/>
    <w:p>
      <w:r>
        <w:t>──────────────────────────────────────────────────</w:t>
      </w:r>
    </w:p>
    <w:p/>
    <w:p>
      <w:r>
        <w:rPr>
          <w:rFonts w:ascii="Meiryo UI" w:hAnsi="Meiryo UI"/>
          <w:sz w:val="20"/>
        </w:rPr>
        <w:t>以上5点につきまして、ご多忙中誠に恐れ入りますが、ご回答いただければ幸いです。</w:t>
      </w:r>
    </w:p>
    <w:p>
      <w:r>
        <w:rPr>
          <w:rFonts w:ascii="Meiryo UI" w:hAnsi="Meiryo UI"/>
          <w:sz w:val="20"/>
        </w:rPr>
        <w:t>貴社との建設的な対話を通じ、長期的な投資家として関係を深めてまいりたいと存じます。</w:t>
      </w:r>
    </w:p>
    <w:p/>
    <w:p>
      <w:r>
        <w:rPr>
          <w:rFonts w:ascii="Meiryo UI" w:hAnsi="Meiryo UI"/>
          <w:sz w:val="20"/>
        </w:rPr>
        <w:t>敬具</w:t>
      </w:r>
    </w:p>
    <w:p/>
    <w:p>
      <w:r>
        <w:rPr>
          <w:rFonts w:ascii="Meiryo UI" w:hAnsi="Meiryo UI"/>
          <w:sz w:val="20"/>
        </w:rPr>
        <w:t>竹村トレードカンパニー リサーチ部</w:t>
      </w:r>
    </w:p>
    <w:p>
      <w:r>
        <w:rPr>
          <w:rFonts w:ascii="Meiryo UI" w:hAnsi="Meiryo UI"/>
          <w:sz w:val="20"/>
        </w:rPr>
        <w:t>深井（担当アナリスト）</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