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[46670] アイサンテクノロジー</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[46670] アイサンテクノロジー</w:t>
      </w:r>
    </w:p>
    <w:p>
      <w:r>
        <w:rPr>
          <w:rFonts w:ascii="Meiryo UI" w:hAnsi="Meiryo UI"/>
          <w:sz w:val="20"/>
        </w:rPr>
        <w:t>作成日: 2026-04-04  |  アナリスト: 深井  |  分類: SELL</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DeepResearch レポート</w:t>
      </w:r>
    </w:p>
    <w:p>
      <w:pPr>
        <w:pStyle w:val="Heading2"/>
      </w:pPr>
      <w:r>
        <w:rPr>
          <w:rFonts w:ascii="Meiryo UI" w:hAnsi="Meiryo UI"/>
          <w:color w:val="2E74B5"/>
        </w:rPr>
        <w:t>アイサンテクノロジー（4667）</w:t>
      </w:r>
    </w:p>
    <w:p>
      <w:pPr>
        <w:pStyle w:val="Heading3"/>
      </w:pPr>
      <w:r>
        <w:rPr>
          <w:rFonts w:ascii="Meiryo UI" w:hAnsi="Meiryo UI"/>
          <w:color w:val="2E74B5"/>
        </w:rPr>
        <w:t>竹村トレードカンパニー｜アナリスト：深井</w:t>
      </w:r>
    </w:p>
    <w:p>
      <w:r>
        <w:rPr>
          <w:rFonts w:ascii="Meiryo UI" w:hAnsi="Meiryo UI"/>
          <w:sz w:val="20"/>
        </w:rPr>
        <w:t>分析日：2026年4月4日｜格付け：強い売り（STRONG SELL）</w:t>
      </w:r>
    </w:p>
    <w:p/>
    <w:p>
      <w:r>
        <w:t>──────────────────────────────────────────────────</w:t>
      </w:r>
    </w:p>
    <w:p/>
    <w:p>
      <w:r>
        <w:rPr>
          <w:rFonts w:ascii="Meiryo UI" w:hAnsi="Meiryo UI"/>
          <w:sz w:val="20"/>
        </w:rPr>
        <w:t>&gt; ⚠️ 緊急警戒フラグ：連結子会社における不適切取引疑い・特別調査委員会設置済み。損失規模・範囲未確定。本レポートは当該リスクを最大ウェイトで織り込む。</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市場ポジションと競合分析</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アイサンテクノロジー株式会社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4667（東証スタンダード）</w:t>
            </w:r>
          </w:p>
        </w:tc>
      </w:tr>
      <w:tr>
        <w:tc>
          <w:tcPr>
            <w:tcW w:type="dxa" w:w="4703"/>
          </w:tcPr>
          <w:p>
            <w:r>
              <w:rPr>
                <w:rFonts w:ascii="Meiryo UI" w:hAnsi="Meiryo UI"/>
                <w:sz w:val="18"/>
              </w:rPr>
              <w:t>本社</w:t>
            </w:r>
          </w:p>
        </w:tc>
        <w:tc>
          <w:tcPr>
            <w:tcW w:type="dxa" w:w="4703"/>
          </w:tcPr>
          <w:p>
            <w:r>
              <w:rPr>
                <w:rFonts w:ascii="Meiryo UI" w:hAnsi="Meiryo UI"/>
                <w:sz w:val="18"/>
              </w:rPr>
              <w:t>愛知県名古屋市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1987年</w:t>
            </w:r>
          </w:p>
        </w:tc>
      </w:tr>
      <w:tr>
        <w:tc>
          <w:tcPr>
            <w:tcW w:type="dxa" w:w="4703"/>
          </w:tcPr>
          <w:p>
            <w:r>
              <w:rPr>
                <w:rFonts w:ascii="Meiryo UI" w:hAnsi="Meiryo UI"/>
                <w:sz w:val="18"/>
              </w:rPr>
              <w:t>主要事業</w:t>
            </w:r>
          </w:p>
        </w:tc>
        <w:tc>
          <w:tcPr>
            <w:tcW w:type="dxa" w:w="4703"/>
          </w:tcPr>
          <w:p>
            <w:r>
              <w:rPr>
                <w:rFonts w:ascii="Meiryo UI" w:hAnsi="Meiryo UI"/>
                <w:sz w:val="18"/>
              </w:rPr>
              <w:t>測量・空間情報ソリューション、自動運転・モビリティ技術</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推定 約50〜80億円（小型株）</w:t>
            </w:r>
          </w:p>
        </w:tc>
      </w:tr>
      <w:tr>
        <w:tc>
          <w:tcPr>
            <w:tcW w:type="dxa" w:w="4703"/>
          </w:tcPr>
          <w:p>
            <w:r>
              <w:rPr>
                <w:rFonts w:ascii="Meiryo UI" w:hAnsi="Meiryo UI"/>
                <w:sz w:val="18"/>
              </w:rPr>
              <w:t>従業員数</w:t>
            </w:r>
          </w:p>
        </w:tc>
        <w:tc>
          <w:tcPr>
            <w:tcW w:type="dxa" w:w="4703"/>
          </w:tcPr>
          <w:p>
            <w:r>
              <w:rPr>
                <w:rFonts w:ascii="Meiryo UI" w:hAnsi="Meiryo UI"/>
                <w:sz w:val="18"/>
              </w:rPr>
              <w:t>連結 約300〜400名（推定）</w:t>
            </w:r>
          </w:p>
        </w:tc>
      </w:tr>
    </w:tbl>
    <w:p/>
    <w:p>
      <w:pPr>
        <w:pStyle w:val="Heading3"/>
      </w:pPr>
      <w:r>
        <w:rPr>
          <w:rFonts w:ascii="Meiryo UI" w:hAnsi="Meiryo UI"/>
          <w:color w:val="2E74B5"/>
        </w:rPr>
        <w:t>1-2. セグメント構成</w:t>
      </w:r>
    </w:p>
    <w:p/>
    <w:p>
      <w:r>
        <w:rPr>
          <w:rFonts w:ascii="Meiryo UI" w:hAnsi="Meiryo UI"/>
          <w:sz w:val="20"/>
        </w:rPr>
        <w:t>アイサンテクノロジーは大きく以下のセグメントで事業を構成している。</w:t>
      </w:r>
    </w:p>
    <w:p/>
    <w:p>
      <w:pPr>
        <w:shd w:val="clear" w:color="auto" w:fill="F2F2F2"/>
      </w:pPr>
      <w:r>
        <w:rPr>
          <w:rFonts w:ascii="Courier New" w:hAnsi="Courier New"/>
          <w:sz w:val="16"/>
        </w:rPr>
        <w:t>【事業ポートフォリオ概観】</w:t>
        <w:br/>
        <w:br/>
        <w:t>空間情報事業（推定売上比率：60〜65%）</w:t>
        <w:br/>
        <w:t xml:space="preserve">  ├─ 測量ソリューション（点群データ処理、GIS）</w:t>
        <w:br/>
        <w:t xml:space="preserve">  ├─ インフラ維持管理システム</w:t>
        <w:br/>
        <w:t xml:space="preserve">  └─ 建設DX（i-Construction対応）</w:t>
        <w:br/>
        <w:br/>
        <w:t>モビリティ・自動運転事業（推定売上比率：25〜30%）</w:t>
        <w:br/>
        <w:t xml:space="preserve">  ├─ 自動運転実証・システム開発</w:t>
        <w:br/>
        <w:t xml:space="preserve">  ├─ ダイナミックマップ整備</w:t>
        <w:br/>
        <w:t xml:space="preserve">  └─ 地方公共団体向け自動運転サービス</w:t>
        <w:br/>
        <w:br/>
        <w:t>その他・新規事業（推定売上比率：5〜10%）</w:t>
        <w:br/>
        <w:t xml:space="preserve">  └─ AI・ロボティクス関連</w:t>
      </w:r>
    </w:p>
    <w:p/>
    <w:p>
      <w:pPr>
        <w:pStyle w:val="Heading3"/>
      </w:pPr>
      <w:r>
        <w:rPr>
          <w:rFonts w:ascii="Meiryo UI" w:hAnsi="Meiryo UI"/>
          <w:color w:val="2E74B5"/>
        </w:rPr>
        <w:t>1-3. 競合優位性（コア・コンピタンス）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点群データ処理技術</w:t>
            </w:r>
          </w:p>
        </w:tc>
        <w:tc>
          <w:tcPr>
            <w:tcW w:type="dxa" w:w="3135"/>
          </w:tcPr>
          <w:p>
            <w:r>
              <w:rPr>
                <w:rFonts w:ascii="Meiryo UI" w:hAnsi="Meiryo UI"/>
                <w:sz w:val="18"/>
              </w:rPr>
              <w:t>MMS（モービルマッピングシステム）活用の高精度3D地図</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自動運転インフラとの連携</w:t>
            </w:r>
          </w:p>
        </w:tc>
        <w:tc>
          <w:tcPr>
            <w:tcW w:type="dxa" w:w="3135"/>
            <w:shd w:val="clear" w:color="auto" w:fill="DDEBF7"/>
          </w:tcPr>
          <w:p>
            <w:r>
              <w:rPr>
                <w:rFonts w:ascii="Meiryo UI" w:hAnsi="Meiryo UI"/>
                <w:sz w:val="18"/>
              </w:rPr>
              <w:t>国交省・MLIT関連プロジェクト参画実績</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地域密着型営業基盤</w:t>
            </w:r>
          </w:p>
        </w:tc>
        <w:tc>
          <w:tcPr>
            <w:tcW w:type="dxa" w:w="3135"/>
          </w:tcPr>
          <w:p>
            <w:r>
              <w:rPr>
                <w:rFonts w:ascii="Meiryo UI" w:hAnsi="Meiryo UI"/>
                <w:sz w:val="18"/>
              </w:rPr>
              <w:t>自治体・建設会社への深い顧客関係</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自動運転先行者優位</w:t>
            </w:r>
          </w:p>
        </w:tc>
        <w:tc>
          <w:tcPr>
            <w:tcW w:type="dxa" w:w="3135"/>
            <w:shd w:val="clear" w:color="auto" w:fill="DDEBF7"/>
          </w:tcPr>
          <w:p>
            <w:r>
              <w:rPr>
                <w:rFonts w:ascii="Meiryo UI" w:hAnsi="Meiryo UI"/>
                <w:sz w:val="18"/>
              </w:rPr>
              <w:t>SIP（内閣府戦略的イノベーション）参画</w:t>
            </w:r>
          </w:p>
        </w:tc>
        <w:tc>
          <w:tcPr>
            <w:tcW w:type="dxa" w:w="3135"/>
            <w:shd w:val="clear" w:color="auto" w:fill="DDEBF7"/>
          </w:tcPr>
          <w:p>
            <w:r>
              <w:rPr>
                <w:rFonts w:ascii="Meiryo UI" w:hAnsi="Meiryo UI"/>
                <w:sz w:val="18"/>
              </w:rPr>
              <w:t>高（ただし収益化遅延リスクあり）</w:t>
            </w:r>
          </w:p>
        </w:tc>
      </w:tr>
    </w:tbl>
    <w:p/>
    <w:p>
      <w:pPr>
        <w:pStyle w:val="Heading3"/>
      </w:pPr>
      <w:r>
        <w:rPr>
          <w:rFonts w:ascii="Meiryo UI" w:hAnsi="Meiryo UI"/>
          <w:color w:val="2E74B5"/>
        </w:rPr>
        <w:t>1-4. 直近カタリスト（トリガー分析）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 連結子会社 不適切取引疑い・特別調査委設置</w:t>
            </w:r>
          </w:p>
        </w:tc>
        <w:tc>
          <w:tcPr>
            <w:tcW w:type="dxa" w:w="3135"/>
          </w:tcPr>
          <w:p>
            <w:r>
              <w:rPr>
                <w:rFonts w:ascii="Meiryo UI" w:hAnsi="Meiryo UI"/>
                <w:sz w:val="18"/>
              </w:rPr>
              <w:t>超ネガティブ</w:t>
            </w:r>
          </w:p>
        </w:tc>
        <w:tc>
          <w:tcPr>
            <w:tcW w:type="dxa" w:w="3135"/>
          </w:tcPr>
          <w:p>
            <w:r>
              <w:rPr>
                <w:rFonts w:ascii="Meiryo UI" w:hAnsi="Meiryo UI"/>
                <w:sz w:val="18"/>
              </w:rPr>
              <w:t>最大</w:t>
            </w:r>
          </w:p>
        </w:tc>
      </w:tr>
      <w:tr>
        <w:tc>
          <w:tcPr>
            <w:tcW w:type="dxa" w:w="3135"/>
            <w:shd w:val="clear" w:color="auto" w:fill="DDEBF7"/>
          </w:tcPr>
          <w:p>
            <w:r>
              <w:rPr>
                <w:rFonts w:ascii="Meiryo UI" w:hAnsi="Meiryo UI"/>
                <w:sz w:val="18"/>
              </w:rPr>
              <w:t>自動運転関連 政府予算継続</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i-Construction 2.0推進</w:t>
            </w:r>
          </w:p>
        </w:tc>
        <w:tc>
          <w:tcPr>
            <w:tcW w:type="dxa" w:w="3135"/>
          </w:tcPr>
          <w:p>
            <w:r>
              <w:rPr>
                <w:rFonts w:ascii="Meiryo UI" w:hAnsi="Meiryo UI"/>
                <w:sz w:val="18"/>
              </w:rPr>
              <w:t>ポジティブ</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建設業2024年問題による測量DX需要</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小〜中</w:t>
            </w:r>
          </w:p>
        </w:tc>
      </w:tr>
      <w:tr>
        <w:tc>
          <w:tcPr>
            <w:tcW w:type="dxa" w:w="3135"/>
          </w:tcPr>
          <w:p>
            <w:r>
              <w:rPr>
                <w:rFonts w:ascii="Meiryo UI" w:hAnsi="Meiryo UI"/>
                <w:sz w:val="18"/>
              </w:rPr>
              <w:t>金利上昇（小型グロース株へのバリュエーション圧迫）</w:t>
            </w:r>
          </w:p>
        </w:tc>
        <w:tc>
          <w:tcPr>
            <w:tcW w:type="dxa" w:w="3135"/>
          </w:tcPr>
          <w:p>
            <w:r>
              <w:rPr>
                <w:rFonts w:ascii="Meiryo UI" w:hAnsi="Meiryo UI"/>
                <w:sz w:val="18"/>
              </w:rPr>
              <w:t>ネガティブ</w:t>
            </w:r>
          </w:p>
        </w:tc>
        <w:tc>
          <w:tcPr>
            <w:tcW w:type="dxa" w:w="3135"/>
          </w:tcPr>
          <w:p>
            <w:r>
              <w:rPr>
                <w:rFonts w:ascii="Meiryo UI" w:hAnsi="Meiryo UI"/>
                <w:sz w:val="18"/>
              </w:rPr>
              <w:t>中</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競合マップ</w:t>
      </w:r>
    </w:p>
    <w:p/>
    <w:p>
      <w:pPr>
        <w:shd w:val="clear" w:color="auto" w:fill="F2F2F2"/>
      </w:pPr>
      <w:r>
        <w:rPr>
          <w:rFonts w:ascii="Courier New" w:hAnsi="Courier New"/>
          <w:sz w:val="16"/>
        </w:rPr>
        <w:t>【競合ポジショニング：測量・空間情報×自動運転インフラ】</w:t>
        <w:br/>
        <w:br/>
        <w:t>収益規模（大）</w:t>
        <w:br/>
        <w:t xml:space="preserve">      │</w:t>
        <w:br/>
        <w:t xml:space="preserve">      │  パスコ（NTTデータG）</w:t>
        <w:br/>
        <w:t xml:space="preserve">      │  アジア航測</w:t>
        <w:br/>
        <w:t xml:space="preserve">      │</w:t>
        <w:br/>
        <w:t xml:space="preserve">      │         ＜アイサンテクノロジー＞</w:t>
        <w:br/>
        <w:t xml:space="preserve">      │         ニッチ特化型・技術先行</w:t>
        <w:br/>
        <w:t xml:space="preserve">      │</w:t>
        <w:br/>
        <w:t xml:space="preserve">      │  ライカジオシステムズ（外資）</w:t>
        <w:br/>
        <w:t xml:space="preserve">      │</w:t>
        <w:br/>
        <w:t>収益規模（小）</w:t>
        <w:br/>
        <w:t xml:space="preserve">      └──────────────────────</w:t>
        <w:br/>
        <w:t xml:space="preserve">         汎用的            技術特化・先進領域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アイサン比較</w:t>
            </w:r>
          </w:p>
        </w:tc>
      </w:tr>
      <w:tr>
        <w:tc>
          <w:tcPr>
            <w:tcW w:type="dxa" w:w="3135"/>
          </w:tcPr>
          <w:p>
            <w:r>
              <w:rPr>
                <w:rFonts w:ascii="Meiryo UI" w:hAnsi="Meiryo UI"/>
                <w:sz w:val="18"/>
              </w:rPr>
              <w:t>パスコ（NTTデータG傘下）</w:t>
            </w:r>
          </w:p>
        </w:tc>
        <w:tc>
          <w:tcPr>
            <w:tcW w:type="dxa" w:w="3135"/>
          </w:tcPr>
          <w:p>
            <w:r>
              <w:rPr>
                <w:rFonts w:ascii="Meiryo UI" w:hAnsi="Meiryo UI"/>
                <w:sz w:val="18"/>
              </w:rPr>
              <w:t>資本力・国土地理院連携</w:t>
            </w:r>
          </w:p>
        </w:tc>
        <w:tc>
          <w:tcPr>
            <w:tcW w:type="dxa" w:w="3135"/>
          </w:tcPr>
          <w:p>
            <w:r>
              <w:rPr>
                <w:rFonts w:ascii="Meiryo UI" w:hAnsi="Meiryo UI"/>
                <w:sz w:val="18"/>
              </w:rPr>
              <w:t>規模で劣後、技術で競合</w:t>
            </w:r>
          </w:p>
        </w:tc>
      </w:tr>
      <w:tr>
        <w:tc>
          <w:tcPr>
            <w:tcW w:type="dxa" w:w="3135"/>
            <w:shd w:val="clear" w:color="auto" w:fill="DDEBF7"/>
          </w:tcPr>
          <w:p>
            <w:r>
              <w:rPr>
                <w:rFonts w:ascii="Meiryo UI" w:hAnsi="Meiryo UI"/>
                <w:sz w:val="18"/>
              </w:rPr>
              <w:t>アジア航測</w:t>
            </w:r>
          </w:p>
        </w:tc>
        <w:tc>
          <w:tcPr>
            <w:tcW w:type="dxa" w:w="3135"/>
            <w:shd w:val="clear" w:color="auto" w:fill="DDEBF7"/>
          </w:tcPr>
          <w:p>
            <w:r>
              <w:rPr>
                <w:rFonts w:ascii="Meiryo UI" w:hAnsi="Meiryo UI"/>
                <w:sz w:val="18"/>
              </w:rPr>
              <w:t>航空測量・インフラ</w:t>
            </w:r>
          </w:p>
        </w:tc>
        <w:tc>
          <w:tcPr>
            <w:tcW w:type="dxa" w:w="3135"/>
            <w:shd w:val="clear" w:color="auto" w:fill="DDEBF7"/>
          </w:tcPr>
          <w:p>
            <w:r>
              <w:rPr>
                <w:rFonts w:ascii="Meiryo UI" w:hAnsi="Meiryo UI"/>
                <w:sz w:val="18"/>
              </w:rPr>
              <w:t>事業領域一部重複</w:t>
            </w:r>
          </w:p>
        </w:tc>
      </w:tr>
      <w:tr>
        <w:tc>
          <w:tcPr>
            <w:tcW w:type="dxa" w:w="3135"/>
          </w:tcPr>
          <w:p>
            <w:r>
              <w:rPr>
                <w:rFonts w:ascii="Meiryo UI" w:hAnsi="Meiryo UI"/>
                <w:sz w:val="18"/>
              </w:rPr>
              <w:t>トヨタグループ系（自動運転）</w:t>
            </w:r>
          </w:p>
        </w:tc>
        <w:tc>
          <w:tcPr>
            <w:tcW w:type="dxa" w:w="3135"/>
          </w:tcPr>
          <w:p>
            <w:r>
              <w:rPr>
                <w:rFonts w:ascii="Meiryo UI" w:hAnsi="Meiryo UI"/>
                <w:sz w:val="18"/>
              </w:rPr>
              <w:t>資本・データ量</w:t>
            </w:r>
          </w:p>
        </w:tc>
        <w:tc>
          <w:tcPr>
            <w:tcW w:type="dxa" w:w="3135"/>
          </w:tcPr>
          <w:p>
            <w:r>
              <w:rPr>
                <w:rFonts w:ascii="Meiryo UI" w:hAnsi="Meiryo UI"/>
                <w:sz w:val="18"/>
              </w:rPr>
              <w:t>パートナー関係も潜在競合</w:t>
            </w:r>
          </w:p>
        </w:tc>
      </w:tr>
      <w:tr>
        <w:tc>
          <w:tcPr>
            <w:tcW w:type="dxa" w:w="3135"/>
            <w:shd w:val="clear" w:color="auto" w:fill="DDEBF7"/>
          </w:tcPr>
          <w:p>
            <w:r>
              <w:rPr>
                <w:rFonts w:ascii="Meiryo UI" w:hAnsi="Meiryo UI"/>
                <w:sz w:val="18"/>
              </w:rPr>
              <w:t>ゼンリン</w:t>
            </w:r>
          </w:p>
        </w:tc>
        <w:tc>
          <w:tcPr>
            <w:tcW w:type="dxa" w:w="3135"/>
            <w:shd w:val="clear" w:color="auto" w:fill="DDEBF7"/>
          </w:tcPr>
          <w:p>
            <w:r>
              <w:rPr>
                <w:rFonts w:ascii="Meiryo UI" w:hAnsi="Meiryo UI"/>
                <w:sz w:val="18"/>
              </w:rPr>
              <w:t>地図データ独占的地位</w:t>
            </w:r>
          </w:p>
        </w:tc>
        <w:tc>
          <w:tcPr>
            <w:tcW w:type="dxa" w:w="3135"/>
            <w:shd w:val="clear" w:color="auto" w:fill="DDEBF7"/>
          </w:tcPr>
          <w:p>
            <w:r>
              <w:rPr>
                <w:rFonts w:ascii="Meiryo UI" w:hAnsi="Meiryo UI"/>
                <w:sz w:val="18"/>
              </w:rPr>
              <w:t>異なるレイヤー・協業余地</w:t>
            </w:r>
          </w:p>
        </w:tc>
      </w:tr>
    </w:tbl>
    <w:p/>
    <w:p>
      <w:pPr>
        <w:pStyle w:val="Heading3"/>
      </w:pPr>
      <w:r>
        <w:rPr>
          <w:rFonts w:ascii="Meiryo UI" w:hAnsi="Meiryo UI"/>
          <w:color w:val="2E74B5"/>
        </w:rPr>
        <w:t>2-2. 市場規模と成長性</w:t>
      </w:r>
    </w:p>
    <w:p/>
    <w:p>
      <w:pPr>
        <w:pStyle w:val="ListBullet"/>
      </w:pPr>
      <w:r>
        <w:rPr>
          <w:rFonts w:ascii="Meiryo UI" w:hAnsi="Meiryo UI"/>
          <w:sz w:val="20"/>
        </w:rPr>
        <w:t>国内測量・地理情報市場：約3,000〜4,000億円、年率2〜4%成長</w:t>
      </w:r>
    </w:p>
    <w:p>
      <w:pPr>
        <w:pStyle w:val="ListBullet"/>
      </w:pPr>
      <w:r>
        <w:rPr>
          <w:rFonts w:ascii="Meiryo UI" w:hAnsi="Meiryo UI"/>
          <w:sz w:val="20"/>
        </w:rPr>
        <w:t>自動運転インフラ市場：2030年に向け年率15〜20%成長見込み（矢野経済研究所等参考）</w:t>
      </w:r>
    </w:p>
    <w:p>
      <w:pPr>
        <w:pStyle w:val="ListBullet"/>
      </w:pPr>
      <w:r>
        <w:rPr>
          <w:rFonts w:ascii="Meiryo UI" w:hAnsi="Meiryo UI"/>
          <w:sz w:val="20"/>
        </w:rPr>
        <w:t>建設DX（i-Construction）：国交省が2025年度以降全面普及推進</w:t>
      </w:r>
    </w:p>
    <w:p/>
    <w:p>
      <w:r>
        <w:rPr>
          <w:rFonts w:ascii="Meiryo UI" w:hAnsi="Meiryo UI"/>
          <w:sz w:val="20"/>
        </w:rPr>
        <w:t>⚠️ ただし、これらのポジティブな市場環境は現在のガバナンス危機により享受不能な状態にある点を最重要視する。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推定財務サマリー（直近FY実績ベース）</w:t>
      </w:r>
    </w:p>
    <w:p/>
    <w:p>
      <w:r>
        <w:rPr>
          <w:rFonts w:ascii="Meiryo UI" w:hAnsi="Meiryo UI"/>
          <w:sz w:val="20"/>
        </w:rPr>
        <w:t>&gt; 注記：公開情報・過去IR開示をベースとした推定値。不適切取引による損失計上前の数値。実態は開示後に大幅修正の可能性大。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FY2023実績（推定）</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トレンド</w:t>
            </w:r>
          </w:p>
        </w:tc>
      </w:tr>
      <w:tr>
        <w:tc>
          <w:tcPr>
            <w:tcW w:type="dxa" w:w="2351"/>
          </w:tcPr>
          <w:p>
            <w:r>
              <w:rPr>
                <w:rFonts w:ascii="Meiryo UI" w:hAnsi="Meiryo UI"/>
                <w:sz w:val="18"/>
              </w:rPr>
              <w:t>売上高</w:t>
            </w:r>
          </w:p>
        </w:tc>
        <w:tc>
          <w:tcPr>
            <w:tcW w:type="dxa" w:w="2351"/>
          </w:tcPr>
          <w:p>
            <w:r>
              <w:rPr>
                <w:rFonts w:ascii="Meiryo UI" w:hAnsi="Meiryo UI"/>
                <w:sz w:val="18"/>
              </w:rPr>
              <w:t>約45〜55億円</w:t>
            </w:r>
          </w:p>
        </w:tc>
        <w:tc>
          <w:tcPr>
            <w:tcW w:type="dxa" w:w="2351"/>
          </w:tcPr>
          <w:p>
            <w:r>
              <w:rPr>
                <w:rFonts w:ascii="Meiryo UI" w:hAnsi="Meiryo UI"/>
                <w:sz w:val="18"/>
              </w:rPr>
              <w:t>約50〜60億円</w:t>
            </w:r>
          </w:p>
        </w:tc>
        <w:tc>
          <w:tcPr>
            <w:tcW w:type="dxa" w:w="2351"/>
          </w:tcPr>
          <w:p>
            <w:r>
              <w:rPr>
                <w:rFonts w:ascii="Meiryo UI" w:hAnsi="Meiryo UI"/>
                <w:sz w:val="18"/>
              </w:rPr>
              <w:t>緩やかな成長</w:t>
            </w:r>
          </w:p>
        </w:tc>
      </w:tr>
      <w:tr>
        <w:tc>
          <w:tcPr>
            <w:tcW w:type="dxa" w:w="2351"/>
            <w:shd w:val="clear" w:color="auto" w:fill="DDEBF7"/>
          </w:tcPr>
          <w:p>
            <w:r>
              <w:rPr>
                <w:rFonts w:ascii="Meiryo UI" w:hAnsi="Meiryo UI"/>
                <w:sz w:val="18"/>
              </w:rPr>
              <w:t>売上総利益率</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横ばい</w:t>
            </w:r>
          </w:p>
        </w:tc>
      </w:tr>
      <w:tr>
        <w:tc>
          <w:tcPr>
            <w:tcW w:type="dxa" w:w="2351"/>
          </w:tcPr>
          <w:p>
            <w:r>
              <w:rPr>
                <w:rFonts w:ascii="Meiryo UI" w:hAnsi="Meiryo UI"/>
                <w:sz w:val="18"/>
              </w:rPr>
              <w:t>営業利益</w:t>
            </w:r>
          </w:p>
        </w:tc>
        <w:tc>
          <w:tcPr>
            <w:tcW w:type="dxa" w:w="2351"/>
          </w:tcPr>
          <w:p>
            <w:r>
              <w:rPr>
                <w:rFonts w:ascii="Meiryo UI" w:hAnsi="Meiryo UI"/>
                <w:sz w:val="18"/>
              </w:rPr>
              <w:t>約1〜3億円</w:t>
            </w:r>
          </w:p>
        </w:tc>
        <w:tc>
          <w:tcPr>
            <w:tcW w:type="dxa" w:w="2351"/>
          </w:tcPr>
          <w:p>
            <w:r>
              <w:rPr>
                <w:rFonts w:ascii="Meiryo UI" w:hAnsi="Meiryo UI"/>
                <w:sz w:val="18"/>
              </w:rPr>
              <w:t>約1〜3億円</w:t>
            </w:r>
          </w:p>
        </w:tc>
        <w:tc>
          <w:tcPr>
            <w:tcW w:type="dxa" w:w="2351"/>
          </w:tcPr>
          <w:p>
            <w:r>
              <w:rPr>
                <w:rFonts w:ascii="Meiryo UI" w:hAnsi="Meiryo UI"/>
                <w:sz w:val="18"/>
              </w:rPr>
              <w:t>低収益構造</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約2〜6%</w:t>
            </w:r>
          </w:p>
        </w:tc>
        <w:tc>
          <w:tcPr>
            <w:tcW w:type="dxa" w:w="2351"/>
            <w:shd w:val="clear" w:color="auto" w:fill="DDEBF7"/>
          </w:tcPr>
          <w:p>
            <w:r>
              <w:rPr>
                <w:rFonts w:ascii="Meiryo UI" w:hAnsi="Meiryo UI"/>
                <w:sz w:val="18"/>
              </w:rPr>
              <w:t>約2〜6%</w:t>
            </w:r>
          </w:p>
        </w:tc>
        <w:tc>
          <w:tcPr>
            <w:tcW w:type="dxa" w:w="2351"/>
            <w:shd w:val="clear" w:color="auto" w:fill="DDEBF7"/>
          </w:tcPr>
          <w:p>
            <w:r>
              <w:rPr>
                <w:rFonts w:ascii="Meiryo UI" w:hAnsi="Meiryo UI"/>
                <w:sz w:val="18"/>
              </w:rPr>
              <w:t>改善余地あり</w:t>
            </w:r>
          </w:p>
        </w:tc>
      </w:tr>
      <w:tr>
        <w:tc>
          <w:tcPr>
            <w:tcW w:type="dxa" w:w="2351"/>
          </w:tcPr>
          <w:p>
            <w:r>
              <w:rPr>
                <w:rFonts w:ascii="Meiryo UI" w:hAnsi="Meiryo UI"/>
                <w:sz w:val="18"/>
              </w:rPr>
              <w:t>当期純利益</w:t>
            </w:r>
          </w:p>
        </w:tc>
        <w:tc>
          <w:tcPr>
            <w:tcW w:type="dxa" w:w="2351"/>
          </w:tcPr>
          <w:p>
            <w:r>
              <w:rPr>
                <w:rFonts w:ascii="Meiryo UI" w:hAnsi="Meiryo UI"/>
                <w:sz w:val="18"/>
              </w:rPr>
              <w:t>約0.5〜2億円</w:t>
            </w:r>
          </w:p>
        </w:tc>
        <w:tc>
          <w:tcPr>
            <w:tcW w:type="dxa" w:w="2351"/>
          </w:tcPr>
          <w:p>
            <w:r>
              <w:rPr>
                <w:rFonts w:ascii="Meiryo UI" w:hAnsi="Meiryo UI"/>
                <w:sz w:val="18"/>
              </w:rPr>
              <w:t>約0.5〜2億円</w:t>
            </w:r>
          </w:p>
        </w:tc>
        <w:tc>
          <w:tcPr>
            <w:tcW w:type="dxa" w:w="2351"/>
          </w:tcPr>
          <w:p>
            <w:r>
              <w:rPr>
                <w:rFonts w:ascii="Meiryo UI" w:hAnsi="Meiryo UI"/>
                <w:sz w:val="18"/>
              </w:rPr>
              <w:t>不安定</w:t>
            </w:r>
          </w:p>
        </w:tc>
      </w:tr>
      <w:tr>
        <w:tc>
          <w:tcPr>
            <w:tcW w:type="dxa" w:w="2351"/>
            <w:shd w:val="clear" w:color="auto" w:fill="DDEBF7"/>
          </w:tcPr>
          <w:p>
            <w:r>
              <w:rPr>
                <w:rFonts w:ascii="Meiryo UI" w:hAnsi="Meiryo UI"/>
                <w:sz w:val="18"/>
              </w:rPr>
              <w:t>FCF（フリーCF）</w:t>
            </w:r>
          </w:p>
        </w:tc>
        <w:tc>
          <w:tcPr>
            <w:tcW w:type="dxa" w:w="2351"/>
            <w:shd w:val="clear" w:color="auto" w:fill="DDEBF7"/>
          </w:tcPr>
          <w:p>
            <w:r>
              <w:rPr>
                <w:rFonts w:ascii="Meiryo UI" w:hAnsi="Meiryo UI"/>
                <w:sz w:val="18"/>
              </w:rPr>
              <w:t>推定 ▲1〜+1億円</w:t>
            </w:r>
          </w:p>
        </w:tc>
        <w:tc>
          <w:tcPr>
            <w:tcW w:type="dxa" w:w="2351"/>
            <w:shd w:val="clear" w:color="auto" w:fill="DDEBF7"/>
          </w:tcPr>
          <w:p>
            <w:r>
              <w:rPr>
                <w:rFonts w:ascii="Meiryo UI" w:hAnsi="Meiryo UI"/>
                <w:sz w:val="18"/>
              </w:rPr>
              <w:t>推定 ▲1〜+1億円</w:t>
            </w:r>
          </w:p>
        </w:tc>
        <w:tc>
          <w:tcPr>
            <w:tcW w:type="dxa" w:w="2351"/>
            <w:shd w:val="clear" w:color="auto" w:fill="DDEBF7"/>
          </w:tcPr>
          <w:p>
            <w:r>
              <w:rPr>
                <w:rFonts w:ascii="Meiryo UI" w:hAnsi="Meiryo UI"/>
                <w:sz w:val="18"/>
              </w:rPr>
              <w:t>ほぼゼロ〜マイナス</w:t>
            </w:r>
          </w:p>
        </w:tc>
      </w:tr>
      <w:tr>
        <w:tc>
          <w:tcPr>
            <w:tcW w:type="dxa" w:w="2351"/>
          </w:tcPr>
          <w:p>
            <w:r>
              <w:rPr>
                <w:rFonts w:ascii="Meiryo UI" w:hAnsi="Meiryo UI"/>
                <w:sz w:val="18"/>
              </w:rPr>
              <w:t>FCFマージン</w:t>
            </w:r>
          </w:p>
        </w:tc>
        <w:tc>
          <w:tcPr>
            <w:tcW w:type="dxa" w:w="2351"/>
          </w:tcPr>
          <w:p>
            <w:r>
              <w:rPr>
                <w:rFonts w:ascii="Meiryo UI" w:hAnsi="Meiryo UI"/>
                <w:sz w:val="18"/>
              </w:rPr>
              <w:t>約▲2〜+2%</w:t>
            </w:r>
          </w:p>
        </w:tc>
        <w:tc>
          <w:tcPr>
            <w:tcW w:type="dxa" w:w="2351"/>
          </w:tcPr>
          <w:p>
            <w:r>
              <w:rPr>
                <w:rFonts w:ascii="Meiryo UI" w:hAnsi="Meiryo UI"/>
                <w:sz w:val="18"/>
              </w:rPr>
              <w:t>約▲2〜+2%</w:t>
            </w:r>
          </w:p>
        </w:tc>
        <w:tc>
          <w:tcPr>
            <w:tcW w:type="dxa" w:w="2351"/>
          </w:tcPr>
          <w:p>
            <w:r>
              <w:rPr>
                <w:rFonts w:ascii="Meiryo UI" w:hAnsi="Meiryo UI"/>
                <w:sz w:val="18"/>
              </w:rPr>
              <w:t>低水準</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約50〜60%</w:t>
            </w:r>
          </w:p>
        </w:tc>
        <w:tc>
          <w:tcPr>
            <w:tcW w:type="dxa" w:w="2351"/>
            <w:shd w:val="clear" w:color="auto" w:fill="DDEBF7"/>
          </w:tcPr>
          <w:p>
            <w:r>
              <w:rPr>
                <w:rFonts w:ascii="Meiryo UI" w:hAnsi="Meiryo UI"/>
                <w:sz w:val="18"/>
              </w:rPr>
              <w:t>約50〜60%</w:t>
            </w:r>
          </w:p>
        </w:tc>
        <w:tc>
          <w:tcPr>
            <w:tcW w:type="dxa" w:w="2351"/>
            <w:shd w:val="clear" w:color="auto" w:fill="DDEBF7"/>
          </w:tcPr>
          <w:p>
            <w:r>
              <w:rPr>
                <w:rFonts w:ascii="Meiryo UI" w:hAnsi="Meiryo UI"/>
                <w:sz w:val="18"/>
              </w:rPr>
              <w:t>健全（但し修正前）</w:t>
            </w:r>
          </w:p>
        </w:tc>
      </w:tr>
    </w:tbl>
    <w:p/>
    <w:p>
      <w:pPr>
        <w:pStyle w:val="Heading3"/>
      </w:pPr>
      <w:r>
        <w:rPr>
          <w:rFonts w:ascii="Meiryo UI" w:hAnsi="Meiryo UI"/>
          <w:color w:val="2E74B5"/>
        </w:rPr>
        <w:t>3-2. ARR / NRR（SaaS・ストック型収益）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ARR（年次経常収益）</w:t>
            </w:r>
          </w:p>
        </w:tc>
        <w:tc>
          <w:tcPr>
            <w:tcW w:type="dxa" w:w="4703"/>
          </w:tcPr>
          <w:p>
            <w:r>
              <w:rPr>
                <w:rFonts w:ascii="Meiryo UI" w:hAnsi="Meiryo UI"/>
                <w:sz w:val="18"/>
              </w:rPr>
              <w:t>明示的な開示なし。測量ソリューション保守・GISライセンス等でストック型収益は一定程度存在すると推定</w:t>
            </w:r>
          </w:p>
        </w:tc>
      </w:tr>
      <w:tr>
        <w:tc>
          <w:tcPr>
            <w:tcW w:type="dxa" w:w="4703"/>
            <w:shd w:val="clear" w:color="auto" w:fill="DDEBF7"/>
          </w:tcPr>
          <w:p>
            <w:r>
              <w:rPr>
                <w:rFonts w:ascii="Meiryo UI" w:hAnsi="Meiryo UI"/>
                <w:sz w:val="18"/>
              </w:rPr>
              <w:t>NRR（ネット収益継続率）</w:t>
            </w:r>
          </w:p>
        </w:tc>
        <w:tc>
          <w:tcPr>
            <w:tcW w:type="dxa" w:w="4703"/>
            <w:shd w:val="clear" w:color="auto" w:fill="DDEBF7"/>
          </w:tcPr>
          <w:p>
            <w:r>
              <w:rPr>
                <w:rFonts w:ascii="Meiryo UI" w:hAnsi="Meiryo UI"/>
                <w:sz w:val="18"/>
              </w:rPr>
              <w:t>非開示。自治体顧客は継続率高いと推定（90〜100%程度）</w:t>
            </w:r>
          </w:p>
        </w:tc>
      </w:tr>
      <w:tr>
        <w:tc>
          <w:tcPr>
            <w:tcW w:type="dxa" w:w="4703"/>
          </w:tcPr>
          <w:p>
            <w:r>
              <w:rPr>
                <w:rFonts w:ascii="Meiryo UI" w:hAnsi="Meiryo UI"/>
                <w:sz w:val="18"/>
              </w:rPr>
              <w:t>ストック/フロー比率</w:t>
            </w:r>
          </w:p>
        </w:tc>
        <w:tc>
          <w:tcPr>
            <w:tcW w:type="dxa" w:w="4703"/>
          </w:tcPr>
          <w:p>
            <w:r>
              <w:rPr>
                <w:rFonts w:ascii="Meiryo UI" w:hAnsi="Meiryo UI"/>
                <w:sz w:val="18"/>
              </w:rPr>
              <w:t>推定30〜40%ストック、残はプロジェクト型フロー収益</w:t>
            </w:r>
          </w:p>
        </w:tc>
      </w:tr>
    </w:tbl>
    <w:p/>
    <w:p>
      <w:pPr>
        <w:pStyle w:val="Heading3"/>
      </w:pPr>
      <w:r>
        <w:rPr>
          <w:rFonts w:ascii="Meiryo UI" w:hAnsi="Meiryo UI"/>
          <w:color w:val="2E74B5"/>
        </w:rPr>
        <w:t>3-3. 財務上の主要リスク（不正関連）</w:t>
      </w:r>
    </w:p>
    <w:p/>
    <w:p>
      <w:pPr>
        <w:shd w:val="clear" w:color="auto" w:fill="F2F2F2"/>
      </w:pPr>
      <w:r>
        <w:rPr>
          <w:rFonts w:ascii="Courier New" w:hAnsi="Courier New"/>
          <w:sz w:val="16"/>
        </w:rPr>
        <w:t>【不適切取引疑いによる潜在的財務インパクト】</w:t>
        <w:br/>
        <w:br/>
        <w:t>① 損失の直接計上リスク</w:t>
        <w:br/>
        <w:t xml:space="preserve">   → 過年度損益の修正・特別損失の計上</w:t>
        <w:br/>
        <w:t xml:space="preserve">   → 規模は現時点で未確定（数億〜数十億円のレンジ想定）</w:t>
        <w:br/>
        <w:br/>
        <w:t>② 信用毀損リスク</w:t>
        <w:br/>
        <w:t xml:space="preserve">   → 顧客（主に自治体）からの受注停止・入札資格停止</w:t>
        <w:br/>
        <w:t xml:space="preserve">   → 銀行借入条件の変更</w:t>
        <w:br/>
        <w:br/>
        <w:t>③ 課徴金・法的制裁リスク</w:t>
        <w:br/>
        <w:t xml:space="preserve">   → 規模次第で業績を大きく左右</w:t>
        <w:br/>
        <w:br/>
        <w:t>④ のれん・資産計上の見直しリスク</w:t>
        <w:br/>
        <w:t xml:space="preserve">   → 連結子会社の資産価値棄損</w:t>
        <w:br/>
        <w:br/>
        <w:t>⑤ 監査意見リスク</w:t>
        <w:br/>
        <w:t xml:space="preserve">   → 限定意見・不適正意見の可能性（上場廃止検討事由）</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1.5%</w:t>
            </w:r>
          </w:p>
        </w:tc>
        <w:tc>
          <w:tcPr>
            <w:tcW w:type="dxa" w:w="3135"/>
          </w:tcPr>
          <w:p>
            <w:r>
              <w:rPr>
                <w:rFonts w:ascii="Meiryo UI" w:hAnsi="Meiryo UI"/>
                <w:sz w:val="18"/>
              </w:rPr>
              <w:t>JGB10年利回り（現在水準、指定値）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日本株市場ERP標準レンジ5.5〜7.0%の中央値。ただし不正リスク発覚により+1.0%加算</w:t>
            </w:r>
          </w:p>
        </w:tc>
      </w:tr>
      <w:tr>
        <w:tc>
          <w:tcPr>
            <w:tcW w:type="dxa" w:w="3135"/>
          </w:tcPr>
          <w:p>
            <w:r>
              <w:rPr>
                <w:rFonts w:ascii="Meiryo UI" w:hAnsi="Meiryo UI"/>
                <w:sz w:val="18"/>
              </w:rPr>
              <w:t>β（ベータ）</w:t>
            </w:r>
          </w:p>
        </w:tc>
        <w:tc>
          <w:tcPr>
            <w:tcW w:type="dxa" w:w="3135"/>
          </w:tcPr>
          <w:p>
            <w:r>
              <w:rPr>
                <w:rFonts w:ascii="Meiryo UI" w:hAnsi="Meiryo UI"/>
                <w:sz w:val="18"/>
              </w:rPr>
              <w:t>1.6</w:t>
            </w:r>
          </w:p>
        </w:tc>
        <w:tc>
          <w:tcPr>
            <w:tcW w:type="dxa" w:w="3135"/>
          </w:tcPr>
          <w:p>
            <w:r>
              <w:rPr>
                <w:rFonts w:ascii="Meiryo UI" w:hAnsi="Meiryo UI"/>
                <w:sz w:val="18"/>
              </w:rPr>
              <w:t>小型テック×不正疑惑プレミアム。通常ベース1.2〜1.4に不正ディスカウント+0.2〜0.4</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Rf 1.5% + β1.6 × ERP 6.5% = 1.5% + 10.4% ≈ 12.0%</w:t>
            </w:r>
          </w:p>
        </w:tc>
      </w:tr>
      <w:tr>
        <w:tc>
          <w:tcPr>
            <w:tcW w:type="dxa" w:w="3135"/>
          </w:tcPr>
          <w:p>
            <w:r>
              <w:rPr>
                <w:rFonts w:ascii="Meiryo UI" w:hAnsi="Meiryo UI"/>
                <w:sz w:val="18"/>
              </w:rPr>
              <w:t>ターミナル成長率（g）</w:t>
            </w:r>
          </w:p>
        </w:tc>
        <w:tc>
          <w:tcPr>
            <w:tcW w:type="dxa" w:w="3135"/>
          </w:tcPr>
          <w:p>
            <w:r>
              <w:rPr>
                <w:rFonts w:ascii="Meiryo UI" w:hAnsi="Meiryo UI"/>
                <w:sz w:val="18"/>
              </w:rPr>
              <w:t>1.0%</w:t>
            </w:r>
          </w:p>
        </w:tc>
        <w:tc>
          <w:tcPr>
            <w:tcW w:type="dxa" w:w="3135"/>
          </w:tcPr>
          <w:p>
            <w:r>
              <w:rPr>
                <w:rFonts w:ascii="Meiryo UI" w:hAnsi="Meiryo UI"/>
                <w:sz w:val="18"/>
              </w:rPr>
              <w:t>名目GDP成長率（約1.0〜1.5%）の低位値。不正発覚後の成長鈍化織り込み</w:t>
            </w:r>
          </w:p>
        </w:tc>
      </w:tr>
      <w:tr>
        <w:tc>
          <w:tcPr>
            <w:tcW w:type="dxa" w:w="3135"/>
            <w:shd w:val="clear" w:color="auto" w:fill="DDEBF7"/>
          </w:tcPr>
          <w:p>
            <w:r>
              <w:rPr>
                <w:rFonts w:ascii="Meiryo UI" w:hAnsi="Meiryo UI"/>
                <w:sz w:val="18"/>
              </w:rPr>
              <w:t>割引期間</w:t>
            </w:r>
          </w:p>
        </w:tc>
        <w:tc>
          <w:tcPr>
            <w:tcW w:type="dxa" w:w="3135"/>
            <w:shd w:val="clear" w:color="auto" w:fill="DDEBF7"/>
          </w:tcPr>
          <w:p>
            <w:r>
              <w:rPr>
                <w:rFonts w:ascii="Meiryo UI" w:hAnsi="Meiryo UI"/>
                <w:sz w:val="18"/>
              </w:rPr>
              <w:t>5年間（FY2025〜FY2029）</w:t>
            </w:r>
          </w:p>
        </w:tc>
        <w:tc>
          <w:tcPr>
            <w:tcW w:type="dxa" w:w="3135"/>
            <w:shd w:val="clear" w:color="auto" w:fill="DDEBF7"/>
          </w:tcPr>
          <w:p>
            <w:r>
              <w:rPr>
                <w:rFonts w:ascii="Meiryo UI" w:hAnsi="Meiryo UI"/>
                <w:sz w:val="18"/>
              </w:rPr>
              <w:t>—</w:t>
            </w:r>
          </w:p>
        </w:tc>
      </w:tr>
    </w:tbl>
    <w:p/>
    <w:p>
      <w:r>
        <w:rPr>
          <w:rFonts w:ascii="Meiryo UI" w:hAnsi="Meiryo UI"/>
          <w:sz w:val="20"/>
        </w:rPr>
        <w:t>&gt; WACC算出式：</w:t>
      </w:r>
    </w:p>
    <w:p>
      <w:r>
        <w:rPr>
          <w:rFonts w:ascii="Meiryo UI" w:hAnsi="Meiryo UI"/>
          <w:sz w:val="20"/>
        </w:rPr>
        <w:t>&gt; `</w:t>
      </w:r>
    </w:p>
    <w:p>
      <w:r>
        <w:rPr>
          <w:rFonts w:ascii="Meiryo UI" w:hAnsi="Meiryo UI"/>
          <w:sz w:val="20"/>
        </w:rPr>
        <w:t>&gt; WACC = Rf + β × ERP</w:t>
      </w:r>
    </w:p>
    <w:p>
      <w:r>
        <w:rPr>
          <w:rFonts w:ascii="Meiryo UI" w:hAnsi="Meiryo UI"/>
          <w:sz w:val="20"/>
        </w:rPr>
        <w:t>&gt;      = 1.5% + 1.6 × 6.5%</w:t>
      </w:r>
    </w:p>
    <w:p>
      <w:r>
        <w:rPr>
          <w:rFonts w:ascii="Meiryo UI" w:hAnsi="Meiryo UI"/>
          <w:sz w:val="20"/>
        </w:rPr>
        <w:t>&gt;      = 1.5% + 10.4%</w:t>
      </w:r>
    </w:p>
    <w:p>
      <w:r>
        <w:rPr>
          <w:rFonts w:ascii="Meiryo UI" w:hAnsi="Meiryo UI"/>
          <w:sz w:val="20"/>
        </w:rPr>
        <w:t>&gt;      = 11.9% ≈ 12.0%（端数調整）</w:t>
      </w:r>
    </w:p>
    <w:p>
      <w:r>
        <w:rPr>
          <w:rFonts w:ascii="Meiryo UI" w:hAnsi="Meiryo UI"/>
          <w:sz w:val="20"/>
        </w:rPr>
        <w:t>&gt; `</w:t>
      </w:r>
    </w:p>
    <w:p>
      <w:r>
        <w:rPr>
          <w:rFonts w:ascii="Meiryo UI" w:hAnsi="Meiryo UI"/>
          <w:sz w:val="20"/>
        </w:rPr>
        <w:t>&gt; ※ 負債コストは自己資本比率60%超のため影響軽微。簡便上、株主資本コスト≒WACCとして処理。</w:t>
      </w:r>
    </w:p>
    <w:p/>
    <w:p>
      <w:pPr>
        <w:pStyle w:val="Heading3"/>
      </w:pPr>
      <w:r>
        <w:rPr>
          <w:rFonts w:ascii="Meiryo UI" w:hAnsi="Meiryo UI"/>
          <w:color w:val="2E74B5"/>
        </w:rPr>
        <w:t>4-2. シナリオ別FCF予測（3ケース）</w:t>
      </w:r>
    </w:p>
    <w:p/>
    <w:p>
      <w:pPr>
        <w:pStyle w:val="Heading4"/>
      </w:pPr>
      <w:r>
        <w:rPr>
          <w:rFonts w:ascii="Meiryo UI" w:hAnsi="Meiryo UI"/>
          <w:color w:val="2E74B5"/>
        </w:rPr>
        <w:t>【基本シナリオ（Base Case）】</w:t>
      </w:r>
    </w:p>
    <w:p>
      <w:r>
        <w:rPr>
          <w:rFonts w:ascii="Meiryo UI" w:hAnsi="Meiryo UI"/>
          <w:sz w:val="20"/>
        </w:rPr>
        <w:t>&gt; 不正損失：3〜5億円規模、事業継続可能</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NOPAT</w:t>
            </w:r>
          </w:p>
        </w:tc>
        <w:tc>
          <w:tcPr>
            <w:tcW w:type="dxa" w:w="1176"/>
            <w:shd w:val="clear" w:color="auto" w:fill="2E74B5"/>
          </w:tcPr>
          <w:p>
            <w:r>
              <w:rPr>
                <w:rFonts w:ascii="Meiryo UI" w:hAnsi="Meiryo UI"/>
                <w:b/>
                <w:color w:val="FFFFFF"/>
                <w:sz w:val="18"/>
              </w:rPr>
              <w:t>D&amp;A</w:t>
            </w:r>
          </w:p>
        </w:tc>
        <w:tc>
          <w:tcPr>
            <w:tcW w:type="dxa" w:w="1176"/>
            <w:shd w:val="clear" w:color="auto" w:fill="2E74B5"/>
          </w:tcPr>
          <w:p>
            <w:r>
              <w:rPr>
                <w:rFonts w:ascii="Meiryo UI" w:hAnsi="Meiryo UI"/>
                <w:b/>
                <w:color w:val="FFFFFF"/>
                <w:sz w:val="18"/>
              </w:rPr>
              <w:t>CAPEX</w:t>
            </w:r>
          </w:p>
        </w:tc>
        <w:tc>
          <w:tcPr>
            <w:tcW w:type="dxa" w:w="1176"/>
            <w:shd w:val="clear" w:color="auto" w:fill="2E74B5"/>
          </w:tcPr>
          <w:p>
            <w:r>
              <w:rPr>
                <w:rFonts w:ascii="Meiryo UI" w:hAnsi="Meiryo UI"/>
                <w:b/>
                <w:color w:val="FFFFFF"/>
                <w:sz w:val="18"/>
              </w:rPr>
              <w:t>ΔWCAP</w:t>
            </w:r>
          </w:p>
        </w:tc>
        <w:tc>
          <w:tcPr>
            <w:tcW w:type="dxa" w:w="1176"/>
            <w:shd w:val="clear" w:color="auto" w:fill="2E74B5"/>
          </w:tcPr>
          <w:p>
            <w:r>
              <w:rPr>
                <w:rFonts w:ascii="Meiryo UI" w:hAnsi="Meiryo UI"/>
                <w:b/>
                <w:color w:val="FFFFFF"/>
                <w:sz w:val="18"/>
              </w:rPr>
              <w:t>FCF（億円）</w:t>
            </w:r>
          </w:p>
        </w:tc>
      </w:tr>
      <w:tr>
        <w:tc>
          <w:tcPr>
            <w:tcW w:type="dxa" w:w="1176"/>
          </w:tcPr>
          <w:p>
            <w:r>
              <w:rPr>
                <w:rFonts w:ascii="Meiryo UI" w:hAnsi="Meiryo UI"/>
                <w:sz w:val="18"/>
              </w:rPr>
              <w:t>FY2025E</w:t>
            </w:r>
          </w:p>
        </w:tc>
        <w:tc>
          <w:tcPr>
            <w:tcW w:type="dxa" w:w="1176"/>
          </w:tcPr>
          <w:p>
            <w:r>
              <w:rPr>
                <w:rFonts w:ascii="Meiryo UI" w:hAnsi="Meiryo UI"/>
                <w:sz w:val="18"/>
              </w:rPr>
              <w:t>48</w:t>
            </w:r>
          </w:p>
        </w:tc>
        <w:tc>
          <w:tcPr>
            <w:tcW w:type="dxa" w:w="1176"/>
          </w:tcPr>
          <w:p>
            <w:r>
              <w:rPr>
                <w:rFonts w:ascii="Meiryo UI" w:hAnsi="Meiryo UI"/>
                <w:sz w:val="18"/>
              </w:rPr>
              <w:t>2.0%</w:t>
            </w:r>
          </w:p>
        </w:tc>
        <w:tc>
          <w:tcPr>
            <w:tcW w:type="dxa" w:w="1176"/>
          </w:tcPr>
          <w:p>
            <w:r>
              <w:rPr>
                <w:rFonts w:ascii="Meiryo UI" w:hAnsi="Meiryo UI"/>
                <w:sz w:val="18"/>
              </w:rPr>
              <w:t>0.7</w:t>
            </w:r>
          </w:p>
        </w:tc>
        <w:tc>
          <w:tcPr>
            <w:tcW w:type="dxa" w:w="1176"/>
          </w:tcPr>
          <w:p>
            <w:r>
              <w:rPr>
                <w:rFonts w:ascii="Meiryo UI" w:hAnsi="Meiryo UI"/>
                <w:sz w:val="18"/>
              </w:rPr>
              <w:t>1.5</w:t>
            </w:r>
          </w:p>
        </w:tc>
        <w:tc>
          <w:tcPr>
            <w:tcW w:type="dxa" w:w="1176"/>
          </w:tcPr>
          <w:p>
            <w:r>
              <w:rPr>
                <w:rFonts w:ascii="Meiryo UI" w:hAnsi="Meiryo UI"/>
                <w:sz w:val="18"/>
              </w:rPr>
              <w:t>▲2.0</w:t>
            </w:r>
          </w:p>
        </w:tc>
        <w:tc>
          <w:tcPr>
            <w:tcW w:type="dxa" w:w="1176"/>
          </w:tcPr>
          <w:p>
            <w:r>
              <w:rPr>
                <w:rFonts w:ascii="Meiryo UI" w:hAnsi="Meiryo UI"/>
                <w:sz w:val="18"/>
              </w:rPr>
              <w:t>▲0.5</w:t>
            </w:r>
          </w:p>
        </w:tc>
        <w:tc>
          <w:tcPr>
            <w:tcW w:type="dxa" w:w="1176"/>
          </w:tcPr>
          <w:p>
            <w:r>
              <w:rPr>
                <w:rFonts w:ascii="Meiryo UI" w:hAnsi="Meiryo UI"/>
                <w:sz w:val="18"/>
              </w:rPr>
              <w:t>▲0.3</w:t>
            </w:r>
          </w:p>
        </w:tc>
      </w:tr>
      <w:tr>
        <w:tc>
          <w:tcPr>
            <w:tcW w:type="dxa" w:w="1176"/>
            <w:shd w:val="clear" w:color="auto" w:fill="DDEBF7"/>
          </w:tcPr>
          <w:p>
            <w:r>
              <w:rPr>
                <w:rFonts w:ascii="Meiryo UI" w:hAnsi="Meiryo UI"/>
                <w:sz w:val="18"/>
              </w:rPr>
              <w:t>FY2026E</w:t>
            </w:r>
          </w:p>
        </w:tc>
        <w:tc>
          <w:tcPr>
            <w:tcW w:type="dxa" w:w="1176"/>
            <w:shd w:val="clear" w:color="auto" w:fill="DDEBF7"/>
          </w:tcPr>
          <w:p>
            <w:r>
              <w:rPr>
                <w:rFonts w:ascii="Meiryo UI" w:hAnsi="Meiryo UI"/>
                <w:sz w:val="18"/>
              </w:rPr>
              <w:t>50</w:t>
            </w:r>
          </w:p>
        </w:tc>
        <w:tc>
          <w:tcPr>
            <w:tcW w:type="dxa" w:w="1176"/>
            <w:shd w:val="clear" w:color="auto" w:fill="DDEBF7"/>
          </w:tcPr>
          <w:p>
            <w:r>
              <w:rPr>
                <w:rFonts w:ascii="Meiryo UI" w:hAnsi="Meiryo UI"/>
                <w:sz w:val="18"/>
              </w:rPr>
              <w:t>3.0%</w:t>
            </w:r>
          </w:p>
        </w:tc>
        <w:tc>
          <w:tcPr>
            <w:tcW w:type="dxa" w:w="1176"/>
            <w:shd w:val="clear" w:color="auto" w:fill="DDEBF7"/>
          </w:tcPr>
          <w:p>
            <w:r>
              <w:rPr>
                <w:rFonts w:ascii="Meiryo UI" w:hAnsi="Meiryo UI"/>
                <w:sz w:val="18"/>
              </w:rPr>
              <w:t>1.1</w:t>
            </w:r>
          </w:p>
        </w:tc>
        <w:tc>
          <w:tcPr>
            <w:tcW w:type="dxa" w:w="1176"/>
            <w:shd w:val="clear" w:color="auto" w:fill="DDEBF7"/>
          </w:tcPr>
          <w:p>
            <w:r>
              <w:rPr>
                <w:rFonts w:ascii="Meiryo UI" w:hAnsi="Meiryo UI"/>
                <w:sz w:val="18"/>
              </w:rPr>
              <w:t>1.5</w:t>
            </w:r>
          </w:p>
        </w:tc>
        <w:tc>
          <w:tcPr>
            <w:tcW w:type="dxa" w:w="1176"/>
            <w:shd w:val="clear" w:color="auto" w:fill="DDEBF7"/>
          </w:tcPr>
          <w:p>
            <w:r>
              <w:rPr>
                <w:rFonts w:ascii="Meiryo UI" w:hAnsi="Meiryo UI"/>
                <w:sz w:val="18"/>
              </w:rPr>
              <w:t>▲2.0</w:t>
            </w:r>
          </w:p>
        </w:tc>
        <w:tc>
          <w:tcPr>
            <w:tcW w:type="dxa" w:w="1176"/>
            <w:shd w:val="clear" w:color="auto" w:fill="DDEBF7"/>
          </w:tcPr>
          <w:p>
            <w:r>
              <w:rPr>
                <w:rFonts w:ascii="Meiryo UI" w:hAnsi="Meiryo UI"/>
                <w:sz w:val="18"/>
              </w:rPr>
              <w:t>▲0.3</w:t>
            </w:r>
          </w:p>
        </w:tc>
        <w:tc>
          <w:tcPr>
            <w:tcW w:type="dxa" w:w="1176"/>
            <w:shd w:val="clear" w:color="auto" w:fill="DDEBF7"/>
          </w:tcPr>
          <w:p>
            <w:r>
              <w:rPr>
                <w:rFonts w:ascii="Meiryo UI" w:hAnsi="Meiryo UI"/>
                <w:sz w:val="18"/>
              </w:rPr>
              <w:t>0.3</w:t>
            </w:r>
          </w:p>
        </w:tc>
      </w:tr>
      <w:tr>
        <w:tc>
          <w:tcPr>
            <w:tcW w:type="dxa" w:w="1176"/>
          </w:tcPr>
          <w:p>
            <w:r>
              <w:rPr>
                <w:rFonts w:ascii="Meiryo UI" w:hAnsi="Meiryo UI"/>
                <w:sz w:val="18"/>
              </w:rPr>
              <w:t>FY2027E</w:t>
            </w:r>
          </w:p>
        </w:tc>
        <w:tc>
          <w:tcPr>
            <w:tcW w:type="dxa" w:w="1176"/>
          </w:tcPr>
          <w:p>
            <w:r>
              <w:rPr>
                <w:rFonts w:ascii="Meiryo UI" w:hAnsi="Meiryo UI"/>
                <w:sz w:val="18"/>
              </w:rPr>
              <w:t>53</w:t>
            </w:r>
          </w:p>
        </w:tc>
        <w:tc>
          <w:tcPr>
            <w:tcW w:type="dxa" w:w="1176"/>
          </w:tcPr>
          <w:p>
            <w:r>
              <w:rPr>
                <w:rFonts w:ascii="Meiryo UI" w:hAnsi="Meiryo UI"/>
                <w:sz w:val="18"/>
              </w:rPr>
              <w:t>4.0%</w:t>
            </w:r>
          </w:p>
        </w:tc>
        <w:tc>
          <w:tcPr>
            <w:tcW w:type="dxa" w:w="1176"/>
          </w:tcPr>
          <w:p>
            <w:r>
              <w:rPr>
                <w:rFonts w:ascii="Meiryo UI" w:hAnsi="Meiryo UI"/>
                <w:sz w:val="18"/>
              </w:rPr>
              <w:t>1.5</w:t>
            </w:r>
          </w:p>
        </w:tc>
        <w:tc>
          <w:tcPr>
            <w:tcW w:type="dxa" w:w="1176"/>
          </w:tcPr>
          <w:p>
            <w:r>
              <w:rPr>
                <w:rFonts w:ascii="Meiryo UI" w:hAnsi="Meiryo UI"/>
                <w:sz w:val="18"/>
              </w:rPr>
              <w:t>1.6</w:t>
            </w:r>
          </w:p>
        </w:tc>
        <w:tc>
          <w:tcPr>
            <w:tcW w:type="dxa" w:w="1176"/>
          </w:tcPr>
          <w:p>
            <w:r>
              <w:rPr>
                <w:rFonts w:ascii="Meiryo UI" w:hAnsi="Meiryo UI"/>
                <w:sz w:val="18"/>
              </w:rPr>
              <w:t>▲2.0</w:t>
            </w:r>
          </w:p>
        </w:tc>
        <w:tc>
          <w:tcPr>
            <w:tcW w:type="dxa" w:w="1176"/>
          </w:tcPr>
          <w:p>
            <w:r>
              <w:rPr>
                <w:rFonts w:ascii="Meiryo UI" w:hAnsi="Meiryo UI"/>
                <w:sz w:val="18"/>
              </w:rPr>
              <w:t>▲0.2</w:t>
            </w:r>
          </w:p>
        </w:tc>
        <w:tc>
          <w:tcPr>
            <w:tcW w:type="dxa" w:w="1176"/>
          </w:tcPr>
          <w:p>
            <w:r>
              <w:rPr>
                <w:rFonts w:ascii="Meiryo UI" w:hAnsi="Meiryo UI"/>
                <w:sz w:val="18"/>
              </w:rPr>
              <w:t>0.9</w:t>
            </w:r>
          </w:p>
        </w:tc>
      </w:tr>
      <w:tr>
        <w:tc>
          <w:tcPr>
            <w:tcW w:type="dxa" w:w="1176"/>
            <w:shd w:val="clear" w:color="auto" w:fill="DDEBF7"/>
          </w:tcPr>
          <w:p>
            <w:r>
              <w:rPr>
                <w:rFonts w:ascii="Meiryo UI" w:hAnsi="Meiryo UI"/>
                <w:sz w:val="18"/>
              </w:rPr>
              <w:t>FY2028E</w:t>
            </w:r>
          </w:p>
        </w:tc>
        <w:tc>
          <w:tcPr>
            <w:tcW w:type="dxa" w:w="1176"/>
            <w:shd w:val="clear" w:color="auto" w:fill="DDEBF7"/>
          </w:tcPr>
          <w:p>
            <w:r>
              <w:rPr>
                <w:rFonts w:ascii="Meiryo UI" w:hAnsi="Meiryo UI"/>
                <w:sz w:val="18"/>
              </w:rPr>
              <w:t>56</w:t>
            </w:r>
          </w:p>
        </w:tc>
        <w:tc>
          <w:tcPr>
            <w:tcW w:type="dxa" w:w="1176"/>
            <w:shd w:val="clear" w:color="auto" w:fill="DDEBF7"/>
          </w:tcPr>
          <w:p>
            <w:r>
              <w:rPr>
                <w:rFonts w:ascii="Meiryo UI" w:hAnsi="Meiryo UI"/>
                <w:sz w:val="18"/>
              </w:rPr>
              <w:t>5.0%</w:t>
            </w:r>
          </w:p>
        </w:tc>
        <w:tc>
          <w:tcPr>
            <w:tcW w:type="dxa" w:w="1176"/>
            <w:shd w:val="clear" w:color="auto" w:fill="DDEBF7"/>
          </w:tcPr>
          <w:p>
            <w:r>
              <w:rPr>
                <w:rFonts w:ascii="Meiryo UI" w:hAnsi="Meiryo UI"/>
                <w:sz w:val="18"/>
              </w:rPr>
              <w:t>2.0</w:t>
            </w:r>
          </w:p>
        </w:tc>
        <w:tc>
          <w:tcPr>
            <w:tcW w:type="dxa" w:w="1176"/>
            <w:shd w:val="clear" w:color="auto" w:fill="DDEBF7"/>
          </w:tcPr>
          <w:p>
            <w:r>
              <w:rPr>
                <w:rFonts w:ascii="Meiryo UI" w:hAnsi="Meiryo UI"/>
                <w:sz w:val="18"/>
              </w:rPr>
              <w:t>1.6</w:t>
            </w:r>
          </w:p>
        </w:tc>
        <w:tc>
          <w:tcPr>
            <w:tcW w:type="dxa" w:w="1176"/>
            <w:shd w:val="clear" w:color="auto" w:fill="DDEBF7"/>
          </w:tcPr>
          <w:p>
            <w:r>
              <w:rPr>
                <w:rFonts w:ascii="Meiryo UI" w:hAnsi="Meiryo UI"/>
                <w:sz w:val="18"/>
              </w:rPr>
              <w:t>▲1.8</w:t>
            </w:r>
          </w:p>
        </w:tc>
        <w:tc>
          <w:tcPr>
            <w:tcW w:type="dxa" w:w="1176"/>
            <w:shd w:val="clear" w:color="auto" w:fill="DDEBF7"/>
          </w:tcPr>
          <w:p>
            <w:r>
              <w:rPr>
                <w:rFonts w:ascii="Meiryo UI" w:hAnsi="Meiryo UI"/>
                <w:sz w:val="18"/>
              </w:rPr>
              <w:t>▲0.2</w:t>
            </w:r>
          </w:p>
        </w:tc>
        <w:tc>
          <w:tcPr>
            <w:tcW w:type="dxa" w:w="1176"/>
            <w:shd w:val="clear" w:color="auto" w:fill="DDEBF7"/>
          </w:tcPr>
          <w:p>
            <w:r>
              <w:rPr>
                <w:rFonts w:ascii="Meiryo UI" w:hAnsi="Meiryo UI"/>
                <w:sz w:val="18"/>
              </w:rPr>
              <w:t>1.6</w:t>
            </w:r>
          </w:p>
        </w:tc>
      </w:tr>
      <w:tr>
        <w:tc>
          <w:tcPr>
            <w:tcW w:type="dxa" w:w="1176"/>
          </w:tcPr>
          <w:p>
            <w:r>
              <w:rPr>
                <w:rFonts w:ascii="Meiryo UI" w:hAnsi="Meiryo UI"/>
                <w:sz w:val="18"/>
              </w:rPr>
              <w:t>FY2029E</w:t>
            </w:r>
          </w:p>
        </w:tc>
        <w:tc>
          <w:tcPr>
            <w:tcW w:type="dxa" w:w="1176"/>
          </w:tcPr>
          <w:p>
            <w:r>
              <w:rPr>
                <w:rFonts w:ascii="Meiryo UI" w:hAnsi="Meiryo UI"/>
                <w:sz w:val="18"/>
              </w:rPr>
              <w:t>59</w:t>
            </w:r>
          </w:p>
        </w:tc>
        <w:tc>
          <w:tcPr>
            <w:tcW w:type="dxa" w:w="1176"/>
          </w:tcPr>
          <w:p>
            <w:r>
              <w:rPr>
                <w:rFonts w:ascii="Meiryo UI" w:hAnsi="Meiryo UI"/>
                <w:sz w:val="18"/>
              </w:rPr>
              <w:t>5.5%</w:t>
            </w:r>
          </w:p>
        </w:tc>
        <w:tc>
          <w:tcPr>
            <w:tcW w:type="dxa" w:w="1176"/>
          </w:tcPr>
          <w:p>
            <w:r>
              <w:rPr>
                <w:rFonts w:ascii="Meiryo UI" w:hAnsi="Meiryo UI"/>
                <w:sz w:val="18"/>
              </w:rPr>
              <w:t>2.3</w:t>
            </w:r>
          </w:p>
        </w:tc>
        <w:tc>
          <w:tcPr>
            <w:tcW w:type="dxa" w:w="1176"/>
          </w:tcPr>
          <w:p>
            <w:r>
              <w:rPr>
                <w:rFonts w:ascii="Meiryo UI" w:hAnsi="Meiryo UI"/>
                <w:sz w:val="18"/>
              </w:rPr>
              <w:t>1.7</w:t>
            </w:r>
          </w:p>
        </w:tc>
        <w:tc>
          <w:tcPr>
            <w:tcW w:type="dxa" w:w="1176"/>
          </w:tcPr>
          <w:p>
            <w:r>
              <w:rPr>
                <w:rFonts w:ascii="Meiryo UI" w:hAnsi="Meiryo UI"/>
                <w:sz w:val="18"/>
              </w:rPr>
              <w:t>▲1.8</w:t>
            </w:r>
          </w:p>
        </w:tc>
        <w:tc>
          <w:tcPr>
            <w:tcW w:type="dxa" w:w="1176"/>
          </w:tcPr>
          <w:p>
            <w:r>
              <w:rPr>
                <w:rFonts w:ascii="Meiryo UI" w:hAnsi="Meiryo UI"/>
                <w:sz w:val="18"/>
              </w:rPr>
              <w:t>▲0.2</w:t>
            </w:r>
          </w:p>
        </w:tc>
        <w:tc>
          <w:tcPr>
            <w:tcW w:type="dxa" w:w="1176"/>
          </w:tcPr>
          <w:p>
            <w:r>
              <w:rPr>
                <w:rFonts w:ascii="Meiryo UI" w:hAnsi="Meiryo UI"/>
                <w:sz w:val="18"/>
              </w:rPr>
              <w:t>2.0</w:t>
            </w:r>
          </w:p>
        </w:tc>
      </w:tr>
    </w:tbl>
    <w:p/>
    <w:p>
      <w:pPr>
        <w:shd w:val="clear" w:color="auto" w:fill="F2F2F2"/>
      </w:pPr>
      <w:r>
        <w:rPr>
          <w:rFonts w:ascii="Courier New" w:hAnsi="Courier New"/>
          <w:sz w:val="16"/>
        </w:rPr>
        <w:t>【DCF計算：基本シナリオ】</w:t>
        <w:br/>
        <w:br/>
        <w:t>割引率：12.0%　　ターミナル成長率：1.0%</w:t>
        <w:br/>
        <w:br/>
        <w:t>年度別PV：</w:t>
        <w:br/>
        <w:t>FY2025：▲0.3 ÷ 1.12^1 = ▲0.3億円</w:t>
        <w:br/>
        <w:t>FY2026：0.3 ÷ 1.12^2 =  0.2億円</w:t>
        <w:br/>
        <w:t>FY2027：0.9 ÷ 1.12^3 =  0.6億円</w:t>
        <w:br/>
        <w:t>FY2028：1.6 ÷ 1.12^4 =  1.0億円</w:t>
        <w:br/>
        <w:t>FY2029：2.0 ÷ 1.12^5 =  1.1億円</w:t>
        <w:br/>
        <w:br/>
        <w:t>PV合計（予測期間）：2.6億円</w:t>
        <w:br/>
        <w:br/>
        <w:t>ターミナルバリュー（TV）：</w:t>
        <w:br/>
        <w:t>TV = 2.0 × (1+1.0%) ÷ (12.0%−1.0%)</w:t>
        <w:br/>
        <w:t xml:space="preserve">   = 2.02 ÷ 0.11</w:t>
        <w:br/>
        <w:t xml:space="preserve">   = 18.4億円</w:t>
        <w:br/>
        <w:br/>
        <w:t>TVのPV：18.4 ÷ 1.12^5 = 10.4億円</w:t>
        <w:br/>
        <w:br/>
        <w:t>事業価値（EV）：2.6 + 10.4 = 13.0億円</w:t>
        <w:br/>
        <w:br/>
        <w:t>ネットデット調整：推定ネットキャッシュ+3〜5億円（加算）</w:t>
        <w:br/>
        <w:t>不正損失引当・リスク引当：▲5〜10億円（控除）</w:t>
        <w:br/>
        <w:br/>
        <w:t>エクイティバリュー：13.0 + 4 − 7 = 10.0億円（レンジ：5〜15億円）</w:t>
        <w:br/>
        <w:br/>
        <w:t>発行済株式数：推定 約200〜250万株</w:t>
        <w:br/>
        <w:t>→ 理論株価（基本）：400〜750円/株</w:t>
      </w:r>
    </w:p>
    <w:p/>
    <w:p>
      <w:pPr>
        <w:pStyle w:val="Heading4"/>
      </w:pPr>
      <w:r>
        <w:rPr>
          <w:rFonts w:ascii="Meiryo UI" w:hAnsi="Meiryo UI"/>
          <w:color w:val="2E74B5"/>
        </w:rPr>
        <w:t>【強気シナリオ（Bull Case）】</w:t>
      </w:r>
    </w:p>
    <w:p>
      <w:r>
        <w:rPr>
          <w:rFonts w:ascii="Meiryo UI" w:hAnsi="Meiryo UI"/>
          <w:sz w:val="20"/>
        </w:rPr>
        <w:t>&gt; 不正損失：軽微（1〜2億円）、自動運転事業が本格収益化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年度</w:t>
            </w:r>
          </w:p>
        </w:tc>
        <w:tc>
          <w:tcPr>
            <w:tcW w:type="dxa" w:w="4703"/>
            <w:shd w:val="clear" w:color="auto" w:fill="2E74B5"/>
          </w:tcPr>
          <w:p>
            <w:r>
              <w:rPr>
                <w:rFonts w:ascii="Meiryo UI" w:hAnsi="Meiryo UI"/>
                <w:b/>
                <w:color w:val="FFFFFF"/>
                <w:sz w:val="18"/>
              </w:rPr>
              <w:t>FCF（億円）</w:t>
            </w:r>
          </w:p>
        </w:tc>
      </w:tr>
      <w:tr>
        <w:tc>
          <w:tcPr>
            <w:tcW w:type="dxa" w:w="4703"/>
          </w:tcPr>
          <w:p>
            <w:r>
              <w:rPr>
                <w:rFonts w:ascii="Meiryo UI" w:hAnsi="Meiryo UI"/>
                <w:sz w:val="18"/>
              </w:rPr>
              <w:t>FY2025E</w:t>
            </w:r>
          </w:p>
        </w:tc>
        <w:tc>
          <w:tcPr>
            <w:tcW w:type="dxa" w:w="4703"/>
          </w:tcPr>
          <w:p>
            <w:r>
              <w:rPr>
                <w:rFonts w:ascii="Meiryo UI" w:hAnsi="Meiryo UI"/>
                <w:sz w:val="18"/>
              </w:rPr>
              <w:t>0.5</w:t>
            </w:r>
          </w:p>
        </w:tc>
      </w:tr>
      <w:tr>
        <w:tc>
          <w:tcPr>
            <w:tcW w:type="dxa" w:w="4703"/>
            <w:shd w:val="clear" w:color="auto" w:fill="DDEBF7"/>
          </w:tcPr>
          <w:p>
            <w:r>
              <w:rPr>
                <w:rFonts w:ascii="Meiryo UI" w:hAnsi="Meiryo UI"/>
                <w:sz w:val="18"/>
              </w:rPr>
              <w:t>FY2026E</w:t>
            </w:r>
          </w:p>
        </w:tc>
        <w:tc>
          <w:tcPr>
            <w:tcW w:type="dxa" w:w="4703"/>
            <w:shd w:val="clear" w:color="auto" w:fill="DDEBF7"/>
          </w:tcPr>
          <w:p>
            <w:r>
              <w:rPr>
                <w:rFonts w:ascii="Meiryo UI" w:hAnsi="Meiryo UI"/>
                <w:sz w:val="18"/>
              </w:rPr>
              <w:t>1.2</w:t>
            </w:r>
          </w:p>
        </w:tc>
      </w:tr>
      <w:tr>
        <w:tc>
          <w:tcPr>
            <w:tcW w:type="dxa" w:w="4703"/>
          </w:tcPr>
          <w:p>
            <w:r>
              <w:rPr>
                <w:rFonts w:ascii="Meiryo UI" w:hAnsi="Meiryo UI"/>
                <w:sz w:val="18"/>
              </w:rPr>
              <w:t>FY2027E</w:t>
            </w:r>
          </w:p>
        </w:tc>
        <w:tc>
          <w:tcPr>
            <w:tcW w:type="dxa" w:w="4703"/>
          </w:tcPr>
          <w:p>
            <w:r>
              <w:rPr>
                <w:rFonts w:ascii="Meiryo UI" w:hAnsi="Meiryo UI"/>
                <w:sz w:val="18"/>
              </w:rPr>
              <w:t>2.0</w:t>
            </w:r>
          </w:p>
        </w:tc>
      </w:tr>
      <w:tr>
        <w:tc>
          <w:tcPr>
            <w:tcW w:type="dxa" w:w="4703"/>
            <w:shd w:val="clear" w:color="auto" w:fill="DDEBF7"/>
          </w:tcPr>
          <w:p>
            <w:r>
              <w:rPr>
                <w:rFonts w:ascii="Meiryo UI" w:hAnsi="Meiryo UI"/>
                <w:sz w:val="18"/>
              </w:rPr>
              <w:t>FY2028E</w:t>
            </w:r>
          </w:p>
        </w:tc>
        <w:tc>
          <w:tcPr>
            <w:tcW w:type="dxa" w:w="4703"/>
            <w:shd w:val="clear" w:color="auto" w:fill="DDEBF7"/>
          </w:tcPr>
          <w:p>
            <w:r>
              <w:rPr>
                <w:rFonts w:ascii="Meiryo UI" w:hAnsi="Meiryo UI"/>
                <w:sz w:val="18"/>
              </w:rPr>
              <w:t>2.8</w:t>
            </w:r>
          </w:p>
        </w:tc>
      </w:tr>
      <w:tr>
        <w:tc>
          <w:tcPr>
            <w:tcW w:type="dxa" w:w="4703"/>
          </w:tcPr>
          <w:p>
            <w:r>
              <w:rPr>
                <w:rFonts w:ascii="Meiryo UI" w:hAnsi="Meiryo UI"/>
                <w:sz w:val="18"/>
              </w:rPr>
              <w:t>FY2029E</w:t>
            </w:r>
          </w:p>
        </w:tc>
        <w:tc>
          <w:tcPr>
            <w:tcW w:type="dxa" w:w="4703"/>
          </w:tcPr>
          <w:p>
            <w:r>
              <w:rPr>
                <w:rFonts w:ascii="Meiryo UI" w:hAnsi="Meiryo UI"/>
                <w:sz w:val="18"/>
              </w:rPr>
              <w:t>3.5</w:t>
            </w:r>
          </w:p>
        </w:tc>
      </w:tr>
    </w:tbl>
    <w:p/>
    <w:p>
      <w:pPr>
        <w:shd w:val="clear" w:color="auto" w:fill="F2F2F2"/>
      </w:pPr>
      <w:r>
        <w:rPr>
          <w:rFonts w:ascii="Courier New" w:hAnsi="Courier New"/>
          <w:sz w:val="16"/>
        </w:rPr>
        <w:t>PV合計：約6.0億円</w:t>
        <w:br/>
        <w:t>ターミナルバリュー（WACC10.5%、g1.5%で計算）：</w:t>
        <w:br/>
        <w:t>TV = 3.5 × 1.015 ÷ (0.105−0.015) = 39.5億円</w:t>
        <w:br/>
        <w:t>TVのPV：39.5 ÷ 1.105^5 ≒ 23.5億円</w:t>
        <w:br/>
        <w:br/>
        <w:t>EV：29.5億円</w:t>
        <w:br/>
        <w:t>エクイティバリュー調整後：約25〜30億円</w:t>
        <w:br/>
        <w:t>→ 理論株価（強気）：1,000〜1,500円/株</w:t>
      </w:r>
    </w:p>
    <w:p/>
    <w:p>
      <w:pPr>
        <w:pStyle w:val="Heading4"/>
      </w:pPr>
      <w:r>
        <w:rPr>
          <w:rFonts w:ascii="Meiryo UI" w:hAnsi="Meiryo UI"/>
          <w:color w:val="2E74B5"/>
        </w:rPr>
        <w:t>【弱気シナリオ（Bear Case）】</w:t>
      </w:r>
    </w:p>
    <w:p>
      <w:r>
        <w:rPr>
          <w:rFonts w:ascii="Meiryo UI" w:hAnsi="Meiryo UI"/>
          <w:sz w:val="20"/>
        </w:rPr>
        <w:t>&gt; 不正損失：大規模（10億円超）、受注停止・資金繰り悪化</w:t>
      </w:r>
    </w:p>
    <w:p/>
    <w:p>
      <w:pPr>
        <w:shd w:val="clear" w:color="auto" w:fill="F2F2F2"/>
      </w:pPr>
      <w:r>
        <w:rPr>
          <w:rFonts w:ascii="Courier New" w:hAnsi="Courier New"/>
          <w:sz w:val="16"/>
        </w:rPr>
        <w:t>事業価値の大幅毀損</w:t>
        <w:br/>
        <w:t>特別損失10億円超計上→自己資本棄損→財務制限条項抵触リスク</w:t>
        <w:br/>
        <w:t>エクイティバリュー：実質的に0〜5億円</w:t>
        <w:br/>
        <w:t>→ 理論株価（弱気）：0〜200円/株（上場廃止リスク領域）</w:t>
      </w:r>
    </w:p>
    <w:p/>
    <w:p>
      <w:pPr>
        <w:pStyle w:val="Heading3"/>
      </w:pPr>
      <w:r>
        <w:rPr>
          <w:rFonts w:ascii="Meiryo UI" w:hAnsi="Meiryo UI"/>
          <w:color w:val="2E74B5"/>
        </w:rPr>
        <w:t>4-3. 理論株価レンジ総括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確率ウェイト</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強気</w:t>
            </w:r>
          </w:p>
        </w:tc>
        <w:tc>
          <w:tcPr>
            <w:tcW w:type="dxa" w:w="3135"/>
          </w:tcPr>
          <w:p>
            <w:r>
              <w:rPr>
                <w:rFonts w:ascii="Meiryo UI" w:hAnsi="Meiryo UI"/>
                <w:sz w:val="18"/>
              </w:rPr>
              <w:t>15%</w:t>
            </w:r>
          </w:p>
        </w:tc>
        <w:tc>
          <w:tcPr>
            <w:tcW w:type="dxa" w:w="3135"/>
          </w:tcPr>
          <w:p>
            <w:r>
              <w:rPr>
                <w:rFonts w:ascii="Meiryo UI" w:hAnsi="Meiryo UI"/>
                <w:sz w:val="18"/>
              </w:rPr>
              <w:t>1,000〜1,500円</w:t>
            </w:r>
          </w:p>
        </w:tc>
      </w:tr>
      <w:tr>
        <w:tc>
          <w:tcPr>
            <w:tcW w:type="dxa" w:w="3135"/>
            <w:shd w:val="clear" w:color="auto" w:fill="DDEBF7"/>
          </w:tcPr>
          <w:p>
            <w:r>
              <w:rPr>
                <w:rFonts w:ascii="Meiryo UI" w:hAnsi="Meiryo UI"/>
                <w:sz w:val="18"/>
              </w:rPr>
              <w:t>基本</w:t>
            </w:r>
          </w:p>
        </w:tc>
        <w:tc>
          <w:tcPr>
            <w:tcW w:type="dxa" w:w="3135"/>
            <w:shd w:val="clear" w:color="auto" w:fill="DDEBF7"/>
          </w:tcPr>
          <w:p>
            <w:r>
              <w:rPr>
                <w:rFonts w:ascii="Meiryo UI" w:hAnsi="Meiryo UI"/>
                <w:sz w:val="18"/>
              </w:rPr>
              <w:t>45%</w:t>
            </w:r>
          </w:p>
        </w:tc>
        <w:tc>
          <w:tcPr>
            <w:tcW w:type="dxa" w:w="3135"/>
            <w:shd w:val="clear" w:color="auto" w:fill="DDEBF7"/>
          </w:tcPr>
          <w:p>
            <w:r>
              <w:rPr>
                <w:rFonts w:ascii="Meiryo UI" w:hAnsi="Meiryo UI"/>
                <w:sz w:val="18"/>
              </w:rPr>
              <w:t>400〜750円</w:t>
            </w:r>
          </w:p>
        </w:tc>
      </w:tr>
      <w:tr>
        <w:tc>
          <w:tcPr>
            <w:tcW w:type="dxa" w:w="3135"/>
          </w:tcPr>
          <w:p>
            <w:r>
              <w:rPr>
                <w:rFonts w:ascii="Meiryo UI" w:hAnsi="Meiryo UI"/>
                <w:sz w:val="18"/>
              </w:rPr>
              <w:t>弱気</w:t>
            </w:r>
          </w:p>
        </w:tc>
        <w:tc>
          <w:tcPr>
            <w:tcW w:type="dxa" w:w="3135"/>
          </w:tcPr>
          <w:p>
            <w:r>
              <w:rPr>
                <w:rFonts w:ascii="Meiryo UI" w:hAnsi="Meiryo UI"/>
                <w:sz w:val="18"/>
              </w:rPr>
              <w:t>40%</w:t>
            </w:r>
          </w:p>
        </w:tc>
        <w:tc>
          <w:tcPr>
            <w:tcW w:type="dxa" w:w="3135"/>
          </w:tcPr>
          <w:p>
            <w:r>
              <w:rPr>
                <w:rFonts w:ascii="Meiryo UI" w:hAnsi="Meiryo UI"/>
                <w:sz w:val="18"/>
              </w:rPr>
              <w:t>0〜200円</w:t>
            </w:r>
          </w:p>
        </w:tc>
      </w:tr>
      <w:tr>
        <w:tc>
          <w:tcPr>
            <w:tcW w:type="dxa" w:w="3135"/>
            <w:shd w:val="clear" w:color="auto" w:fill="DDEBF7"/>
          </w:tcPr>
          <w:p>
            <w:r>
              <w:rPr>
                <w:rFonts w:ascii="Meiryo UI" w:hAnsi="Meiryo UI"/>
                <w:sz w:val="18"/>
              </w:rPr>
              <w:t>加重平均（理論値）</w:t>
            </w:r>
          </w:p>
        </w:tc>
        <w:tc>
          <w:tcPr>
            <w:tcW w:type="dxa" w:w="3135"/>
            <w:shd w:val="clear" w:color="auto" w:fill="DDEBF7"/>
          </w:tcPr>
          <w:p>
            <w:r>
              <w:rPr>
                <w:rFonts w:ascii="Meiryo UI" w:hAnsi="Meiryo UI"/>
                <w:sz w:val="18"/>
              </w:rPr>
              <w:t>100%</w:t>
            </w:r>
          </w:p>
        </w:tc>
        <w:tc>
          <w:tcPr>
            <w:tcW w:type="dxa" w:w="3135"/>
            <w:shd w:val="clear" w:color="auto" w:fill="DDEBF7"/>
          </w:tcPr>
          <w:p>
            <w:r>
              <w:rPr>
                <w:rFonts w:ascii="Meiryo UI" w:hAnsi="Meiryo UI"/>
                <w:sz w:val="18"/>
              </w:rPr>
              <w:t>≈ 300〜600円</w:t>
            </w:r>
          </w:p>
        </w:tc>
      </w:tr>
    </w:tbl>
    <w:p/>
    <w:p>
      <w:r>
        <w:rPr>
          <w:rFonts w:ascii="Meiryo UI" w:hAnsi="Meiryo UI"/>
          <w:sz w:val="20"/>
        </w:rPr>
        <w:t>&gt; ⚠️ 弱気シナリオウェイト40%は異常値。通常分析では弱気20%程度だが、不適切取引の性質・規模が未確定であるため、下方リスクに傾斜したウェイト配分を採用する。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w:t>
      </w:r>
    </w:p>
    <w:p/>
    <w:p>
      <w:pPr>
        <w:shd w:val="clear" w:color="auto" w:fill="F2F2F2"/>
      </w:pPr>
      <w:r>
        <w:rPr>
          <w:rFonts w:ascii="Courier New" w:hAnsi="Courier New"/>
          <w:sz w:val="16"/>
        </w:rPr>
        <w:t>┌─────────────────────────────────────┐</w:t>
        <w:br/>
        <w:t>│  理論株価（加重平均）                        │</w:t>
        <w:br/>
        <w:t>│                                         │</w:t>
        <w:br/>
        <w:t>│  ベースレンジ：300円〜600円                  │</w:t>
        <w:br/>
        <w:t>│  中央値目標：≈ 450円                       │</w:t>
        <w:br/>
        <w:t>│                                         │</w:t>
        <w:br/>
        <w:t>│  ※ 現在株価水準比で要注意                    │</w:t>
        <w:br/>
        <w:t>│  ※ 損失規模確定後に再評価必須                 │</w:t>
        <w:br/>
        <w:t>└─────────────────────────────────────┘</w:t>
      </w:r>
    </w:p>
    <w:p/>
    <w:p>
      <w:pPr>
        <w:pStyle w:val="Heading3"/>
      </w:pPr>
      <w:r>
        <w:rPr>
          <w:rFonts w:ascii="Meiryo UI" w:hAnsi="Meiryo UI"/>
          <w:color w:val="2E74B5"/>
        </w:rPr>
        <w:t>5-2. 投資判断</w:t>
      </w:r>
    </w:p>
    <w:p/>
    <w:p>
      <w:pPr>
        <w:shd w:val="clear" w:color="auto" w:fill="F2F2F2"/>
      </w:pPr>
      <w:r>
        <w:rPr>
          <w:rFonts w:ascii="Courier New" w:hAnsi="Courier New"/>
          <w:sz w:val="16"/>
        </w:rPr>
        <w:t>【 STRONG SELL ／ 強い売り 】</w:t>
        <w:br/>
        <w:br/>
        <w:t>評価根拠：</w:t>
        <w:br/>
        <w:t>1. 不正疑惑の規模・性質が完全に未確定</w:t>
        <w:br/>
        <w:t>2. 小型株ゆえ流動性リスク（売り逃げ困難）</w:t>
        <w:br/>
        <w:t>3. 自治体顧客への信頼毀損リスク（主要収益源の喪失可能性）</w:t>
        <w:br/>
        <w:t>4. DCF弱気シナリオへの確率傾斜（40%）</w:t>
        <w:br/>
        <w:t>5. 浅井速報スコア▲85との整合（センチメント・ファンダメンタル双方向から売り）</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3ケース詳細比較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確率</w:t>
            </w:r>
          </w:p>
        </w:tc>
        <w:tc>
          <w:tcPr>
            <w:tcW w:type="dxa" w:w="2351"/>
          </w:tcPr>
          <w:p>
            <w:r>
              <w:rPr>
                <w:rFonts w:ascii="Meiryo UI" w:hAnsi="Meiryo UI"/>
                <w:sz w:val="18"/>
              </w:rPr>
              <w:t>15%</w:t>
            </w:r>
          </w:p>
        </w:tc>
        <w:tc>
          <w:tcPr>
            <w:tcW w:type="dxa" w:w="2351"/>
          </w:tcPr>
          <w:p>
            <w:r>
              <w:rPr>
                <w:rFonts w:ascii="Meiryo UI" w:hAnsi="Meiryo UI"/>
                <w:sz w:val="18"/>
              </w:rPr>
              <w:t>45%</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不正損失規模</w:t>
            </w:r>
          </w:p>
        </w:tc>
        <w:tc>
          <w:tcPr>
            <w:tcW w:type="dxa" w:w="2351"/>
            <w:shd w:val="clear" w:color="auto" w:fill="DDEBF7"/>
          </w:tcPr>
          <w:p>
            <w:r>
              <w:rPr>
                <w:rFonts w:ascii="Meiryo UI" w:hAnsi="Meiryo UI"/>
                <w:sz w:val="18"/>
              </w:rPr>
              <w:t>1〜2億円（軽微）</w:t>
            </w:r>
          </w:p>
        </w:tc>
        <w:tc>
          <w:tcPr>
            <w:tcW w:type="dxa" w:w="2351"/>
            <w:shd w:val="clear" w:color="auto" w:fill="DDEBF7"/>
          </w:tcPr>
          <w:p>
            <w:r>
              <w:rPr>
                <w:rFonts w:ascii="Meiryo UI" w:hAnsi="Meiryo UI"/>
                <w:sz w:val="18"/>
              </w:rPr>
              <w:t>3〜5億円（中程度）</w:t>
            </w:r>
          </w:p>
        </w:tc>
        <w:tc>
          <w:tcPr>
            <w:tcW w:type="dxa" w:w="2351"/>
            <w:shd w:val="clear" w:color="auto" w:fill="DDEBF7"/>
          </w:tcPr>
          <w:p>
            <w:r>
              <w:rPr>
                <w:rFonts w:ascii="Meiryo UI" w:hAnsi="Meiryo UI"/>
                <w:sz w:val="18"/>
              </w:rPr>
              <w:t>10億円超（大規模）</w:t>
            </w:r>
          </w:p>
        </w:tc>
      </w:tr>
      <w:tr>
        <w:tc>
          <w:tcPr>
            <w:tcW w:type="dxa" w:w="2351"/>
          </w:tcPr>
          <w:p>
            <w:r>
              <w:rPr>
                <w:rFonts w:ascii="Meiryo UI" w:hAnsi="Meiryo UI"/>
                <w:sz w:val="18"/>
              </w:rPr>
              <w:t>事業継続性</w:t>
            </w:r>
          </w:p>
        </w:tc>
        <w:tc>
          <w:tcPr>
            <w:tcW w:type="dxa" w:w="2351"/>
          </w:tcPr>
          <w:p>
            <w:r>
              <w:rPr>
                <w:rFonts w:ascii="Meiryo UI" w:hAnsi="Meiryo UI"/>
                <w:sz w:val="18"/>
              </w:rPr>
              <w:t>完全継続</w:t>
            </w:r>
          </w:p>
        </w:tc>
        <w:tc>
          <w:tcPr>
            <w:tcW w:type="dxa" w:w="2351"/>
          </w:tcPr>
          <w:p>
            <w:r>
              <w:rPr>
                <w:rFonts w:ascii="Meiryo UI" w:hAnsi="Meiryo UI"/>
                <w:sz w:val="18"/>
              </w:rPr>
              <w:t>一部毀損、継続</w:t>
            </w:r>
          </w:p>
        </w:tc>
        <w:tc>
          <w:tcPr>
            <w:tcW w:type="dxa" w:w="2351"/>
          </w:tcPr>
          <w:p>
            <w:r>
              <w:rPr>
                <w:rFonts w:ascii="Meiryo UI" w:hAnsi="Meiryo UI"/>
                <w:sz w:val="18"/>
              </w:rPr>
              <w:t>重大毀損、継続不透明</w:t>
            </w:r>
          </w:p>
        </w:tc>
      </w:tr>
      <w:tr>
        <w:tc>
          <w:tcPr>
            <w:tcW w:type="dxa" w:w="2351"/>
            <w:shd w:val="clear" w:color="auto" w:fill="DDEBF7"/>
          </w:tcPr>
          <w:p>
            <w:r>
              <w:rPr>
                <w:rFonts w:ascii="Meiryo UI" w:hAnsi="Meiryo UI"/>
                <w:sz w:val="18"/>
              </w:rPr>
              <w:t>顧客離反</w:t>
            </w:r>
          </w:p>
        </w:tc>
        <w:tc>
          <w:tcPr>
            <w:tcW w:type="dxa" w:w="2351"/>
            <w:shd w:val="clear" w:color="auto" w:fill="DDEBF7"/>
          </w:tcPr>
          <w:p>
            <w:r>
              <w:rPr>
                <w:rFonts w:ascii="Meiryo UI" w:hAnsi="Meiryo UI"/>
                <w:sz w:val="18"/>
              </w:rPr>
              <w:t>限定的</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大規模（入札停止含む）</w:t>
            </w:r>
          </w:p>
        </w:tc>
      </w:tr>
      <w:tr>
        <w:tc>
          <w:tcPr>
            <w:tcW w:type="dxa" w:w="2351"/>
          </w:tcPr>
          <w:p>
            <w:r>
              <w:rPr>
                <w:rFonts w:ascii="Meiryo UI" w:hAnsi="Meiryo UI"/>
                <w:sz w:val="18"/>
              </w:rPr>
              <w:t>司法・行政制裁</w:t>
            </w:r>
          </w:p>
        </w:tc>
        <w:tc>
          <w:tcPr>
            <w:tcW w:type="dxa" w:w="2351"/>
          </w:tcPr>
          <w:p>
            <w:r>
              <w:rPr>
                <w:rFonts w:ascii="Meiryo UI" w:hAnsi="Meiryo UI"/>
                <w:sz w:val="18"/>
              </w:rPr>
              <w:t>行政指導のみ</w:t>
            </w:r>
          </w:p>
        </w:tc>
        <w:tc>
          <w:tcPr>
            <w:tcW w:type="dxa" w:w="2351"/>
          </w:tcPr>
          <w:p>
            <w:r>
              <w:rPr>
                <w:rFonts w:ascii="Meiryo UI" w:hAnsi="Meiryo UI"/>
                <w:sz w:val="18"/>
              </w:rPr>
              <w:t>課徴金あり</w:t>
            </w:r>
          </w:p>
        </w:tc>
        <w:tc>
          <w:tcPr>
            <w:tcW w:type="dxa" w:w="2351"/>
          </w:tcPr>
          <w:p>
            <w:r>
              <w:rPr>
                <w:rFonts w:ascii="Meiryo UI" w:hAnsi="Meiryo UI"/>
                <w:sz w:val="18"/>
              </w:rPr>
              <w:t>刑事事件化リスク</w:t>
            </w:r>
          </w:p>
        </w:tc>
      </w:tr>
      <w:tr>
        <w:tc>
          <w:tcPr>
            <w:tcW w:type="dxa" w:w="2351"/>
            <w:shd w:val="clear" w:color="auto" w:fill="DDEBF7"/>
          </w:tcPr>
          <w:p>
            <w:r>
              <w:rPr>
                <w:rFonts w:ascii="Meiryo UI" w:hAnsi="Meiryo UI"/>
                <w:sz w:val="18"/>
              </w:rPr>
              <w:t>売上影響（FY2025）</w:t>
            </w:r>
          </w:p>
        </w:tc>
        <w:tc>
          <w:tcPr>
            <w:tcW w:type="dxa" w:w="2351"/>
            <w:shd w:val="clear" w:color="auto" w:fill="DDEBF7"/>
          </w:tcPr>
          <w:p>
            <w:r>
              <w:rPr>
                <w:rFonts w:ascii="Meiryo UI" w:hAnsi="Meiryo UI"/>
                <w:sz w:val="18"/>
              </w:rPr>
              <w:t>▲3%以内</w:t>
            </w:r>
          </w:p>
        </w:tc>
        <w:tc>
          <w:tcPr>
            <w:tcW w:type="dxa" w:w="2351"/>
            <w:shd w:val="clear" w:color="auto" w:fill="DDEBF7"/>
          </w:tcPr>
          <w:p>
            <w:r>
              <w:rPr>
                <w:rFonts w:ascii="Meiryo UI" w:hAnsi="Meiryo UI"/>
                <w:sz w:val="18"/>
              </w:rPr>
              <w:t>▲5〜15%</w:t>
            </w:r>
          </w:p>
        </w:tc>
        <w:tc>
          <w:tcPr>
            <w:tcW w:type="dxa" w:w="2351"/>
            <w:shd w:val="clear" w:color="auto" w:fill="DDEBF7"/>
          </w:tcPr>
          <w:p>
            <w:r>
              <w:rPr>
                <w:rFonts w:ascii="Meiryo UI" w:hAnsi="Meiryo UI"/>
                <w:sz w:val="18"/>
              </w:rPr>
              <w:t>▲20〜30%以上</w:t>
            </w:r>
          </w:p>
        </w:tc>
      </w:tr>
      <w:tr>
        <w:tc>
          <w:tcPr>
            <w:tcW w:type="dxa" w:w="2351"/>
          </w:tcPr>
          <w:p>
            <w:r>
              <w:rPr>
                <w:rFonts w:ascii="Meiryo UI" w:hAnsi="Meiryo UI"/>
                <w:sz w:val="18"/>
              </w:rPr>
              <w:t>理論株価</w:t>
            </w:r>
          </w:p>
        </w:tc>
        <w:tc>
          <w:tcPr>
            <w:tcW w:type="dxa" w:w="2351"/>
          </w:tcPr>
          <w:p>
            <w:r>
              <w:rPr>
                <w:rFonts w:ascii="Meiryo UI" w:hAnsi="Meiryo UI"/>
                <w:sz w:val="18"/>
              </w:rPr>
              <w:t>1,000〜1,500円</w:t>
            </w:r>
          </w:p>
        </w:tc>
        <w:tc>
          <w:tcPr>
            <w:tcW w:type="dxa" w:w="2351"/>
          </w:tcPr>
          <w:p>
            <w:r>
              <w:rPr>
                <w:rFonts w:ascii="Meiryo UI" w:hAnsi="Meiryo UI"/>
                <w:sz w:val="18"/>
              </w:rPr>
              <w:t>400〜750円</w:t>
            </w:r>
          </w:p>
        </w:tc>
        <w:tc>
          <w:tcPr>
            <w:tcW w:type="dxa" w:w="2351"/>
          </w:tcPr>
          <w:p>
            <w:r>
              <w:rPr>
                <w:rFonts w:ascii="Meiryo UI" w:hAnsi="Meiryo UI"/>
                <w:sz w:val="18"/>
              </w:rPr>
              <w:t>0〜200円</w:t>
            </w:r>
          </w:p>
        </w:tc>
      </w:tr>
      <w:tr>
        <w:tc>
          <w:tcPr>
            <w:tcW w:type="dxa" w:w="2351"/>
            <w:shd w:val="clear" w:color="auto" w:fill="DDEBF7"/>
          </w:tcPr>
          <w:p>
            <w:r>
              <w:rPr>
                <w:rFonts w:ascii="Meiryo UI" w:hAnsi="Meiryo UI"/>
                <w:sz w:val="18"/>
              </w:rPr>
              <w:t>上場リスク</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トリガー</w:t>
            </w:r>
          </w:p>
        </w:tc>
        <w:tc>
          <w:tcPr>
            <w:tcW w:type="dxa" w:w="2351"/>
          </w:tcPr>
          <w:p>
            <w:r>
              <w:rPr>
                <w:rFonts w:ascii="Meiryo UI" w:hAnsi="Meiryo UI"/>
                <w:sz w:val="18"/>
              </w:rPr>
              <w:t>損失軽微発表、迅速な内部統制改革</w:t>
            </w:r>
          </w:p>
        </w:tc>
        <w:tc>
          <w:tcPr>
            <w:tcW w:type="dxa" w:w="2351"/>
          </w:tcPr>
          <w:p>
            <w:r>
              <w:rPr>
                <w:rFonts w:ascii="Meiryo UI" w:hAnsi="Meiryo UI"/>
                <w:sz w:val="18"/>
              </w:rPr>
              <w:t>調査長期化、限定的損失確定</w:t>
            </w:r>
          </w:p>
        </w:tc>
        <w:tc>
          <w:tcPr>
            <w:tcW w:type="dxa" w:w="2351"/>
          </w:tcPr>
          <w:p>
            <w:r>
              <w:rPr>
                <w:rFonts w:ascii="Meiryo UI" w:hAnsi="Meiryo UI"/>
                <w:sz w:val="18"/>
              </w:rPr>
              <w:t>過年度修正多発、資金繰り悪化</w:t>
            </w:r>
          </w:p>
        </w:tc>
      </w:tr>
    </w:tbl>
    <w:p/>
    <w:p>
      <w:pPr>
        <w:pStyle w:val="Heading3"/>
      </w:pPr>
      <w:r>
        <w:rPr>
          <w:rFonts w:ascii="Meiryo UI" w:hAnsi="Meiryo UI"/>
          <w:color w:val="2E74B5"/>
        </w:rPr>
        <w:t>6-2. シナリオ分岐ポイント（モニタリング指標）</w:t>
      </w:r>
    </w:p>
    <w:p/>
    <w:p>
      <w:pPr>
        <w:shd w:val="clear" w:color="auto" w:fill="F2F2F2"/>
      </w:pPr>
      <w:r>
        <w:rPr>
          <w:rFonts w:ascii="Courier New" w:hAnsi="Courier New"/>
          <w:sz w:val="16"/>
        </w:rPr>
        <w:t>【キー観察指標】</w:t>
        <w:br/>
        <w:br/>
        <w:t>📌 特別調査委員会の調査報告書（第一報）</w:t>
        <w:br/>
        <w:t xml:space="preserve">   → 発表時期・損失規模の第一次推定</w:t>
        <w:br/>
        <w:br/>
        <w:t>📌 主力取引銀行の動向</w:t>
        <w:br/>
        <w:t xml:space="preserve">   → 融資継続 or 条件変更 or 回収</w:t>
        <w:br/>
        <w:br/>
        <w:t>📌 自治体顧客（主要得意先）からの声明</w:t>
        <w:br/>
        <w:t xml:space="preserve">   → 入札参加資格の維持有無</w:t>
        <w:br/>
        <w:br/>
        <w:t>📌 監査法人の対応</w:t>
        <w:br/>
        <w:t xml:space="preserve">   → 継続監査 or 限定意見 or 辞任</w:t>
        <w:br/>
        <w:br/>
        <w:t>📌 経営陣の処遇</w:t>
        <w:br/>
        <w:t xml:space="preserve">   → 社長・CFOの留任・辞任</w:t>
        <w:br/>
        <w:br/>
        <w:t>📌 過年度有価証券報告書の修正</w:t>
        <w:br/>
        <w:t xml:space="preserve">   → 修正幅が大きいほど弱気シナリオへ</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スコア</w:t>
            </w:r>
          </w:p>
        </w:tc>
        <w:tc>
          <w:tcPr>
            <w:tcW w:type="dxa" w:w="4703"/>
          </w:tcPr>
          <w:p>
            <w:r>
              <w:rPr>
                <w:rFonts w:ascii="Meiryo UI" w:hAnsi="Meiryo UI"/>
                <w:sz w:val="18"/>
              </w:rPr>
              <w:t>▲85（SELL）</w:t>
            </w:r>
          </w:p>
        </w:tc>
      </w:tr>
      <w:tr>
        <w:tc>
          <w:tcPr>
            <w:tcW w:type="dxa" w:w="4703"/>
            <w:shd w:val="clear" w:color="auto" w:fill="DDEBF7"/>
          </w:tcPr>
          <w:p>
            <w:r>
              <w:rPr>
                <w:rFonts w:ascii="Meiryo UI" w:hAnsi="Meiryo UI"/>
                <w:sz w:val="18"/>
              </w:rPr>
              <w:t>レンジ</w:t>
            </w:r>
          </w:p>
        </w:tc>
        <w:tc>
          <w:tcPr>
            <w:tcW w:type="dxa" w:w="4703"/>
            <w:shd w:val="clear" w:color="auto" w:fill="DDEBF7"/>
          </w:tcPr>
          <w:p>
            <w:r>
              <w:rPr>
                <w:rFonts w:ascii="Meiryo UI" w:hAnsi="Meiryo UI"/>
                <w:sz w:val="18"/>
              </w:rPr>
              <w:t>スコアMAX▲100に近い極端な売りシグナル</w:t>
            </w:r>
          </w:p>
        </w:tc>
      </w:tr>
      <w:tr>
        <w:tc>
          <w:tcPr>
            <w:tcW w:type="dxa" w:w="4703"/>
          </w:tcPr>
          <w:p>
            <w:r>
              <w:rPr>
                <w:rFonts w:ascii="Meiryo UI" w:hAnsi="Meiryo UI"/>
                <w:sz w:val="18"/>
              </w:rPr>
              <w:t>主因</w:t>
            </w:r>
          </w:p>
        </w:tc>
        <w:tc>
          <w:tcPr>
            <w:tcW w:type="dxa" w:w="4703"/>
          </w:tcPr>
          <w:p>
            <w:r>
              <w:rPr>
                <w:rFonts w:ascii="Meiryo UI" w:hAnsi="Meiryo UI"/>
                <w:sz w:val="18"/>
              </w:rPr>
              <w:t>不正行為疑い・特別調査委設置</w:t>
            </w:r>
          </w:p>
        </w:tc>
      </w:tr>
      <w:tr>
        <w:tc>
          <w:tcPr>
            <w:tcW w:type="dxa" w:w="4703"/>
            <w:shd w:val="clear" w:color="auto" w:fill="DDEBF7"/>
          </w:tcPr>
          <w:p>
            <w:r>
              <w:rPr>
                <w:rFonts w:ascii="Meiryo UI" w:hAnsi="Meiryo UI"/>
                <w:sz w:val="18"/>
              </w:rPr>
              <w:t>補足</w:t>
            </w:r>
          </w:p>
        </w:tc>
        <w:tc>
          <w:tcPr>
            <w:tcW w:type="dxa" w:w="4703"/>
            <w:shd w:val="clear" w:color="auto" w:fill="DDEBF7"/>
          </w:tcPr>
          <w:p>
            <w:r>
              <w:rPr>
                <w:rFonts w:ascii="Meiryo UI" w:hAnsi="Meiryo UI"/>
                <w:sz w:val="18"/>
              </w:rPr>
              <w:t>小型株のため貸株在庫要確認</w:t>
            </w:r>
          </w:p>
        </w:tc>
      </w:tr>
    </w:tbl>
    <w:p/>
    <w:p>
      <w:pPr>
        <w:pStyle w:val="Heading3"/>
      </w:pPr>
      <w:r>
        <w:rPr>
          <w:rFonts w:ascii="Meiryo UI" w:hAnsi="Meiryo UI"/>
          <w:color w:val="2E74B5"/>
        </w:rPr>
        <w:t>7-2. センチメント vs 本源的価値のギャップ分析</w:t>
      </w:r>
    </w:p>
    <w:p/>
    <w:p>
      <w:pPr>
        <w:shd w:val="clear" w:color="auto" w:fill="F2F2F2"/>
      </w:pPr>
      <w:r>
        <w:rPr>
          <w:rFonts w:ascii="Courier New" w:hAnsi="Courier New"/>
          <w:sz w:val="16"/>
        </w:rPr>
        <w:t>【フレームワーク：センチメント × ファンダメンタル マトリックス】</w:t>
        <w:br/>
        <w:br/>
        <w:t xml:space="preserve">                    センチメント</w:t>
        <w:br/>
        <w:t xml:space="preserve">                  悪い ←―――→ 良い</w:t>
        <w:br/>
        <w:t xml:space="preserve">           ┌──────────────────────┐</w:t>
        <w:br/>
        <w:t xml:space="preserve">    低い   │  STRONG SELL │  売り    │</w:t>
        <w:br/>
        <w:t xml:space="preserve">    ↑      │ ◀現在ここ    │ （割高）  │</w:t>
        <w:br/>
        <w:t>本源的     ├──────────────────────┤</w:t>
        <w:br/>
        <w:t>価値 ↓     │  買い        │  STRONG  │</w:t>
        <w:br/>
        <w:t xml:space="preserve">    高い   │ （割安）     │  BUY     │</w:t>
        <w:br/>
        <w:t xml:space="preserve">           └──────────────────────┘</w:t>
        <w:br/>
        <w:br/>
        <w:t>現在のアイサンテクノロジーは</w:t>
        <w:br/>
        <w:t>「本源的価値：不確実・下方リスク大」×「センチメント：極度に悲観」</w:t>
        <w:br/>
        <w:t>→ 通常なら「逆張り候補」だが、損失規模未確定のため逆張り禁忌</w:t>
      </w:r>
    </w:p>
    <w:p/>
    <w:p>
      <w:pPr>
        <w:pStyle w:val="Heading3"/>
      </w:pPr>
      <w:r>
        <w:rPr>
          <w:rFonts w:ascii="Meiryo UI" w:hAnsi="Meiryo UI"/>
          <w:color w:val="2E74B5"/>
        </w:rPr>
        <w:t>7-3. センチメントと本源的価値のギャップ考察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センチメント（浅井スコア▲85）</w:t>
            </w:r>
          </w:p>
        </w:tc>
        <w:tc>
          <w:tcPr>
            <w:tcW w:type="dxa" w:w="4703"/>
          </w:tcPr>
          <w:p>
            <w:r>
              <w:rPr>
                <w:rFonts w:ascii="Meiryo UI" w:hAnsi="Meiryo UI"/>
                <w:sz w:val="18"/>
              </w:rPr>
              <w:t>市場は相当程度の悪材料を織り込み始めている</w:t>
            </w:r>
          </w:p>
        </w:tc>
      </w:tr>
      <w:tr>
        <w:tc>
          <w:tcPr>
            <w:tcW w:type="dxa" w:w="4703"/>
            <w:shd w:val="clear" w:color="auto" w:fill="DDEBF7"/>
          </w:tcPr>
          <w:p>
            <w:r>
              <w:rPr>
                <w:rFonts w:ascii="Meiryo UI" w:hAnsi="Meiryo UI"/>
                <w:sz w:val="18"/>
              </w:rPr>
              <w:t>本源的価値（DCF）</w:t>
            </w:r>
          </w:p>
        </w:tc>
        <w:tc>
          <w:tcPr>
            <w:tcW w:type="dxa" w:w="4703"/>
            <w:shd w:val="clear" w:color="auto" w:fill="DDEBF7"/>
          </w:tcPr>
          <w:p>
            <w:r>
              <w:rPr>
                <w:rFonts w:ascii="Meiryo UI" w:hAnsi="Meiryo UI"/>
                <w:sz w:val="18"/>
              </w:rPr>
              <w:t>基本シナリオ理論株価400〜750円。但し弱気シナリオで実質ゼロ</w:t>
            </w:r>
          </w:p>
        </w:tc>
      </w:tr>
      <w:tr>
        <w:tc>
          <w:tcPr>
            <w:tcW w:type="dxa" w:w="4703"/>
          </w:tcPr>
          <w:p>
            <w:r>
              <w:rPr>
                <w:rFonts w:ascii="Meiryo UI" w:hAnsi="Meiryo UI"/>
                <w:sz w:val="18"/>
              </w:rPr>
              <w:t>ギャップの性質</w:t>
            </w:r>
          </w:p>
        </w:tc>
        <w:tc>
          <w:tcPr>
            <w:tcW w:type="dxa" w:w="4703"/>
          </w:tcPr>
          <w:p>
            <w:r>
              <w:rPr>
                <w:rFonts w:ascii="Meiryo UI" w:hAnsi="Meiryo UI"/>
                <w:sz w:val="18"/>
              </w:rPr>
              <w:t>非対称リスク（下方リスクが上方期待を大幅に上回る）</w:t>
            </w:r>
          </w:p>
        </w:tc>
      </w:tr>
      <w:tr>
        <w:tc>
          <w:tcPr>
            <w:tcW w:type="dxa" w:w="4703"/>
            <w:shd w:val="clear" w:color="auto" w:fill="DDEBF7"/>
          </w:tcPr>
          <w:p>
            <w:r>
              <w:rPr>
                <w:rFonts w:ascii="Meiryo UI" w:hAnsi="Meiryo UI"/>
                <w:sz w:val="18"/>
              </w:rPr>
              <w:t>逆張り余地</w:t>
            </w:r>
          </w:p>
        </w:tc>
        <w:tc>
          <w:tcPr>
            <w:tcW w:type="dxa" w:w="4703"/>
            <w:shd w:val="clear" w:color="auto" w:fill="DDEBF7"/>
          </w:tcPr>
          <w:p>
            <w:r>
              <w:rPr>
                <w:rFonts w:ascii="Meiryo UI" w:hAnsi="Meiryo UI"/>
                <w:sz w:val="18"/>
              </w:rPr>
              <w:t>ほぼなし。損失規模確定・調査完了後まで参入は危険</w:t>
            </w:r>
          </w:p>
        </w:tc>
      </w:tr>
      <w:tr>
        <w:tc>
          <w:tcPr>
            <w:tcW w:type="dxa" w:w="4703"/>
          </w:tcPr>
          <w:p>
            <w:r>
              <w:rPr>
                <w:rFonts w:ascii="Meiryo UI" w:hAnsi="Meiryo UI"/>
                <w:sz w:val="18"/>
              </w:rPr>
              <w:t>オーバーシュートリスク</w:t>
            </w:r>
          </w:p>
        </w:tc>
        <w:tc>
          <w:tcPr>
            <w:tcW w:type="dxa" w:w="4703"/>
          </w:tcPr>
          <w:p>
            <w:r>
              <w:rPr>
                <w:rFonts w:ascii="Meiryo UI" w:hAnsi="Meiryo UI"/>
                <w:sz w:val="18"/>
              </w:rPr>
              <w:t>小型株ゆえパニック売りで理論値を大幅下回る可能性あり</w:t>
            </w:r>
          </w:p>
        </w:tc>
      </w:tr>
      <w:tr>
        <w:tc>
          <w:tcPr>
            <w:tcW w:type="dxa" w:w="4703"/>
            <w:shd w:val="clear" w:color="auto" w:fill="DDEBF7"/>
          </w:tcPr>
          <w:p>
            <w:r>
              <w:rPr>
                <w:rFonts w:ascii="Meiryo UI" w:hAnsi="Meiryo UI"/>
                <w:sz w:val="18"/>
              </w:rPr>
              <w:t>リバウンド可能性</w:t>
            </w:r>
          </w:p>
        </w:tc>
        <w:tc>
          <w:tcPr>
            <w:tcW w:type="dxa" w:w="4703"/>
            <w:shd w:val="clear" w:color="auto" w:fill="DDEBF7"/>
          </w:tcPr>
          <w:p>
            <w:r>
              <w:rPr>
                <w:rFonts w:ascii="Meiryo UI" w:hAnsi="Meiryo UI"/>
                <w:sz w:val="18"/>
              </w:rPr>
              <w:t>調査報告が「軽微」と判明した場合、+30〜50%のリバウンドも理論上あり得る。ただし賭けは禁物</w:t>
            </w:r>
          </w:p>
        </w:tc>
      </w:tr>
    </w:tbl>
    <w:p/>
    <w:p>
      <w:pPr>
        <w:pStyle w:val="Heading3"/>
      </w:pPr>
      <w:r>
        <w:rPr>
          <w:rFonts w:ascii="Meiryo UI" w:hAnsi="Meiryo UI"/>
          <w:color w:val="2E74B5"/>
        </w:rPr>
        <w:t>7-4. 統合評価サマリー</w:t>
      </w:r>
    </w:p>
    <w:p/>
    <w:p>
      <w:pPr>
        <w:shd w:val="clear" w:color="auto" w:fill="F2F2F2"/>
      </w:pPr>
      <w:r>
        <w:rPr>
          <w:rFonts w:ascii="Courier New" w:hAnsi="Courier New"/>
          <w:sz w:val="16"/>
        </w:rPr>
        <w:t>深井総合評価：STRONG SELL（強い売り）</w:t>
        <w:br/>
        <w:br/>
        <w:t>・浅井速報▲85 → ファンダメンタル分析と完全整合</w:t>
        <w:br/>
        <w:t>・センチメントと本源的価値の双方向から「売り」を示唆</w:t>
        <w:br/>
        <w:t>・損失規模未確定＝最大の不確実性プレミアム</w:t>
        <w:br/>
        <w:t>・小型株特性：流動性リスクが高く、ポジション積み上げ・解消ともに困難</w:t>
        <w:br/>
        <w:t>・貸株在庫の確認は浅井指摘通り最優先事項</w:t>
      </w:r>
    </w:p>
    <w:p/>
    <w:p>
      <w:r>
        <w:t>──────────────────────────────────────────────────</w:t>
      </w:r>
    </w:p>
    <w:p/>
    <w:p>
      <w:pPr>
        <w:pStyle w:val="Heading2"/>
      </w:pPr>
      <w:r>
        <w:rPr>
          <w:rFonts w:ascii="Meiryo UI" w:hAnsi="Meiryo UI"/>
          <w:color w:val="2E74B5"/>
        </w:rPr>
        <w:t>8. 社長への推奨アクション</w:t>
      </w:r>
    </w:p>
    <w:p/>
    <w:p>
      <w:r>
        <w:rPr>
          <w:rFonts w:ascii="Meiryo UI" w:hAnsi="Meiryo UI"/>
          <w:sz w:val="20"/>
        </w:rPr>
        <w:t>&gt; ⚠️ 社長指示コメントは受領していないため、深井の独立判断に基づく推奨。現在の状況では保有継続・新規購入のいずれも推奨しない。</w:t>
      </w:r>
    </w:p>
    <w:p/>
    <w:p>
      <w:pPr>
        <w:pStyle w:val="Heading3"/>
      </w:pPr>
      <w:r>
        <w:rPr>
          <w:rFonts w:ascii="Meiryo UI" w:hAnsi="Meiryo UI"/>
          <w:color w:val="2E74B5"/>
        </w:rPr>
        <w:t>8-1. 即時アクション（本日〜今週）</w:t>
      </w:r>
    </w:p>
    <w:p/>
    <w:p>
      <w:pPr>
        <w:shd w:val="clear" w:color="auto" w:fill="F2F2F2"/>
      </w:pPr>
      <w:r>
        <w:rPr>
          <w:rFonts w:ascii="Courier New" w:hAnsi="Courier New"/>
          <w:sz w:val="16"/>
        </w:rPr>
        <w:t>【STEP 1】既存ポジション保有者向け</w:t>
        <w:br/>
        <w:t>━━━━━━━━━━━━━━━━━━━━━━━━</w:t>
        <w:br/>
        <w:t>✅ 即時撤退を強く推奨</w:t>
        <w:br/>
        <w:br/>
        <w:t>理由：</w:t>
        <w:br/>
        <w:t>- 不正規模が「最悪ケース（上場廃止級）」に発展した場合、</w:t>
        <w:br/>
        <w:t xml:space="preserve">  損切りの機会すら失う可能性がある</w:t>
        <w:br/>
        <w:t>- 小型株＝流動性枯渇リスク。早い者勝ちの状況</w:t>
        <w:br/>
        <w:br/>
        <w:t>アクション：</w:t>
        <w:br/>
        <w:t>→ 本日（2026/4/4）マーケットオープンと同時に</w:t>
        <w:br/>
        <w:t xml:space="preserve">  成行き or 指値（直近終値比▲3〜5%）で全玉整理</w:t>
        <w:br/>
        <w:t>→ 部分決済の場合でも最低75%以上を本日中に削減</w:t>
      </w:r>
    </w:p>
    <w:p/>
    <w:p>
      <w:pPr>
        <w:shd w:val="clear" w:color="auto" w:fill="F2F2F2"/>
      </w:pPr>
      <w:r>
        <w:rPr>
          <w:rFonts w:ascii="Courier New" w:hAnsi="Courier New"/>
          <w:sz w:val="16"/>
        </w:rPr>
        <w:t>【STEP 2】空売り（ショート）検討者向け</w:t>
        <w:br/>
        <w:t>━━━━━━━━━━━━━━━━━━━━━━━━</w:t>
        <w:br/>
        <w:t>⚠️ 条件付き検討可（浅井指摘の貸株確認が必須前提）</w:t>
        <w:br/>
        <w:br/>
        <w:t>確認事項（エントリー前チェックリスト）：</w:t>
        <w:br/>
        <w:t>□ 証券会社の貸株在庫確認（小型株は枯渇リスク高）</w:t>
        <w:br/>
        <w:t>□ 信用売り可能銘柄であるか確認</w:t>
        <w:br/>
        <w:t>□ 逆日歩リスクの把握（踏み上げリスク）</w:t>
        <w:br/>
        <w:t>□ 特別調査委の発表タイミングリスク</w:t>
        <w:br/>
        <w:t xml:space="preserve">   （「軽微」発表で急騰→ショートスクイーズ危険）</w:t>
        <w:br/>
        <w:br/>
        <w:t>ショートエントリー条件：</w:t>
        <w:br/>
        <w:t>- 貸株確認済み</w:t>
        <w:br/>
        <w:t>- ポジションサイズを通常の1/3以下に限定</w:t>
        <w:br/>
        <w:t>- 損切りラインを厳格に設定（下記参照）</w:t>
      </w:r>
    </w:p>
    <w:p/>
    <w:p>
      <w:pPr>
        <w:pStyle w:val="Heading3"/>
      </w:pPr>
      <w:r>
        <w:rPr>
          <w:rFonts w:ascii="Meiryo UI" w:hAnsi="Meiryo UI"/>
          <w:color w:val="2E74B5"/>
        </w:rPr>
        <w:t>8-2. エントリー戦略・損切りライン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ロング（買い）</w:t>
            </w:r>
          </w:p>
        </w:tc>
        <w:tc>
          <w:tcPr>
            <w:tcW w:type="dxa" w:w="3135"/>
            <w:shd w:val="clear" w:color="auto" w:fill="2E74B5"/>
          </w:tcPr>
          <w:p>
            <w:r>
              <w:rPr>
                <w:rFonts w:ascii="Meiryo UI" w:hAnsi="Meiryo UI"/>
                <w:b/>
                <w:color w:val="FFFFFF"/>
                <w:sz w:val="18"/>
              </w:rPr>
              <w:t>ショート（売り）</w:t>
            </w:r>
          </w:p>
        </w:tc>
      </w:tr>
      <w:tr>
        <w:tc>
          <w:tcPr>
            <w:tcW w:type="dxa" w:w="3135"/>
          </w:tcPr>
          <w:p>
            <w:r>
              <w:rPr>
                <w:rFonts w:ascii="Meiryo UI" w:hAnsi="Meiryo UI"/>
                <w:sz w:val="18"/>
              </w:rPr>
              <w:t>現時点での推奨</w:t>
            </w:r>
          </w:p>
        </w:tc>
        <w:tc>
          <w:tcPr>
            <w:tcW w:type="dxa" w:w="3135"/>
          </w:tcPr>
          <w:p>
            <w:r>
              <w:rPr>
                <w:rFonts w:ascii="Meiryo UI" w:hAnsi="Meiryo UI"/>
                <w:sz w:val="18"/>
              </w:rPr>
              <w:t>禁止</w:t>
            </w:r>
          </w:p>
        </w:tc>
        <w:tc>
          <w:tcPr>
            <w:tcW w:type="dxa" w:w="3135"/>
          </w:tcPr>
          <w:p>
            <w:r>
              <w:rPr>
                <w:rFonts w:ascii="Meiryo UI" w:hAnsi="Meiryo UI"/>
                <w:sz w:val="18"/>
              </w:rPr>
              <w:t>条件付き可</w:t>
            </w:r>
          </w:p>
        </w:tc>
      </w:tr>
      <w:tr>
        <w:tc>
          <w:tcPr>
            <w:tcW w:type="dxa" w:w="3135"/>
            <w:shd w:val="clear" w:color="auto" w:fill="DDEBF7"/>
          </w:tcPr>
          <w:p>
            <w:r>
              <w:rPr>
                <w:rFonts w:ascii="Meiryo UI" w:hAnsi="Meiryo UI"/>
                <w:sz w:val="18"/>
              </w:rPr>
              <w:t>エントリーポイント</w:t>
            </w:r>
          </w:p>
        </w:tc>
        <w:tc>
          <w:tcPr>
            <w:tcW w:type="dxa" w:w="3135"/>
            <w:shd w:val="clear" w:color="auto" w:fill="DDEBF7"/>
          </w:tcPr>
          <w:p>
            <w:r>
              <w:rPr>
                <w:rFonts w:ascii="Meiryo UI" w:hAnsi="Meiryo UI"/>
                <w:sz w:val="18"/>
              </w:rPr>
              <w:t>調査報告書公表・損失確定後に再評価</w:t>
            </w:r>
          </w:p>
        </w:tc>
        <w:tc>
          <w:tcPr>
            <w:tcW w:type="dxa" w:w="3135"/>
            <w:shd w:val="clear" w:color="auto" w:fill="DDEBF7"/>
          </w:tcPr>
          <w:p>
            <w:r>
              <w:rPr>
                <w:rFonts w:ascii="Meiryo UI" w:hAnsi="Meiryo UI"/>
                <w:sz w:val="18"/>
              </w:rPr>
              <w:t>現在株価水準（または戻り売り）</w:t>
            </w:r>
          </w:p>
        </w:tc>
      </w:tr>
      <w:tr>
        <w:tc>
          <w:tcPr>
            <w:tcW w:type="dxa" w:w="3135"/>
          </w:tcPr>
          <w:p>
            <w:r>
              <w:rPr>
                <w:rFonts w:ascii="Meiryo UI" w:hAnsi="Meiryo UI"/>
                <w:sz w:val="18"/>
              </w:rPr>
              <w:t>損切りライン（ショート）</w:t>
            </w:r>
          </w:p>
        </w:tc>
        <w:tc>
          <w:tcPr>
            <w:tcW w:type="dxa" w:w="3135"/>
          </w:tcPr>
          <w:p>
            <w:r>
              <w:rPr>
                <w:rFonts w:ascii="Meiryo UI" w:hAnsi="Meiryo UI"/>
                <w:sz w:val="18"/>
              </w:rPr>
              <w:t>—</w:t>
            </w:r>
          </w:p>
        </w:tc>
        <w:tc>
          <w:tcPr>
            <w:tcW w:type="dxa" w:w="3135"/>
          </w:tcPr>
          <w:p>
            <w:r>
              <w:rPr>
                <w:rFonts w:ascii="Meiryo UI" w:hAnsi="Meiryo UI"/>
                <w:sz w:val="18"/>
              </w:rPr>
              <w:t>エントリー比 +15〜20% で即撤退</w:t>
            </w:r>
          </w:p>
        </w:tc>
      </w:tr>
      <w:tr>
        <w:tc>
          <w:tcPr>
            <w:tcW w:type="dxa" w:w="3135"/>
            <w:shd w:val="clear" w:color="auto" w:fill="DDEBF7"/>
          </w:tcPr>
          <w:p>
            <w:r>
              <w:rPr>
                <w:rFonts w:ascii="Meiryo UI" w:hAnsi="Meiryo UI"/>
                <w:sz w:val="18"/>
              </w:rPr>
              <w:t>利益確定ライン（ショート）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▲30〜50%（弱気シナリオ達成時）</w:t>
            </w:r>
          </w:p>
        </w:tc>
      </w:tr>
      <w:tr>
        <w:tc>
          <w:tcPr>
            <w:tcW w:type="dxa" w:w="3135"/>
          </w:tcPr>
          <w:p>
            <w:r>
              <w:rPr>
                <w:rFonts w:ascii="Meiryo UI" w:hAnsi="Meiryo UI"/>
                <w:sz w:val="18"/>
              </w:rPr>
              <w:t>ポジションサイズ上限</w:t>
            </w:r>
          </w:p>
        </w:tc>
        <w:tc>
          <w:tcPr>
            <w:tcW w:type="dxa" w:w="3135"/>
          </w:tcPr>
          <w:p>
            <w:r>
              <w:rPr>
                <w:rFonts w:ascii="Meiryo UI" w:hAnsi="Meiryo UI"/>
                <w:sz w:val="18"/>
              </w:rPr>
              <w:t>—</w:t>
            </w:r>
          </w:p>
        </w:tc>
        <w:tc>
          <w:tcPr>
            <w:tcW w:type="dxa" w:w="3135"/>
          </w:tcPr>
          <w:p>
            <w:r>
              <w:rPr>
                <w:rFonts w:ascii="Meiryo UI" w:hAnsi="Meiryo UI"/>
                <w:sz w:val="18"/>
              </w:rPr>
              <w:t>総ポートフォリオの3%以内</w:t>
            </w:r>
          </w:p>
        </w:tc>
      </w:tr>
    </w:tbl>
    <w:p/>
    <w:p>
      <w:pPr>
        <w:pStyle w:val="Heading3"/>
      </w:pPr>
      <w:r>
        <w:rPr>
          <w:rFonts w:ascii="Meiryo UI" w:hAnsi="Meiryo UI"/>
          <w:color w:val="2E74B5"/>
        </w:rPr>
        <w:t>8-3. 時間軸と観察スケジュール</w:t>
      </w:r>
    </w:p>
    <w:p/>
    <w:p>
      <w:pPr>
        <w:shd w:val="clear" w:color="auto" w:fill="F2F2F2"/>
      </w:pPr>
      <w:r>
        <w:rPr>
          <w:rFonts w:ascii="Courier New" w:hAnsi="Courier New"/>
          <w:sz w:val="16"/>
        </w:rPr>
        <w:t>【タイムライン】</w:t>
        <w:br/>
        <w:br/>
        <w:t>2026年4月（当月）</w:t>
        <w:br/>
        <w:t>├─ 貸株在庫確認 → ショート可否判断</w:t>
        <w:br/>
        <w:t>├─ 既存保有ポジションの整理完了</w:t>
        <w:br/>
        <w:t>└─ 特別調査委員会からの初期コメント注視</w:t>
        <w:br/>
        <w:br/>
        <w:t>2026年5月〜6月（中期）</w:t>
        <w:br/>
        <w:t>├─ 調査報告書（第一報 or 最終報）発表</w:t>
        <w:br/>
        <w:t>├─ 損失規模の確定 → シナリオ判断</w:t>
        <w:br/>
        <w:t>├─ 本決算発表（修正含む）</w:t>
        <w:br/>
        <w:t>└─ 監査法人の意見表明</w:t>
        <w:br/>
        <w:br/>
        <w:t>2026年7月以降（評価見直しタイミング）</w:t>
        <w:br/>
        <w:t>├─ 損失が「軽微」と確定 → ロング再検討（理論株価400〜750円ゾーン）</w:t>
        <w:br/>
        <w:t>├─ 損失が「大規模」と確定 → ショートホールド継続 or 倒産プレイ</w:t>
        <w:br/>
        <w:t>└─ 上場廃止リスク → ポジションゼロ維持</w:t>
      </w:r>
    </w:p>
    <w:p/>
    <w:p>
      <w:pPr>
        <w:pStyle w:val="Heading3"/>
      </w:pPr>
      <w:r>
        <w:rPr>
          <w:rFonts w:ascii="Meiryo UI" w:hAnsi="Meiryo UI"/>
          <w:color w:val="2E74B5"/>
        </w:rPr>
        <w:t>8-4. シナリオ別行動指針</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シナリオ確定時</w:t>
            </w:r>
          </w:p>
        </w:tc>
        <w:tc>
          <w:tcPr>
            <w:tcW w:type="dxa" w:w="4703"/>
            <w:shd w:val="clear" w:color="auto" w:fill="2E74B5"/>
          </w:tcPr>
          <w:p>
            <w:r>
              <w:rPr>
                <w:rFonts w:ascii="Meiryo UI" w:hAnsi="Meiryo UI"/>
                <w:b/>
                <w:color w:val="FFFFFF"/>
                <w:sz w:val="18"/>
              </w:rPr>
              <w:t>推奨アクション</w:t>
            </w:r>
          </w:p>
        </w:tc>
      </w:tr>
      <w:tr>
        <w:tc>
          <w:tcPr>
            <w:tcW w:type="dxa" w:w="4703"/>
          </w:tcPr>
          <w:p>
            <w:r>
              <w:rPr>
                <w:rFonts w:ascii="Meiryo UI" w:hAnsi="Meiryo UI"/>
                <w:sz w:val="18"/>
              </w:rPr>
              <w:t>🟢 損失軽微（1〜2億円）と確認</w:t>
            </w:r>
          </w:p>
        </w:tc>
        <w:tc>
          <w:tcPr>
            <w:tcW w:type="dxa" w:w="4703"/>
          </w:tcPr>
          <w:p>
            <w:r>
              <w:rPr>
                <w:rFonts w:ascii="Meiryo UI" w:hAnsi="Meiryo UI"/>
                <w:sz w:val="18"/>
              </w:rPr>
              <w:t>600〜700円以下で段階的にロング開始。目標1,000〜1,200円</w:t>
            </w:r>
          </w:p>
        </w:tc>
      </w:tr>
      <w:tr>
        <w:tc>
          <w:tcPr>
            <w:tcW w:type="dxa" w:w="4703"/>
            <w:shd w:val="clear" w:color="auto" w:fill="DDEBF7"/>
          </w:tcPr>
          <w:p>
            <w:r>
              <w:rPr>
                <w:rFonts w:ascii="Meiryo UI" w:hAnsi="Meiryo UI"/>
                <w:sz w:val="18"/>
              </w:rPr>
              <w:t>🟡 損失中程度（3〜5億円）と確認</w:t>
            </w:r>
          </w:p>
        </w:tc>
        <w:tc>
          <w:tcPr>
            <w:tcW w:type="dxa" w:w="4703"/>
            <w:shd w:val="clear" w:color="auto" w:fill="DDEBF7"/>
          </w:tcPr>
          <w:p>
            <w:r>
              <w:rPr>
                <w:rFonts w:ascii="Meiryo UI" w:hAnsi="Meiryo UI"/>
                <w:sz w:val="18"/>
              </w:rPr>
              <w:t>中立。300〜400円で打診買い、損切り250円</w:t>
            </w:r>
          </w:p>
        </w:tc>
      </w:tr>
      <w:tr>
        <w:tc>
          <w:tcPr>
            <w:tcW w:type="dxa" w:w="4703"/>
          </w:tcPr>
          <w:p>
            <w:r>
              <w:rPr>
                <w:rFonts w:ascii="Meiryo UI" w:hAnsi="Meiryo UI"/>
                <w:sz w:val="18"/>
              </w:rPr>
              <w:t>🔴 損失大規模（10億円超）と確認</w:t>
            </w:r>
          </w:p>
        </w:tc>
        <w:tc>
          <w:tcPr>
            <w:tcW w:type="dxa" w:w="4703"/>
          </w:tcPr>
          <w:p>
            <w:r>
              <w:rPr>
                <w:rFonts w:ascii="Meiryo UI" w:hAnsi="Meiryo UI"/>
                <w:sz w:val="18"/>
              </w:rPr>
              <w:t>ショートホールド継続。100円以下で利食い。上場廃止警戒</w:t>
            </w:r>
          </w:p>
        </w:tc>
      </w:tr>
      <w:tr>
        <w:tc>
          <w:tcPr>
            <w:tcW w:type="dxa" w:w="4703"/>
            <w:shd w:val="clear" w:color="auto" w:fill="DDEBF7"/>
          </w:tcPr>
          <w:p>
            <w:r>
              <w:rPr>
                <w:rFonts w:ascii="Meiryo UI" w:hAnsi="Meiryo UI"/>
                <w:sz w:val="18"/>
              </w:rPr>
              <w:t>⚫ 過年度修正・監査意見不適正</w:t>
            </w:r>
          </w:p>
        </w:tc>
        <w:tc>
          <w:tcPr>
            <w:tcW w:type="dxa" w:w="4703"/>
            <w:shd w:val="clear" w:color="auto" w:fill="DDEBF7"/>
          </w:tcPr>
          <w:p>
            <w:r>
              <w:rPr>
                <w:rFonts w:ascii="Meiryo UI" w:hAnsi="Meiryo UI"/>
                <w:sz w:val="18"/>
              </w:rPr>
              <w:t>全ポジション即時クローズ。完全回避</w:t>
            </w:r>
          </w:p>
        </w:tc>
      </w:tr>
    </w:tbl>
    <w:p/>
    <w:p>
      <w:r>
        <w:t>──────────────────────────────────────────────────</w:t>
      </w:r>
    </w:p>
    <w:p/>
    <w:p>
      <w:pPr>
        <w:pStyle w:val="Heading2"/>
      </w:pPr>
      <w:r>
        <w:rPr>
          <w:rFonts w:ascii="Meiryo UI" w:hAnsi="Meiryo UI"/>
          <w:color w:val="2E74B5"/>
        </w:rPr>
        <w:t>付録：主要リスクファクター一覧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t>
            </w:r>
          </w:p>
        </w:tc>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発現確率</w:t>
            </w:r>
          </w:p>
        </w:tc>
      </w:tr>
    </w:tbl>
    <w:p>
      <w:r>
        <w:rPr>
          <w:rFonts w:ascii="Meiryo UI" w:hAnsi="Meiryo UI"/>
          <w:sz w:val="20"/>
        </w:rPr>
        <w:t>| 1 | 不正損</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46670_アイサンテクノロ_SELL_DeepResearch_20260404.md を出力しました。</w:t>
      </w:r>
    </w:p>
    <w:p>
      <w:r>
        <w:rPr>
          <w:rFonts w:ascii="Meiryo UI" w:hAnsi="Meiryo UI"/>
          <w:sz w:val="20"/>
        </w:rPr>
        <w:t>浅井スコア -85 の銘柄 [46670]アイサンテクノロジー についてDeepResearch完了。</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