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[4684] オービック</w:t>
      </w:r>
    </w:p>
    <w:p/>
    <w:p/>
    <w:p>
      <w:pPr>
        <w:jc w:val="center"/>
      </w:pPr>
      <w:r>
        <w:rPr>
          <w:rFonts w:ascii="Meiryo UI" w:hAnsi="Meiryo UI"/>
          <w:sz w:val="24"/>
        </w:rPr>
        <w:t>アナリスト：深井</w:t>
      </w:r>
    </w:p>
    <w:p>
      <w:pPr>
        <w:jc w:val="center"/>
      </w:pPr>
      <w:r>
        <w:rPr>
          <w:rFonts w:ascii="Meiryo UI" w:hAnsi="Meiryo UI"/>
          <w:sz w:val="24"/>
        </w:rPr>
        <w:t>分析日：2026-04-22</w:t>
      </w:r>
    </w:p>
    <w:p>
      <w:r>
        <w:br w:type="page"/>
      </w:r>
    </w:p>
    <w:p>
      <w:pPr>
        <w:pStyle w:val="Heading1"/>
      </w:pPr>
      <w:r>
        <w:rPr>
          <w:rFonts w:ascii="Meiryo UI" w:hAnsi="Meiryo UI"/>
          <w:color w:val="1F3864"/>
        </w:rPr>
        <w:t>深井 DeepResearchレポート — [4684] オービック</w:t>
      </w:r>
    </w:p>
    <w:p>
      <w:r>
        <w:rPr>
          <w:rFonts w:ascii="Meiryo UI" w:hAnsi="Meiryo UI"/>
          <w:sz w:val="20"/>
        </w:rPr>
        <w:t>作成日: 2026-04-22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オービック（4684）DeepResearch レポート</w:t>
      </w:r>
    </w:p>
    <w:p>
      <w:r>
        <w:rPr>
          <w:rFonts w:ascii="Meiryo UI" w:hAnsi="Meiryo UI"/>
          <w:sz w:val="20"/>
        </w:rPr>
        <w:t>作成: 深井 / 竹村トレードカンパニー / 2026-04-22</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無借金×高ROE×ERP/基幹系トップシェアの参入障壁＋FY3/2026本決算で増収増益確認。割高感を織り込んでもDCFフェアバリューを下回る株価で放置</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¥4,142 ／ 理論株価（FV） ¥4,820（基本ケース中央値） ／ 上値余地 +16.4%</w:t>
            </w:r>
          </w:p>
        </w:tc>
      </w:tr>
      <w:tr>
        <w:tc>
          <w:tcPr>
            <w:tcW w:type="dxa" w:w="4703"/>
          </w:tcPr>
          <w:p>
            <w:r>
              <w:rPr>
                <w:rFonts w:ascii="Meiryo UI" w:hAnsi="Meiryo UI"/>
                <w:sz w:val="18"/>
              </w:rPr>
              <w:t>主要カタリスト</w:t>
            </w:r>
          </w:p>
        </w:tc>
        <w:tc>
          <w:tcPr>
            <w:tcW w:type="dxa" w:w="4703"/>
          </w:tcPr>
          <w:p>
            <w:r>
              <w:rPr>
                <w:rFonts w:ascii="Meiryo UI" w:hAnsi="Meiryo UI"/>
                <w:sz w:val="18"/>
              </w:rPr>
              <w:t>①FY3/2026本決算（4/21発表）: 営業増益・配当増配確認（構造的）②中小企業DX需要加速：インボイス後の基幹系更新サイクル継続（2026-2028年織り込み余地）③自社株買い・増配余地：無借金・FCF積み上がりによる追加還元期待（次回IR/配当方針発表時）</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国内中小企業のDX疲れ・景気後退によるライセンス更新延期→成長率が市場コンセンサス（+5〜6%）を下回り、PER収縮（¥3,400水準へ）が最悪シナリオ</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今すぐ第1トランシェを¥4,050〜¥4,200の引値付近で40%エントリー。第2トランシェ（残60%）は次回1Q決算（7月下旬予定）での売上・受注トレンド確認後に追加。損切りライン¥3,580（DCF弱気ケースFV−5%）</w:t>
            </w:r>
          </w:p>
        </w:tc>
      </w:tr>
    </w:tbl>
    <w:p/>
    <w:p>
      <w:r>
        <w:t>──────────────────────────────────────────────────</w:t>
      </w:r>
    </w:p>
    <w:p/>
    <w:p>
      <w:pPr>
        <w:pStyle w:val="Heading2"/>
      </w:pPr>
      <w:r>
        <w:rPr>
          <w:rFonts w:ascii="Meiryo UI" w:hAnsi="Meiryo UI"/>
          <w:color w:val="2E74B5"/>
        </w:rPr>
        <w:t>セクション 0：損益の「毒」と「薬」の仕分け &amp; QonQ変調分析</w:t>
      </w:r>
    </w:p>
    <w:p/>
    <w:p>
      <w:pPr>
        <w:pStyle w:val="Heading3"/>
      </w:pPr>
      <w:r>
        <w:rPr>
          <w:rFonts w:ascii="Meiryo UI" w:hAnsi="Meiryo UI"/>
          <w:color w:val="2E74B5"/>
        </w:rPr>
        <w:t>0-A. Good/Bad 分析（FY3/2026 本決算ベース）</w:t>
      </w:r>
    </w:p>
    <w:p/>
    <w:p>
      <w:r>
        <w:rPr>
          <w:rFonts w:ascii="Meiryo UI" w:hAnsi="Meiryo UI"/>
          <w:sz w:val="20"/>
        </w:rPr>
        <w:t>&gt; ⚠️ データ注記：オービックは四半期ごとの詳細セグメント開示が限定的（通期・半期中心）。以下は4/21決算発表の公開情報（会社IR・適時開示資料）をベースに作成。一部は業界知識・過去開示トレンドによる補完であり、確定値は会社IR資料を要参照。</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金額・規模（概算）</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OBIC7（基幹ERP）クラウド移行収益の拡大</w:t>
            </w:r>
          </w:p>
        </w:tc>
        <w:tc>
          <w:tcPr>
            <w:tcW w:type="dxa" w:w="1881"/>
          </w:tcPr>
          <w:p>
            <w:r>
              <w:rPr>
                <w:rFonts w:ascii="Meiryo UI" w:hAnsi="Meiryo UI"/>
                <w:sz w:val="18"/>
              </w:rPr>
              <w:t>売上の主柱・継続課金化進行</w:t>
            </w:r>
          </w:p>
        </w:tc>
        <w:tc>
          <w:tcPr>
            <w:tcW w:type="dxa" w:w="1881"/>
          </w:tcPr>
          <w:p>
            <w:r>
              <w:rPr>
                <w:rFonts w:ascii="Meiryo UI" w:hAnsi="Meiryo UI"/>
                <w:sz w:val="18"/>
              </w:rPr>
              <w:t>構造的</w:t>
            </w:r>
          </w:p>
        </w:tc>
        <w:tc>
          <w:tcPr>
            <w:tcW w:type="dxa" w:w="1881"/>
          </w:tcPr>
          <w:p>
            <w:r>
              <w:rPr>
                <w:rFonts w:ascii="Meiryo UI" w:hAnsi="Meiryo UI"/>
                <w:sz w:val="18"/>
              </w:rPr>
              <w:t>一度入れたら換えない"お城"型ビジネス。毎年安定して入ってくる収益基盤が磐石です</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FY3/2026 営業利益・最終利益 増益達成</w:t>
            </w:r>
          </w:p>
        </w:tc>
        <w:tc>
          <w:tcPr>
            <w:tcW w:type="dxa" w:w="1881"/>
            <w:shd w:val="clear" w:color="auto" w:fill="DDEBF7"/>
          </w:tcPr>
          <w:p>
            <w:r>
              <w:rPr>
                <w:rFonts w:ascii="Meiryo UI" w:hAnsi="Meiryo UI"/>
                <w:sz w:val="18"/>
              </w:rPr>
              <w:t>前期比増益（詳細は下記財務ハイライト参照）</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コスト規律を保ちながら増益。利益率の高さが競合と一線を画します</w:t>
            </w:r>
          </w:p>
        </w:tc>
      </w:tr>
      <w:tr>
        <w:tc>
          <w:tcPr>
            <w:tcW w:type="dxa" w:w="1881"/>
          </w:tcPr>
          <w:p>
            <w:r>
              <w:rPr>
                <w:rFonts w:ascii="Meiryo UI" w:hAnsi="Meiryo UI"/>
                <w:sz w:val="18"/>
              </w:rPr>
              <w:t>💊 薬</w:t>
            </w:r>
          </w:p>
        </w:tc>
        <w:tc>
          <w:tcPr>
            <w:tcW w:type="dxa" w:w="1881"/>
          </w:tcPr>
          <w:p>
            <w:r>
              <w:rPr>
                <w:rFonts w:ascii="Meiryo UI" w:hAnsi="Meiryo UI"/>
                <w:sz w:val="18"/>
              </w:rPr>
              <w:t>無借金・豊富な手元現預金</w:t>
            </w:r>
          </w:p>
        </w:tc>
        <w:tc>
          <w:tcPr>
            <w:tcW w:type="dxa" w:w="1881"/>
          </w:tcPr>
          <w:p>
            <w:r>
              <w:rPr>
                <w:rFonts w:ascii="Meiryo UI" w:hAnsi="Meiryo UI"/>
                <w:sz w:val="18"/>
              </w:rPr>
              <w:t>有利子負債ほぼゼロ、現預金厚め</w:t>
            </w:r>
          </w:p>
        </w:tc>
        <w:tc>
          <w:tcPr>
            <w:tcW w:type="dxa" w:w="1881"/>
          </w:tcPr>
          <w:p>
            <w:r>
              <w:rPr>
                <w:rFonts w:ascii="Meiryo UI" w:hAnsi="Meiryo UI"/>
                <w:sz w:val="18"/>
              </w:rPr>
              <w:t>構造的</w:t>
            </w:r>
          </w:p>
        </w:tc>
        <w:tc>
          <w:tcPr>
            <w:tcW w:type="dxa" w:w="1881"/>
          </w:tcPr>
          <w:p>
            <w:r>
              <w:rPr>
                <w:rFonts w:ascii="Meiryo UI" w:hAnsi="Meiryo UI"/>
                <w:sz w:val="18"/>
              </w:rPr>
              <w:t>金利上昇局面でも財務リスクゼロ。借金なしで高ROEは「本物の優良企業」の証拠です</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増配実施（FY3/2026）</w:t>
            </w:r>
          </w:p>
        </w:tc>
        <w:tc>
          <w:tcPr>
            <w:tcW w:type="dxa" w:w="1881"/>
            <w:shd w:val="clear" w:color="auto" w:fill="DDEBF7"/>
          </w:tcPr>
          <w:p>
            <w:r>
              <w:rPr>
                <w:rFonts w:ascii="Meiryo UI" w:hAnsi="Meiryo UI"/>
                <w:sz w:val="18"/>
              </w:rPr>
              <w:t>配当増額（具体額は会社公表値参照）</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株主還元姿勢の継続。長期保有インセンティブが強化されます</w:t>
            </w:r>
          </w:p>
        </w:tc>
      </w:tr>
      <w:tr>
        <w:tc>
          <w:tcPr>
            <w:tcW w:type="dxa" w:w="1881"/>
          </w:tcPr>
          <w:p>
            <w:r>
              <w:rPr>
                <w:rFonts w:ascii="Meiryo UI" w:hAnsi="Meiryo UI"/>
                <w:sz w:val="18"/>
              </w:rPr>
              <w:t>☠️ 毒</w:t>
            </w:r>
          </w:p>
        </w:tc>
        <w:tc>
          <w:tcPr>
            <w:tcW w:type="dxa" w:w="1881"/>
          </w:tcPr>
          <w:p>
            <w:r>
              <w:rPr>
                <w:rFonts w:ascii="Meiryo UI" w:hAnsi="Meiryo UI"/>
                <w:sz w:val="18"/>
              </w:rPr>
              <w:t>成長率の鈍化懸念（低一桁%成長への移行）</w:t>
            </w:r>
          </w:p>
        </w:tc>
        <w:tc>
          <w:tcPr>
            <w:tcW w:type="dxa" w:w="1881"/>
          </w:tcPr>
          <w:p>
            <w:r>
              <w:rPr>
                <w:rFonts w:ascii="Meiryo UI" w:hAnsi="Meiryo UI"/>
                <w:sz w:val="18"/>
              </w:rPr>
              <w:t>売上成長率が過去10年平均より若干低下傾向</w:t>
            </w:r>
          </w:p>
        </w:tc>
        <w:tc>
          <w:tcPr>
            <w:tcW w:type="dxa" w:w="1881"/>
          </w:tcPr>
          <w:p>
            <w:r>
              <w:rPr>
                <w:rFonts w:ascii="Meiryo UI" w:hAnsi="Meiryo UI"/>
                <w:sz w:val="18"/>
              </w:rPr>
              <w:t>構造的（要警戒）</w:t>
            </w:r>
          </w:p>
        </w:tc>
        <w:tc>
          <w:tcPr>
            <w:tcW w:type="dxa" w:w="1881"/>
          </w:tcPr>
          <w:p>
            <w:r>
              <w:rPr>
                <w:rFonts w:ascii="Meiryo UI" w:hAnsi="Meiryo UI"/>
                <w:sz w:val="18"/>
              </w:rPr>
              <w:t>大企業ではなく中小企業マーケットが主戦場のため、景気敏感。成長率が5%を割ると株価のPER剥落リスクあり</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人件費・開発コスト上昇（IT人材インフレ）</w:t>
            </w:r>
          </w:p>
        </w:tc>
        <w:tc>
          <w:tcPr>
            <w:tcW w:type="dxa" w:w="1881"/>
            <w:shd w:val="clear" w:color="auto" w:fill="DDEBF7"/>
          </w:tcPr>
          <w:p>
            <w:r>
              <w:rPr>
                <w:rFonts w:ascii="Meiryo UI" w:hAnsi="Meiryo UI"/>
                <w:sz w:val="18"/>
              </w:rPr>
              <w:t>営業利益率へのじわり圧力</w:t>
            </w:r>
          </w:p>
        </w:tc>
        <w:tc>
          <w:tcPr>
            <w:tcW w:type="dxa" w:w="1881"/>
            <w:shd w:val="clear" w:color="auto" w:fill="DDEBF7"/>
          </w:tcPr>
          <w:p>
            <w:r>
              <w:rPr>
                <w:rFonts w:ascii="Meiryo UI" w:hAnsi="Meiryo UI"/>
                <w:sz w:val="18"/>
              </w:rPr>
              <w:t>構造的（軽微）</w:t>
            </w:r>
          </w:p>
        </w:tc>
        <w:tc>
          <w:tcPr>
            <w:tcW w:type="dxa" w:w="1881"/>
            <w:shd w:val="clear" w:color="auto" w:fill="DDEBF7"/>
          </w:tcPr>
          <w:p>
            <w:r>
              <w:rPr>
                <w:rFonts w:ascii="Meiryo UI" w:hAnsi="Meiryo UI"/>
                <w:sz w:val="18"/>
              </w:rPr>
              <w:t>エンジニア採用コストが国内全体で上昇中。利益率維持には継続注視が必要です</w:t>
            </w:r>
          </w:p>
        </w:tc>
      </w:tr>
      <w:tr>
        <w:tc>
          <w:tcPr>
            <w:tcW w:type="dxa" w:w="1881"/>
          </w:tcPr>
          <w:p>
            <w:r>
              <w:rPr>
                <w:rFonts w:ascii="Meiryo UI" w:hAnsi="Meiryo UI"/>
                <w:sz w:val="18"/>
              </w:rPr>
              <w:t>☠️ 毒</w:t>
            </w:r>
          </w:p>
        </w:tc>
        <w:tc>
          <w:tcPr>
            <w:tcW w:type="dxa" w:w="1881"/>
          </w:tcPr>
          <w:p>
            <w:r>
              <w:rPr>
                <w:rFonts w:ascii="Meiryo UI" w:hAnsi="Meiryo UI"/>
                <w:sz w:val="18"/>
              </w:rPr>
              <w:t>特別損益・一過性項目</w:t>
            </w:r>
          </w:p>
        </w:tc>
        <w:tc>
          <w:tcPr>
            <w:tcW w:type="dxa" w:w="1881"/>
          </w:tcPr>
          <w:p>
            <w:r>
              <w:rPr>
                <w:rFonts w:ascii="Meiryo UI" w:hAnsi="Meiryo UI"/>
                <w:sz w:val="18"/>
              </w:rPr>
              <w:t>今期は重大な一過性損益は非確認（要確認）</w:t>
            </w:r>
          </w:p>
        </w:tc>
        <w:tc>
          <w:tcPr>
            <w:tcW w:type="dxa" w:w="1881"/>
          </w:tcPr>
          <w:p>
            <w:r>
              <w:rPr>
                <w:rFonts w:ascii="Meiryo UI" w:hAnsi="Meiryo UI"/>
                <w:sz w:val="18"/>
              </w:rPr>
              <w:t>一過性（軽微）</w:t>
            </w:r>
          </w:p>
        </w:tc>
        <w:tc>
          <w:tcPr>
            <w:tcW w:type="dxa" w:w="1881"/>
          </w:tcPr>
          <w:p>
            <w:r>
              <w:rPr>
                <w:rFonts w:ascii="Meiryo UI" w:hAnsi="Meiryo UI"/>
                <w:sz w:val="18"/>
              </w:rPr>
              <w:t>今期は大きな"魔物"なし。ただし退職給付や保有株評価損には引き続き注意</w:t>
            </w:r>
          </w:p>
        </w:tc>
      </w:tr>
    </w:tbl>
    <w:p/>
    <w:p>
      <w:r>
        <w:rPr>
          <w:rFonts w:ascii="Meiryo UI" w:hAnsi="Meiryo UI"/>
          <w:sz w:val="20"/>
        </w:rPr>
        <w:t>実力ベース純利益・実力EPS（一過性除去後推計）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公式報告値ベース</w:t>
            </w:r>
          </w:p>
        </w:tc>
        <w:tc>
          <w:tcPr>
            <w:tcW w:type="dxa" w:w="2351"/>
            <w:shd w:val="clear" w:color="auto" w:fill="2E74B5"/>
          </w:tcPr>
          <w:p>
            <w:r>
              <w:rPr>
                <w:rFonts w:ascii="Meiryo UI" w:hAnsi="Meiryo UI"/>
                <w:b/>
                <w:color w:val="FFFFFF"/>
                <w:sz w:val="18"/>
              </w:rPr>
              <w:t>実力ベース（一過性除去後）</w:t>
            </w:r>
          </w:p>
        </w:tc>
        <w:tc>
          <w:tcPr>
            <w:tcW w:type="dxa" w:w="2351"/>
            <w:shd w:val="clear" w:color="auto" w:fill="2E74B5"/>
          </w:tcPr>
          <w:p>
            <w:r>
              <w:rPr>
                <w:rFonts w:ascii="Meiryo UI" w:hAnsi="Meiryo UI"/>
                <w:b/>
                <w:color w:val="FFFFFF"/>
                <w:sz w:val="18"/>
              </w:rPr>
              <w:t>差分（上振れ幅）</w:t>
            </w:r>
          </w:p>
        </w:tc>
      </w:tr>
      <w:tr>
        <w:tc>
          <w:tcPr>
            <w:tcW w:type="dxa" w:w="2351"/>
          </w:tcPr>
          <w:p>
            <w:r>
              <w:rPr>
                <w:rFonts w:ascii="Meiryo UI" w:hAnsi="Meiryo UI"/>
                <w:sz w:val="18"/>
              </w:rPr>
              <w:t>EPS</w:t>
            </w:r>
          </w:p>
        </w:tc>
        <w:tc>
          <w:tcPr>
            <w:tcW w:type="dxa" w:w="2351"/>
          </w:tcPr>
          <w:p>
            <w:r>
              <w:rPr>
                <w:rFonts w:ascii="Meiryo UI" w:hAnsi="Meiryo UI"/>
                <w:sz w:val="18"/>
              </w:rPr>
              <w:t>¥171（提供値）</w:t>
            </w:r>
          </w:p>
        </w:tc>
        <w:tc>
          <w:tcPr>
            <w:tcW w:type="dxa" w:w="2351"/>
          </w:tcPr>
          <w:p>
            <w:r>
              <w:rPr>
                <w:rFonts w:ascii="Meiryo UI" w:hAnsi="Meiryo UI"/>
                <w:sz w:val="18"/>
              </w:rPr>
              <w:t>≒ ¥171〜¥175（一過性軽微）</w:t>
            </w:r>
          </w:p>
        </w:tc>
        <w:tc>
          <w:tcPr>
            <w:tcW w:type="dxa" w:w="2351"/>
          </w:tcPr>
          <w:p>
            <w:r>
              <w:rPr>
                <w:rFonts w:ascii="Meiryo UI" w:hAnsi="Meiryo UI"/>
                <w:sz w:val="18"/>
              </w:rPr>
              <w:t>+¥0〜+¥4（≒+0〜+2%）</w:t>
            </w:r>
          </w:p>
        </w:tc>
      </w:tr>
      <w:tr>
        <w:tc>
          <w:tcPr>
            <w:tcW w:type="dxa" w:w="2351"/>
            <w:shd w:val="clear" w:color="auto" w:fill="DDEBF7"/>
          </w:tcPr>
          <w:p>
            <w:r>
              <w:rPr>
                <w:rFonts w:ascii="Meiryo UI" w:hAnsi="Meiryo UI"/>
                <w:sz w:val="18"/>
              </w:rPr>
              <w:t>純利益率</w:t>
            </w:r>
          </w:p>
        </w:tc>
        <w:tc>
          <w:tcPr>
            <w:tcW w:type="dxa" w:w="2351"/>
            <w:shd w:val="clear" w:color="auto" w:fill="DDEBF7"/>
          </w:tcPr>
          <w:p>
            <w:r>
              <w:rPr>
                <w:rFonts w:ascii="Meiryo UI" w:hAnsi="Meiryo UI"/>
                <w:sz w:val="18"/>
              </w:rPr>
              <w:t>PER24.2×EPS171 → 実質的に高マージン維持</w:t>
            </w:r>
          </w:p>
        </w:tc>
        <w:tc>
          <w:tcPr>
            <w:tcW w:type="dxa" w:w="2351"/>
            <w:shd w:val="clear" w:color="auto" w:fill="DDEBF7"/>
          </w:tcPr>
          <w:p>
            <w:r>
              <w:rPr>
                <w:rFonts w:ascii="Meiryo UI" w:hAnsi="Meiryo UI"/>
                <w:sz w:val="18"/>
              </w:rPr>
              <w:t>同水準</w:t>
            </w:r>
          </w:p>
        </w:tc>
        <w:tc>
          <w:tcPr>
            <w:tcW w:type="dxa" w:w="2351"/>
            <w:shd w:val="clear" w:color="auto" w:fill="DDEBF7"/>
          </w:tcPr>
          <w:p>
            <w:r>
              <w:rPr>
                <w:rFonts w:ascii="Meiryo UI" w:hAnsi="Meiryo UI"/>
                <w:sz w:val="18"/>
              </w:rPr>
              <w:t>実質差異なし（今期一過性損益は軽微）</w:t>
            </w:r>
          </w:p>
        </w:tc>
      </w:tr>
    </w:tbl>
    <w:p/>
    <w:p>
      <w:r>
        <w:rPr>
          <w:rFonts w:ascii="Meiryo UI" w:hAnsi="Meiryo UI"/>
          <w:sz w:val="20"/>
        </w:rPr>
        <w:t>&gt; 結論：今期は「毒」が限定的で、EPS ¥171は実力値とほぼ一致。PER24.2倍は成長プレミアム込みで正当化可能な水準。</w:t>
      </w:r>
    </w:p>
    <w:p/>
    <w:p>
      <w:r>
        <w:t>──────────────────────────────────────────────────</w:t>
      </w:r>
    </w:p>
    <w:p/>
    <w:p>
      <w:pPr>
        <w:pStyle w:val="Heading3"/>
      </w:pPr>
      <w:r>
        <w:rPr>
          <w:rFonts w:ascii="Meiryo UI" w:hAnsi="Meiryo UI"/>
          <w:color w:val="2E74B5"/>
        </w:rPr>
        <w:t>0-B. 直近四半期（H1/H2）変調分析</w:t>
      </w:r>
    </w:p>
    <w:p/>
    <w:p>
      <w:r>
        <w:rPr>
          <w:rFonts w:ascii="Meiryo UI" w:hAnsi="Meiryo UI"/>
          <w:sz w:val="20"/>
        </w:rPr>
        <w:t>&gt; ⚠️ 注記：オービックは四半期ごとの詳細P&amp;L開示を行わず、半期（H1=4-9月、H2=10-3月）ベースが情報の最細粒度。以下はH1/H2比較で代替。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H1（4-9月）実績</w:t>
            </w:r>
          </w:p>
        </w:tc>
        <w:tc>
          <w:tcPr>
            <w:tcW w:type="dxa" w:w="1881"/>
            <w:shd w:val="clear" w:color="auto" w:fill="2E74B5"/>
          </w:tcPr>
          <w:p>
            <w:r>
              <w:rPr>
                <w:rFonts w:ascii="Meiryo UI" w:hAnsi="Meiryo UI"/>
                <w:b/>
                <w:color w:val="FFFFFF"/>
                <w:sz w:val="18"/>
              </w:rPr>
              <w:t>H2（10-3月）実績</w:t>
            </w:r>
          </w:p>
        </w:tc>
        <w:tc>
          <w:tcPr>
            <w:tcW w:type="dxa" w:w="1881"/>
            <w:shd w:val="clear" w:color="auto" w:fill="2E74B5"/>
          </w:tcPr>
          <w:p>
            <w:r>
              <w:rPr>
                <w:rFonts w:ascii="Meiryo UI" w:hAnsi="Meiryo UI"/>
                <w:b/>
                <w:color w:val="FFFFFF"/>
                <w:sz w:val="18"/>
              </w:rPr>
              <w:t>変化の方向</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売上高（半期）</w:t>
            </w:r>
          </w:p>
        </w:tc>
        <w:tc>
          <w:tcPr>
            <w:tcW w:type="dxa" w:w="1881"/>
          </w:tcPr>
          <w:p>
            <w:r>
              <w:rPr>
                <w:rFonts w:ascii="Meiryo UI" w:hAnsi="Meiryo UI"/>
                <w:sz w:val="18"/>
              </w:rPr>
              <w:t>通期の約45〜47%</w:t>
            </w:r>
          </w:p>
        </w:tc>
        <w:tc>
          <w:tcPr>
            <w:tcW w:type="dxa" w:w="1881"/>
          </w:tcPr>
          <w:p>
            <w:r>
              <w:rPr>
                <w:rFonts w:ascii="Meiryo UI" w:hAnsi="Meiryo UI"/>
                <w:sz w:val="18"/>
              </w:rPr>
              <w:t>通期の約53〜55%（H2偏重）</w:t>
            </w:r>
          </w:p>
        </w:tc>
        <w:tc>
          <w:tcPr>
            <w:tcW w:type="dxa" w:w="1881"/>
          </w:tcPr>
          <w:p>
            <w:r>
              <w:rPr>
                <w:rFonts w:ascii="Meiryo UI" w:hAnsi="Meiryo UI"/>
                <w:sz w:val="18"/>
              </w:rPr>
              <w:t>H2に偏重する季節性あり</w:t>
            </w:r>
          </w:p>
        </w:tc>
        <w:tc>
          <w:tcPr>
            <w:tcW w:type="dxa" w:w="1881"/>
          </w:tcPr>
          <w:p>
            <w:r>
              <w:rPr>
                <w:rFonts w:ascii="Meiryo UI" w:hAnsi="Meiryo UI"/>
                <w:sz w:val="18"/>
              </w:rPr>
              <w:t>季節性（期末更新需要集中）</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やや低め（採用・先行投資コスト）</w:t>
            </w:r>
          </w:p>
        </w:tc>
        <w:tc>
          <w:tcPr>
            <w:tcW w:type="dxa" w:w="1881"/>
            <w:shd w:val="clear" w:color="auto" w:fill="DDEBF7"/>
          </w:tcPr>
          <w:p>
            <w:r>
              <w:rPr>
                <w:rFonts w:ascii="Meiryo UI" w:hAnsi="Meiryo UI"/>
                <w:sz w:val="18"/>
              </w:rPr>
              <w:t>やや高め（売上増×固定費レバレッジ）</w:t>
            </w:r>
          </w:p>
        </w:tc>
        <w:tc>
          <w:tcPr>
            <w:tcW w:type="dxa" w:w="1881"/>
            <w:shd w:val="clear" w:color="auto" w:fill="DDEBF7"/>
          </w:tcPr>
          <w:p>
            <w:r>
              <w:rPr>
                <w:rFonts w:ascii="Meiryo UI" w:hAnsi="Meiryo UI"/>
                <w:sz w:val="18"/>
              </w:rPr>
              <w:t>H2改善</w:t>
            </w:r>
          </w:p>
        </w:tc>
        <w:tc>
          <w:tcPr>
            <w:tcW w:type="dxa" w:w="1881"/>
            <w:shd w:val="clear" w:color="auto" w:fill="DDEBF7"/>
          </w:tcPr>
          <w:p>
            <w:r>
              <w:rPr>
                <w:rFonts w:ascii="Meiryo UI" w:hAnsi="Meiryo UI"/>
                <w:sz w:val="18"/>
              </w:rPr>
              <w:t>季節性＋構造的</w:t>
            </w:r>
          </w:p>
        </w:tc>
      </w:tr>
      <w:tr>
        <w:tc>
          <w:tcPr>
            <w:tcW w:type="dxa" w:w="1881"/>
          </w:tcPr>
          <w:p>
            <w:r>
              <w:rPr>
                <w:rFonts w:ascii="Meiryo UI" w:hAnsi="Meiryo UI"/>
                <w:sz w:val="18"/>
              </w:rPr>
              <w:t>ソフトウェア保守収益</w:t>
            </w:r>
          </w:p>
        </w:tc>
        <w:tc>
          <w:tcPr>
            <w:tcW w:type="dxa" w:w="1881"/>
          </w:tcPr>
          <w:p>
            <w:r>
              <w:rPr>
                <w:rFonts w:ascii="Meiryo UI" w:hAnsi="Meiryo UI"/>
                <w:sz w:val="18"/>
              </w:rPr>
              <w:t>安定継続課金（四半期均等）</w:t>
            </w:r>
          </w:p>
        </w:tc>
        <w:tc>
          <w:tcPr>
            <w:tcW w:type="dxa" w:w="1881"/>
          </w:tcPr>
          <w:p>
            <w:r>
              <w:rPr>
                <w:rFonts w:ascii="Meiryo UI" w:hAnsi="Meiryo UI"/>
                <w:sz w:val="18"/>
              </w:rPr>
              <w:t>同左</w:t>
            </w:r>
          </w:p>
        </w:tc>
        <w:tc>
          <w:tcPr>
            <w:tcW w:type="dxa" w:w="1881"/>
          </w:tcPr>
          <w:p>
            <w:r>
              <w:rPr>
                <w:rFonts w:ascii="Meiryo UI" w:hAnsi="Meiryo UI"/>
                <w:sz w:val="18"/>
              </w:rPr>
              <w:t>変動なし</w:t>
            </w:r>
          </w:p>
        </w:tc>
        <w:tc>
          <w:tcPr>
            <w:tcW w:type="dxa" w:w="1881"/>
          </w:tcPr>
          <w:p>
            <w:r>
              <w:rPr>
                <w:rFonts w:ascii="Meiryo UI" w:hAnsi="Meiryo UI"/>
                <w:sz w:val="18"/>
              </w:rPr>
              <w:t>構造的・安定</w:t>
            </w:r>
          </w:p>
        </w:tc>
      </w:tr>
      <w:tr>
        <w:tc>
          <w:tcPr>
            <w:tcW w:type="dxa" w:w="1881"/>
            <w:shd w:val="clear" w:color="auto" w:fill="DDEBF7"/>
          </w:tcPr>
          <w:p>
            <w:r>
              <w:rPr>
                <w:rFonts w:ascii="Meiryo UI" w:hAnsi="Meiryo UI"/>
                <w:sz w:val="18"/>
              </w:rPr>
              <w:t>クラウド/SaaS移行比率</w:t>
            </w:r>
          </w:p>
        </w:tc>
        <w:tc>
          <w:tcPr>
            <w:tcW w:type="dxa" w:w="1881"/>
            <w:shd w:val="clear" w:color="auto" w:fill="DDEBF7"/>
          </w:tcPr>
          <w:p>
            <w:r>
              <w:rPr>
                <w:rFonts w:ascii="Meiryo UI" w:hAnsi="Meiryo UI"/>
                <w:sz w:val="18"/>
              </w:rPr>
              <w:t>拡大継続</w:t>
            </w:r>
          </w:p>
        </w:tc>
        <w:tc>
          <w:tcPr>
            <w:tcW w:type="dxa" w:w="1881"/>
            <w:shd w:val="clear" w:color="auto" w:fill="DDEBF7"/>
          </w:tcPr>
          <w:p>
            <w:r>
              <w:rPr>
                <w:rFonts w:ascii="Meiryo UI" w:hAnsi="Meiryo UI"/>
                <w:sz w:val="18"/>
              </w:rPr>
              <w:t>さらに拡大（4Q納入・移行集中）</w:t>
            </w:r>
          </w:p>
        </w:tc>
        <w:tc>
          <w:tcPr>
            <w:tcW w:type="dxa" w:w="1881"/>
            <w:shd w:val="clear" w:color="auto" w:fill="DDEBF7"/>
          </w:tcPr>
          <w:p>
            <w:r>
              <w:rPr>
                <w:rFonts w:ascii="Meiryo UI" w:hAnsi="Meiryo UI"/>
                <w:sz w:val="18"/>
              </w:rPr>
              <w:t>右肩上がり</w:t>
            </w:r>
          </w:p>
        </w:tc>
        <w:tc>
          <w:tcPr>
            <w:tcW w:type="dxa" w:w="1881"/>
            <w:shd w:val="clear" w:color="auto" w:fill="DDEBF7"/>
          </w:tcPr>
          <w:p>
            <w:r>
              <w:rPr>
                <w:rFonts w:ascii="Meiryo UI" w:hAnsi="Meiryo UI"/>
                <w:sz w:val="18"/>
              </w:rPr>
              <w:t>構造的（ポジ）</w:t>
            </w:r>
          </w:p>
        </w:tc>
      </w:tr>
      <w:tr>
        <w:tc>
          <w:tcPr>
            <w:tcW w:type="dxa" w:w="1881"/>
          </w:tcPr>
          <w:p>
            <w:r>
              <w:rPr>
                <w:rFonts w:ascii="Meiryo UI" w:hAnsi="Meiryo UI"/>
                <w:sz w:val="18"/>
              </w:rPr>
              <w:t>特記事項</w:t>
            </w:r>
          </w:p>
        </w:tc>
        <w:tc>
          <w:tcPr>
            <w:tcW w:type="dxa" w:w="1881"/>
          </w:tcPr>
          <w:p>
            <w:r>
              <w:rPr>
                <w:rFonts w:ascii="Meiryo UI" w:hAnsi="Meiryo UI"/>
                <w:sz w:val="18"/>
              </w:rPr>
              <w:t>インボイス特需一服（前期終了）</w:t>
            </w:r>
          </w:p>
        </w:tc>
        <w:tc>
          <w:tcPr>
            <w:tcW w:type="dxa" w:w="1881"/>
          </w:tcPr>
          <w:p>
            <w:r>
              <w:rPr>
                <w:rFonts w:ascii="Meiryo UI" w:hAnsi="Meiryo UI"/>
                <w:sz w:val="18"/>
              </w:rPr>
              <w:t>電子帳簿保存法対応需要が下支え</w:t>
            </w:r>
          </w:p>
        </w:tc>
        <w:tc>
          <w:tcPr>
            <w:tcW w:type="dxa" w:w="1881"/>
          </w:tcPr>
          <w:p>
            <w:r>
              <w:rPr>
                <w:rFonts w:ascii="Meiryo UI" w:hAnsi="Meiryo UI"/>
                <w:sz w:val="18"/>
              </w:rPr>
              <w:t>需要構造は次のフェーズへ</w:t>
            </w:r>
          </w:p>
        </w:tc>
        <w:tc>
          <w:tcPr>
            <w:tcW w:type="dxa" w:w="1881"/>
          </w:tcPr>
          <w:p>
            <w:r>
              <w:rPr>
                <w:rFonts w:ascii="Meiryo UI" w:hAnsi="Meiryo UI"/>
                <w:sz w:val="18"/>
              </w:rPr>
              <w:t>構造的（DX継続）</w:t>
            </w:r>
          </w:p>
        </w:tc>
      </w:tr>
    </w:tbl>
    <w:p/>
    <w:p>
      <w:r>
        <w:rPr>
          <w:rFonts w:ascii="Meiryo UI" w:hAnsi="Meiryo UI"/>
          <w:sz w:val="20"/>
        </w:rPr>
        <w:t>&gt; 変調サマリー：H1→H2で季節的に業績が改善する通常パターンを確認。FY3/2026通期で増収増益を達成しており、構造的な成長軌道は維持。懸念は「特需（インボイス等）」が一巡した後の成長率の着地感。</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ビジネスモデル概要</w:t>
      </w:r>
    </w:p>
    <w:p/>
    <w:p>
      <w:r>
        <w:rPr>
          <w:rFonts w:ascii="Meiryo UI" w:hAnsi="Meiryo UI"/>
          <w:sz w:val="20"/>
        </w:rPr>
        <w:t>オービック（4684）は国内中堅・中小企業向けERP（統合基幹業務システム）の最大手。主力製品「OBIC7」は会計・給与・販売・生産・人事管理を一気通貫でカバーする。</w:t>
      </w:r>
    </w:p>
    <w:p/>
    <w:p>
      <w:r>
        <w:rPr>
          <w:rFonts w:ascii="Meiryo UI" w:hAnsi="Meiryo UI"/>
          <w:sz w:val="20"/>
        </w:rPr>
        <w:t>競合優位性（モート分析）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競合優位要素</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高スイッチングコスト</w:t>
            </w:r>
          </w:p>
        </w:tc>
        <w:tc>
          <w:tcPr>
            <w:tcW w:type="dxa" w:w="3135"/>
          </w:tcPr>
          <w:p>
            <w:r>
              <w:rPr>
                <w:rFonts w:ascii="Meiryo UI" w:hAnsi="Meiryo UI"/>
                <w:sz w:val="18"/>
              </w:rPr>
              <w:t>一度導入した基幹系ERPの入れ替えは数千万〜数億円規模のコストと業務停止リスクを伴う</w:t>
            </w:r>
          </w:p>
        </w:tc>
        <w:tc>
          <w:tcPr>
            <w:tcW w:type="dxa" w:w="3135"/>
          </w:tcPr>
          <w:p>
            <w:r>
              <w:rPr>
                <w:rFonts w:ascii="Meiryo UI" w:hAnsi="Meiryo UI"/>
                <w:sz w:val="18"/>
              </w:rPr>
              <w:t>極めて高い</w:t>
            </w:r>
          </w:p>
        </w:tc>
      </w:tr>
      <w:tr>
        <w:tc>
          <w:tcPr>
            <w:tcW w:type="dxa" w:w="3135"/>
            <w:shd w:val="clear" w:color="auto" w:fill="DDEBF7"/>
          </w:tcPr>
          <w:p>
            <w:r>
              <w:rPr>
                <w:rFonts w:ascii="Meiryo UI" w:hAnsi="Meiryo UI"/>
                <w:sz w:val="18"/>
              </w:rPr>
              <w:t>保守・サポート収益（ARR的）</w:t>
            </w:r>
          </w:p>
        </w:tc>
        <w:tc>
          <w:tcPr>
            <w:tcW w:type="dxa" w:w="3135"/>
            <w:shd w:val="clear" w:color="auto" w:fill="DDEBF7"/>
          </w:tcPr>
          <w:p>
            <w:r>
              <w:rPr>
                <w:rFonts w:ascii="Meiryo UI" w:hAnsi="Meiryo UI"/>
                <w:sz w:val="18"/>
              </w:rPr>
              <w:t>導入後の年次保守契約が継続課金を生む</w:t>
            </w:r>
          </w:p>
        </w:tc>
        <w:tc>
          <w:tcPr>
            <w:tcW w:type="dxa" w:w="3135"/>
            <w:shd w:val="clear" w:color="auto" w:fill="DDEBF7"/>
          </w:tcPr>
          <w:p>
            <w:r>
              <w:rPr>
                <w:rFonts w:ascii="Meiryo UI" w:hAnsi="Meiryo UI"/>
                <w:sz w:val="18"/>
              </w:rPr>
              <w:t>構造的・安定</w:t>
            </w:r>
          </w:p>
        </w:tc>
      </w:tr>
      <w:tr>
        <w:tc>
          <w:tcPr>
            <w:tcW w:type="dxa" w:w="3135"/>
          </w:tcPr>
          <w:p>
            <w:r>
              <w:rPr>
                <w:rFonts w:ascii="Meiryo UI" w:hAnsi="Meiryo UI"/>
                <w:sz w:val="18"/>
              </w:rPr>
              <w:t>直販モデル</w:t>
            </w:r>
          </w:p>
        </w:tc>
        <w:tc>
          <w:tcPr>
            <w:tcW w:type="dxa" w:w="3135"/>
          </w:tcPr>
          <w:p>
            <w:r>
              <w:rPr>
                <w:rFonts w:ascii="Meiryo UI" w:hAnsi="Meiryo UI"/>
                <w:sz w:val="18"/>
              </w:rPr>
              <w:t>代理店に依存しない直販体制でマージン確保・顧客関係維持</w:t>
            </w:r>
          </w:p>
        </w:tc>
        <w:tc>
          <w:tcPr>
            <w:tcW w:type="dxa" w:w="3135"/>
          </w:tcPr>
          <w:p>
            <w:r>
              <w:rPr>
                <w:rFonts w:ascii="Meiryo UI" w:hAnsi="Meiryo UI"/>
                <w:sz w:val="18"/>
              </w:rPr>
              <w:t>強い</w:t>
            </w:r>
          </w:p>
        </w:tc>
      </w:tr>
      <w:tr>
        <w:tc>
          <w:tcPr>
            <w:tcW w:type="dxa" w:w="3135"/>
            <w:shd w:val="clear" w:color="auto" w:fill="DDEBF7"/>
          </w:tcPr>
          <w:p>
            <w:r>
              <w:rPr>
                <w:rFonts w:ascii="Meiryo UI" w:hAnsi="Meiryo UI"/>
                <w:sz w:val="18"/>
              </w:rPr>
              <w:t>中小企業特化</w:t>
            </w:r>
          </w:p>
        </w:tc>
        <w:tc>
          <w:tcPr>
            <w:tcW w:type="dxa" w:w="3135"/>
            <w:shd w:val="clear" w:color="auto" w:fill="DDEBF7"/>
          </w:tcPr>
          <w:p>
            <w:r>
              <w:rPr>
                <w:rFonts w:ascii="Meiryo UI" w:hAnsi="Meiryo UI"/>
                <w:sz w:val="18"/>
              </w:rPr>
              <w:t>大企業向けSAP/Oracleが参入しづらい価格帯・サポート体制</w:t>
            </w:r>
          </w:p>
        </w:tc>
        <w:tc>
          <w:tcPr>
            <w:tcW w:type="dxa" w:w="3135"/>
            <w:shd w:val="clear" w:color="auto" w:fill="DDEBF7"/>
          </w:tcPr>
          <w:p>
            <w:r>
              <w:rPr>
                <w:rFonts w:ascii="Meiryo UI" w:hAnsi="Meiryo UI"/>
                <w:sz w:val="18"/>
              </w:rPr>
              <w:t>参入障壁中程度</w:t>
            </w:r>
          </w:p>
        </w:tc>
      </w:tr>
      <w:tr>
        <w:tc>
          <w:tcPr>
            <w:tcW w:type="dxa" w:w="3135"/>
          </w:tcPr>
          <w:p>
            <w:r>
              <w:rPr>
                <w:rFonts w:ascii="Meiryo UI" w:hAnsi="Meiryo UI"/>
                <w:sz w:val="18"/>
              </w:rPr>
              <w:t>無借金経営</w:t>
            </w:r>
          </w:p>
        </w:tc>
        <w:tc>
          <w:tcPr>
            <w:tcW w:type="dxa" w:w="3135"/>
          </w:tcPr>
          <w:p>
            <w:r>
              <w:rPr>
                <w:rFonts w:ascii="Meiryo UI" w:hAnsi="Meiryo UI"/>
                <w:sz w:val="18"/>
              </w:rPr>
              <w:t>有利子負債ゼロ→財務リスク皆無・ROE 16%は純粋な事業収益力</w:t>
            </w:r>
          </w:p>
        </w:tc>
        <w:tc>
          <w:tcPr>
            <w:tcW w:type="dxa" w:w="3135"/>
          </w:tcPr>
          <w:p>
            <w:r>
              <w:rPr>
                <w:rFonts w:ascii="Meiryo UI" w:hAnsi="Meiryo UI"/>
                <w:sz w:val="18"/>
              </w:rPr>
              <w:t>強い</w:t>
            </w:r>
          </w:p>
        </w:tc>
      </w:tr>
    </w:tbl>
    <w:p/>
    <w:p>
      <w:pPr>
        <w:pStyle w:val="Heading3"/>
      </w:pPr>
      <w:r>
        <w:rPr>
          <w:rFonts w:ascii="Meiryo UI" w:hAnsi="Meiryo UI"/>
          <w:color w:val="2E74B5"/>
        </w:rPr>
        <w:t>1-2. セグメント・プロダクト構成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プロダクト/サービス</w:t>
            </w:r>
          </w:p>
        </w:tc>
        <w:tc>
          <w:tcPr>
            <w:tcW w:type="dxa" w:w="3135"/>
            <w:shd w:val="clear" w:color="auto" w:fill="2E74B5"/>
          </w:tcPr>
          <w:p>
            <w:r>
              <w:rPr>
                <w:rFonts w:ascii="Meiryo UI" w:hAnsi="Meiryo UI"/>
                <w:b/>
                <w:color w:val="FFFFFF"/>
                <w:sz w:val="18"/>
              </w:rPr>
              <w:t>収益タイプ</w:t>
            </w:r>
          </w:p>
        </w:tc>
        <w:tc>
          <w:tcPr>
            <w:tcW w:type="dxa" w:w="3135"/>
            <w:shd w:val="clear" w:color="auto" w:fill="2E74B5"/>
          </w:tcPr>
          <w:p>
            <w:r>
              <w:rPr>
                <w:rFonts w:ascii="Meiryo UI" w:hAnsi="Meiryo UI"/>
                <w:b/>
                <w:color w:val="FFFFFF"/>
                <w:sz w:val="18"/>
              </w:rPr>
              <w:t>成長ドライバー</w:t>
            </w:r>
          </w:p>
        </w:tc>
      </w:tr>
      <w:tr>
        <w:tc>
          <w:tcPr>
            <w:tcW w:type="dxa" w:w="3135"/>
          </w:tcPr>
          <w:p>
            <w:r>
              <w:rPr>
                <w:rFonts w:ascii="Meiryo UI" w:hAnsi="Meiryo UI"/>
                <w:sz w:val="18"/>
              </w:rPr>
              <w:t>OBIC7（ERP本体）</w:t>
            </w:r>
          </w:p>
        </w:tc>
        <w:tc>
          <w:tcPr>
            <w:tcW w:type="dxa" w:w="3135"/>
          </w:tcPr>
          <w:p>
            <w:r>
              <w:rPr>
                <w:rFonts w:ascii="Meiryo UI" w:hAnsi="Meiryo UI"/>
                <w:sz w:val="18"/>
              </w:rPr>
              <w:t>ライセンス+保守</w:t>
            </w:r>
          </w:p>
        </w:tc>
        <w:tc>
          <w:tcPr>
            <w:tcW w:type="dxa" w:w="3135"/>
          </w:tcPr>
          <w:p>
            <w:r>
              <w:rPr>
                <w:rFonts w:ascii="Meiryo UI" w:hAnsi="Meiryo UI"/>
                <w:sz w:val="18"/>
              </w:rPr>
              <w:t>DX更新需要・クラウド移行</w:t>
            </w:r>
          </w:p>
        </w:tc>
      </w:tr>
      <w:tr>
        <w:tc>
          <w:tcPr>
            <w:tcW w:type="dxa" w:w="3135"/>
            <w:shd w:val="clear" w:color="auto" w:fill="DDEBF7"/>
          </w:tcPr>
          <w:p>
            <w:r>
              <w:rPr>
                <w:rFonts w:ascii="Meiryo UI" w:hAnsi="Meiryo UI"/>
                <w:sz w:val="18"/>
              </w:rPr>
              <w:t>クラウドサービス（OBIC7クラウド）</w:t>
            </w:r>
          </w:p>
        </w:tc>
        <w:tc>
          <w:tcPr>
            <w:tcW w:type="dxa" w:w="3135"/>
            <w:shd w:val="clear" w:color="auto" w:fill="DDEBF7"/>
          </w:tcPr>
          <w:p>
            <w:r>
              <w:rPr>
                <w:rFonts w:ascii="Meiryo UI" w:hAnsi="Meiryo UI"/>
                <w:sz w:val="18"/>
              </w:rPr>
              <w:t>SaaS型月額/年額</w:t>
            </w:r>
          </w:p>
        </w:tc>
        <w:tc>
          <w:tcPr>
            <w:tcW w:type="dxa" w:w="3135"/>
            <w:shd w:val="clear" w:color="auto" w:fill="DDEBF7"/>
          </w:tcPr>
          <w:p>
            <w:r>
              <w:rPr>
                <w:rFonts w:ascii="Meiryo UI" w:hAnsi="Meiryo UI"/>
                <w:sz w:val="18"/>
              </w:rPr>
              <w:t>中小企業クラウドシフト</w:t>
            </w:r>
          </w:p>
        </w:tc>
      </w:tr>
      <w:tr>
        <w:tc>
          <w:tcPr>
            <w:tcW w:type="dxa" w:w="3135"/>
          </w:tcPr>
          <w:p>
            <w:r>
              <w:rPr>
                <w:rFonts w:ascii="Meiryo UI" w:hAnsi="Meiryo UI"/>
                <w:sz w:val="18"/>
              </w:rPr>
              <w:t>導入・カスタマイズ</w:t>
            </w:r>
          </w:p>
        </w:tc>
        <w:tc>
          <w:tcPr>
            <w:tcW w:type="dxa" w:w="3135"/>
          </w:tcPr>
          <w:p>
            <w:r>
              <w:rPr>
                <w:rFonts w:ascii="Meiryo UI" w:hAnsi="Meiryo UI"/>
                <w:sz w:val="18"/>
              </w:rPr>
              <w:t>プロジェクト型</w:t>
            </w:r>
          </w:p>
        </w:tc>
        <w:tc>
          <w:tcPr>
            <w:tcW w:type="dxa" w:w="3135"/>
          </w:tcPr>
          <w:p>
            <w:r>
              <w:rPr>
                <w:rFonts w:ascii="Meiryo UI" w:hAnsi="Meiryo UI"/>
                <w:sz w:val="18"/>
              </w:rPr>
              <w:t>景気連動（やや）</w:t>
            </w:r>
          </w:p>
        </w:tc>
      </w:tr>
      <w:tr>
        <w:tc>
          <w:tcPr>
            <w:tcW w:type="dxa" w:w="3135"/>
            <w:shd w:val="clear" w:color="auto" w:fill="DDEBF7"/>
          </w:tcPr>
          <w:p>
            <w:r>
              <w:rPr>
                <w:rFonts w:ascii="Meiryo UI" w:hAnsi="Meiryo UI"/>
                <w:sz w:val="18"/>
              </w:rPr>
              <w:t>ハードウェア関連（縮小傾向）</w:t>
            </w:r>
          </w:p>
        </w:tc>
        <w:tc>
          <w:tcPr>
            <w:tcW w:type="dxa" w:w="3135"/>
            <w:shd w:val="clear" w:color="auto" w:fill="DDEBF7"/>
          </w:tcPr>
          <w:p>
            <w:r>
              <w:rPr>
                <w:rFonts w:ascii="Meiryo UI" w:hAnsi="Meiryo UI"/>
                <w:sz w:val="18"/>
              </w:rPr>
              <w:t>都度販売</w:t>
            </w:r>
          </w:p>
        </w:tc>
        <w:tc>
          <w:tcPr>
            <w:tcW w:type="dxa" w:w="3135"/>
            <w:shd w:val="clear" w:color="auto" w:fill="DDEBF7"/>
          </w:tcPr>
          <w:p>
            <w:r>
              <w:rPr>
                <w:rFonts w:ascii="Meiryo UI" w:hAnsi="Meiryo UI"/>
                <w:sz w:val="18"/>
              </w:rPr>
              <w:t>縮小中（利益率低い）</w:t>
            </w:r>
          </w:p>
        </w:tc>
      </w:tr>
    </w:tbl>
    <w:p/>
    <w:p>
      <w:pPr>
        <w:pStyle w:val="Heading3"/>
      </w:pPr>
      <w:r>
        <w:rPr>
          <w:rFonts w:ascii="Meiryo UI" w:hAnsi="Meiryo UI"/>
          <w:color w:val="2E74B5"/>
        </w:rPr>
        <w:t>1-3. 直近カタリスト</w:t>
      </w:r>
    </w:p>
    <w:p/>
    <w:p>
      <w:pPr>
        <w:pStyle w:val="ListNumber"/>
      </w:pPr>
      <w:r>
        <w:rPr>
          <w:rFonts w:ascii="Meiryo UI" w:hAnsi="Meiryo UI"/>
          <w:sz w:val="20"/>
        </w:rPr>
        <w:t>FY3/2026本決算（4/21発表）：増収増益・増配確認 → 株価+2.78%</w:t>
      </w:r>
    </w:p>
    <w:p>
      <w:pPr>
        <w:pStyle w:val="ListNumber"/>
      </w:pPr>
      <w:r>
        <w:rPr>
          <w:rFonts w:ascii="Meiryo UI" w:hAnsi="Meiryo UI"/>
          <w:sz w:val="20"/>
        </w:rPr>
        <w:t>電子帳簿保存法・改正対応需要：2024年以降の義務化対応需要が継続</w:t>
      </w:r>
    </w:p>
    <w:p>
      <w:pPr>
        <w:pStyle w:val="ListNumber"/>
      </w:pPr>
      <w:r>
        <w:rPr>
          <w:rFonts w:ascii="Meiryo UI" w:hAnsi="Meiryo UI"/>
          <w:sz w:val="20"/>
        </w:rPr>
        <w:t>インボイス制度後の基幹系再整備需要（2025〜2027年）：導入企業の「次のステップ」としてOBIC7更新・クラウド移行</w:t>
      </w:r>
    </w:p>
    <w:p/>
    <w:p>
      <w:r>
        <w:t>──────────────────────────────────────────────────</w:t>
      </w:r>
    </w:p>
    <w:p/>
    <w:p>
      <w:pPr>
        <w:pStyle w:val="Heading3"/>
      </w:pPr>
      <w:r>
        <w:rPr>
          <w:rFonts w:ascii="Meiryo UI" w:hAnsi="Meiryo UI"/>
          <w:color w:val="2E74B5"/>
        </w:rPr>
        <w:t>1-4. AI時代のモート：生成AI/LLMはオービックの護城河を強化するか弱体化させるか</w:t>
      </w:r>
    </w:p>
    <w:p/>
    <w:p>
      <w:r>
        <w:rPr>
          <w:rFonts w:ascii="Meiryo UI" w:hAnsi="Meiryo UI"/>
          <w:sz w:val="20"/>
        </w:rPr>
        <w:t>結論先出し: 短期（〜2027年）は現状のモートを脅かさない。中長期（2028〜2032年）はAIをOBIC7に統合できるかが株価の分水嶺。直販体制は「AIのラストワンマイル」として機能し得る唯一の資産。</w:t>
      </w:r>
    </w:p>
    <w:p/>
    <w:p>
      <w:pPr>
        <w:pStyle w:val="Heading4"/>
      </w:pPr>
      <w:r>
        <w:rPr>
          <w:rFonts w:ascii="Meiryo UI" w:hAnsi="Meiryo UI"/>
          <w:color w:val="2E74B5"/>
        </w:rPr>
        <w:t>☠️ 毒（リスク）：「ERP不要論」の台頭</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論点</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時間軸</w:t>
            </w:r>
          </w:p>
        </w:tc>
      </w:tr>
      <w:tr>
        <w:tc>
          <w:tcPr>
            <w:tcW w:type="dxa" w:w="2351"/>
          </w:tcPr>
          <w:p>
            <w:r>
              <w:rPr>
                <w:rFonts w:ascii="Meiryo UI" w:hAnsi="Meiryo UI"/>
                <w:sz w:val="18"/>
              </w:rPr>
              <w:t>軽量AIエージェントによるERP代替</w:t>
            </w:r>
          </w:p>
        </w:tc>
        <w:tc>
          <w:tcPr>
            <w:tcW w:type="dxa" w:w="2351"/>
          </w:tcPr>
          <w:p>
            <w:r>
              <w:rPr>
                <w:rFonts w:ascii="Meiryo UI" w:hAnsi="Meiryo UI"/>
                <w:sz w:val="18"/>
              </w:rPr>
              <w:t>ChatGPT/Claude等のLLMをベースにした「会計・請求書処理AIエージェント」が月額数千円で利用可能になりつつある。OBIC7の年間保守費（数百万円規模）と比較した場合、従業員10〜30名の零細企業には「そもそもERPが要らない」という選択肢が生まれ得る</w:t>
            </w:r>
          </w:p>
        </w:tc>
        <w:tc>
          <w:tcPr>
            <w:tcW w:type="dxa" w:w="2351"/>
          </w:tcPr>
          <w:p>
            <w:r>
              <w:rPr>
                <w:rFonts w:ascii="Meiryo UI" w:hAnsi="Meiryo UI"/>
                <w:sz w:val="18"/>
              </w:rPr>
              <w:t>中</w:t>
            </w:r>
          </w:p>
        </w:tc>
        <w:tc>
          <w:tcPr>
            <w:tcW w:type="dxa" w:w="2351"/>
          </w:tcPr>
          <w:p>
            <w:r>
              <w:rPr>
                <w:rFonts w:ascii="Meiryo UI" w:hAnsi="Meiryo UI"/>
                <w:sz w:val="18"/>
              </w:rPr>
              <w:t>2028〜2030年</w:t>
            </w:r>
          </w:p>
        </w:tc>
      </w:tr>
      <w:tr>
        <w:tc>
          <w:tcPr>
            <w:tcW w:type="dxa" w:w="2351"/>
            <w:shd w:val="clear" w:color="auto" w:fill="DDEBF7"/>
          </w:tcPr>
          <w:p>
            <w:r>
              <w:rPr>
                <w:rFonts w:ascii="Meiryo UI" w:hAnsi="Meiryo UI"/>
                <w:sz w:val="18"/>
              </w:rPr>
              <w:t>NoCode/LowCodeによるカスタマイズ不要化</w:t>
            </w:r>
          </w:p>
        </w:tc>
        <w:tc>
          <w:tcPr>
            <w:tcW w:type="dxa" w:w="2351"/>
            <w:shd w:val="clear" w:color="auto" w:fill="DDEBF7"/>
          </w:tcPr>
          <w:p>
            <w:r>
              <w:rPr>
                <w:rFonts w:ascii="Meiryo UI" w:hAnsi="Meiryo UI"/>
                <w:sz w:val="18"/>
              </w:rPr>
              <w:t>OBIC7の強みの一つは「直販員による手厚いカスタマイズ対応」だが、AIがその工程を自動化すると差別化が薄れる</w:t>
            </w:r>
          </w:p>
        </w:tc>
        <w:tc>
          <w:tcPr>
            <w:tcW w:type="dxa" w:w="2351"/>
            <w:shd w:val="clear" w:color="auto" w:fill="DDEBF7"/>
          </w:tcPr>
          <w:p>
            <w:r>
              <w:rPr>
                <w:rFonts w:ascii="Meiryo UI" w:hAnsi="Meiryo UI"/>
                <w:sz w:val="18"/>
              </w:rPr>
              <w:t>小〜中</w:t>
            </w:r>
          </w:p>
        </w:tc>
        <w:tc>
          <w:tcPr>
            <w:tcW w:type="dxa" w:w="2351"/>
            <w:shd w:val="clear" w:color="auto" w:fill="DDEBF7"/>
          </w:tcPr>
          <w:p>
            <w:r>
              <w:rPr>
                <w:rFonts w:ascii="Meiryo UI" w:hAnsi="Meiryo UI"/>
                <w:sz w:val="18"/>
              </w:rPr>
              <w:t>2027〜2029年</w:t>
            </w:r>
          </w:p>
        </w:tc>
      </w:tr>
      <w:tr>
        <w:tc>
          <w:tcPr>
            <w:tcW w:type="dxa" w:w="2351"/>
          </w:tcPr>
          <w:p>
            <w:r>
              <w:rPr>
                <w:rFonts w:ascii="Meiryo UI" w:hAnsi="Meiryo UI"/>
                <w:sz w:val="18"/>
              </w:rPr>
              <w:t>新興SaaSとの競合激化</w:t>
            </w:r>
          </w:p>
        </w:tc>
        <w:tc>
          <w:tcPr>
            <w:tcW w:type="dxa" w:w="2351"/>
          </w:tcPr>
          <w:p>
            <w:r>
              <w:rPr>
                <w:rFonts w:ascii="Meiryo UI" w:hAnsi="Meiryo UI"/>
                <w:sz w:val="18"/>
              </w:rPr>
              <w:t>freee、マネーフォワードが生成AIを先行組み込み。「中小企業AI経理」という新市場でオービックより早く価値提案できる可能性</w:t>
            </w:r>
          </w:p>
        </w:tc>
        <w:tc>
          <w:tcPr>
            <w:tcW w:type="dxa" w:w="2351"/>
          </w:tcPr>
          <w:p>
            <w:r>
              <w:rPr>
                <w:rFonts w:ascii="Meiryo UI" w:hAnsi="Meiryo UI"/>
                <w:sz w:val="18"/>
              </w:rPr>
              <w:t>中</w:t>
            </w:r>
          </w:p>
        </w:tc>
        <w:tc>
          <w:tcPr>
            <w:tcW w:type="dxa" w:w="2351"/>
          </w:tcPr>
          <w:p>
            <w:r>
              <w:rPr>
                <w:rFonts w:ascii="Meiryo UI" w:hAnsi="Meiryo UI"/>
                <w:sz w:val="18"/>
              </w:rPr>
              <w:t>2026〜2028年</w:t>
            </w:r>
          </w:p>
        </w:tc>
      </w:tr>
    </w:tbl>
    <w:p/>
    <w:p>
      <w:r>
        <w:rPr>
          <w:rFonts w:ascii="Meiryo UI" w:hAnsi="Meiryo UI"/>
          <w:sz w:val="20"/>
        </w:rPr>
        <w:t>&gt; 深井の評価：最大の懸念は「OBIC7の顧客層（従業員50〜500名規模の中堅企業）が、AI化によって"ERPを必要としない規模感"に縮退するかどうか」。ただし同規模の企業は内部統制・法的準拠性（電帳法・インボイス・SOX的要件）が複雑であり、AIエージェントだけでは代替不能な「制度対応の複雑さ」が当面の護城河として機能する。</w:t>
      </w:r>
    </w:p>
    <w:p/>
    <w:p>
      <w:pPr>
        <w:pStyle w:val="Heading4"/>
      </w:pPr>
      <w:r>
        <w:rPr>
          <w:rFonts w:ascii="Meiryo UI" w:hAnsi="Meiryo UI"/>
          <w:color w:val="2E74B5"/>
        </w:rPr>
        <w:t>💊 薬（機会）：データ資産×直販体制がAI時代の最強の堀に変わる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論点</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時間軸</w:t>
            </w:r>
          </w:p>
        </w:tc>
      </w:tr>
      <w:tr>
        <w:tc>
          <w:tcPr>
            <w:tcW w:type="dxa" w:w="2351"/>
          </w:tcPr>
          <w:p>
            <w:r>
              <w:rPr>
                <w:rFonts w:ascii="Meiryo UI" w:hAnsi="Meiryo UI"/>
                <w:sz w:val="18"/>
              </w:rPr>
              <w:t>OBIC7に蓄積された膨大な商流データの価値</w:t>
            </w:r>
          </w:p>
        </w:tc>
        <w:tc>
          <w:tcPr>
            <w:tcW w:type="dxa" w:w="2351"/>
          </w:tcPr>
          <w:p>
            <w:r>
              <w:rPr>
                <w:rFonts w:ascii="Meiryo UI" w:hAnsi="Meiryo UI"/>
                <w:sz w:val="18"/>
              </w:rPr>
              <w:t>数十万社の中小企業の受発注・仕入・給与・資金繰りデータが年単位で蓄積されている。これをLLM/AIに学習させると「中小企業の経営判断を支援するAIコパイロット」として唯一無二の製品が生まれ得る</w:t>
            </w:r>
          </w:p>
        </w:tc>
        <w:tc>
          <w:tcPr>
            <w:tcW w:type="dxa" w:w="2351"/>
          </w:tcPr>
          <w:p>
            <w:r>
              <w:rPr>
                <w:rFonts w:ascii="Meiryo UI" w:hAnsi="Meiryo UI"/>
                <w:sz w:val="18"/>
              </w:rPr>
              <w:t>大</w:t>
            </w:r>
          </w:p>
        </w:tc>
        <w:tc>
          <w:tcPr>
            <w:tcW w:type="dxa" w:w="2351"/>
          </w:tcPr>
          <w:p>
            <w:r>
              <w:rPr>
                <w:rFonts w:ascii="Meiryo UI" w:hAnsi="Meiryo UI"/>
                <w:sz w:val="18"/>
              </w:rPr>
              <w:t>2027〜2030年</w:t>
            </w:r>
          </w:p>
        </w:tc>
      </w:tr>
      <w:tr>
        <w:tc>
          <w:tcPr>
            <w:tcW w:type="dxa" w:w="2351"/>
            <w:shd w:val="clear" w:color="auto" w:fill="DDEBF7"/>
          </w:tcPr>
          <w:p>
            <w:r>
              <w:rPr>
                <w:rFonts w:ascii="Meiryo UI" w:hAnsi="Meiryo UI"/>
                <w:sz w:val="18"/>
              </w:rPr>
              <w:t>直販モデル＝「顧客の業務プロセスを知り尽くした営業員」がAIのファインチューニング文脈として機能</w:t>
            </w:r>
          </w:p>
        </w:tc>
        <w:tc>
          <w:tcPr>
            <w:tcW w:type="dxa" w:w="2351"/>
            <w:shd w:val="clear" w:color="auto" w:fill="DDEBF7"/>
          </w:tcPr>
          <w:p>
            <w:r>
              <w:rPr>
                <w:rFonts w:ascii="Meiryo UI" w:hAnsi="Meiryo UI"/>
                <w:sz w:val="18"/>
              </w:rPr>
              <w:t>競合のSaaS系企業はAPIとUIのみで顧客に接するが、オービックの直販員は顧客企業の業務フロー・課題を深く把握。このコンテキストはAIへの指示・検証において決定的な優位性になる</w:t>
            </w:r>
          </w:p>
        </w:tc>
        <w:tc>
          <w:tcPr>
            <w:tcW w:type="dxa" w:w="2351"/>
            <w:shd w:val="clear" w:color="auto" w:fill="DDEBF7"/>
          </w:tcPr>
          <w:p>
            <w:r>
              <w:rPr>
                <w:rFonts w:ascii="Meiryo UI" w:hAnsi="Meiryo UI"/>
                <w:sz w:val="18"/>
              </w:rPr>
              <w:t>大</w:t>
            </w:r>
          </w:p>
        </w:tc>
        <w:tc>
          <w:tcPr>
            <w:tcW w:type="dxa" w:w="2351"/>
            <w:shd w:val="clear" w:color="auto" w:fill="DDEBF7"/>
          </w:tcPr>
          <w:p>
            <w:r>
              <w:rPr>
                <w:rFonts w:ascii="Meiryo UI" w:hAnsi="Meiryo UI"/>
                <w:sz w:val="18"/>
              </w:rPr>
              <w:t>継続的</w:t>
            </w:r>
          </w:p>
        </w:tc>
      </w:tr>
      <w:tr>
        <w:tc>
          <w:tcPr>
            <w:tcW w:type="dxa" w:w="2351"/>
          </w:tcPr>
          <w:p>
            <w:r>
              <w:rPr>
                <w:rFonts w:ascii="Meiryo UI" w:hAnsi="Meiryo UI"/>
                <w:sz w:val="18"/>
              </w:rPr>
              <w:t>「AI付き OBIC7」としての次世代製品化</w:t>
            </w:r>
          </w:p>
        </w:tc>
        <w:tc>
          <w:tcPr>
            <w:tcW w:type="dxa" w:w="2351"/>
          </w:tcPr>
          <w:p>
            <w:r>
              <w:rPr>
                <w:rFonts w:ascii="Meiryo UI" w:hAnsi="Meiryo UI"/>
                <w:sz w:val="18"/>
              </w:rPr>
              <w:t>ERPの出力をAIがリアルタイム解析→経営者に「来月の資金繰りが危ない」「仕入コストが業界平均より15%高い」と自動アラートする機能を付加することで、単なる「記録システム」から「経営の意思決定パートナー」へ進化できる</w:t>
            </w:r>
          </w:p>
        </w:tc>
        <w:tc>
          <w:tcPr>
            <w:tcW w:type="dxa" w:w="2351"/>
          </w:tcPr>
          <w:p>
            <w:r>
              <w:rPr>
                <w:rFonts w:ascii="Meiryo UI" w:hAnsi="Meiryo UI"/>
                <w:sz w:val="18"/>
              </w:rPr>
              <w:t>大</w:t>
            </w:r>
          </w:p>
        </w:tc>
        <w:tc>
          <w:tcPr>
            <w:tcW w:type="dxa" w:w="2351"/>
          </w:tcPr>
          <w:p>
            <w:r>
              <w:rPr>
                <w:rFonts w:ascii="Meiryo UI" w:hAnsi="Meiryo UI"/>
                <w:sz w:val="18"/>
              </w:rPr>
              <w:t>2027〜2029年</w:t>
            </w:r>
          </w:p>
        </w:tc>
      </w:tr>
    </w:tbl>
    <w:p/>
    <w:p>
      <w:pPr>
        <w:pStyle w:val="Heading4"/>
      </w:pPr>
      <w:r>
        <w:rPr>
          <w:rFonts w:ascii="Meiryo UI" w:hAnsi="Meiryo UI"/>
          <w:color w:val="2E74B5"/>
        </w:rPr>
        <w:t>直販体制の「AI時代におけるラストワンマイル」としての評価</w:t>
      </w:r>
    </w:p>
    <w:p/>
    <w:p>
      <w:r>
        <w:rPr>
          <w:rFonts w:ascii="Meiryo UI" w:hAnsi="Meiryo UI"/>
          <w:sz w:val="20"/>
        </w:rPr>
        <w:t>オービックの直販体制（代理店なし、自社営業員が顧客に密着）は、AI時代においても以下の理由で強みになると深井は評価する：</w:t>
      </w:r>
    </w:p>
    <w:p/>
    <w:p>
      <w:pPr>
        <w:pStyle w:val="ListNumber"/>
      </w:pPr>
      <w:r>
        <w:rPr>
          <w:rFonts w:ascii="Meiryo UI" w:hAnsi="Meiryo UI"/>
          <w:sz w:val="20"/>
        </w:rPr>
        <w:t>トラスト（信頼）の問題：中小企業経営者がAIの出力を「本当に自社の業務に合っているか」を判断する際、「知っている担当者（直販員）が説明してくれる」という安心感は置換不能</w:t>
      </w:r>
    </w:p>
    <w:p>
      <w:pPr>
        <w:pStyle w:val="ListNumber"/>
      </w:pPr>
      <w:r>
        <w:rPr>
          <w:rFonts w:ascii="Meiryo UI" w:hAnsi="Meiryo UI"/>
          <w:sz w:val="20"/>
        </w:rPr>
        <w:t>ファインチューニングのフィードバックループ：直販員が毎月顧客と接触することで、AIモデルの誤作動・現場乖離を即座にフィードバックできる。これはAPI販売型競合には構造的に困難</w:t>
      </w:r>
    </w:p>
    <w:p>
      <w:pPr>
        <w:pStyle w:val="ListNumber"/>
      </w:pPr>
      <w:r>
        <w:rPr>
          <w:rFonts w:ascii="Meiryo UI" w:hAnsi="Meiryo UI"/>
          <w:sz w:val="20"/>
        </w:rPr>
        <w:t>利益率維持の鍵：AIを組み込んでも、「直販による高マージン」構造（営業利益率35〜40%）は維持可能。むしろ、AIで保守対応の自動化が進めば、同じ人員で対応顧客数を増やせる</w:t>
      </w:r>
    </w:p>
    <w:p/>
    <w:p>
      <w:pPr>
        <w:pStyle w:val="Heading4"/>
      </w:pPr>
      <w:r>
        <w:rPr>
          <w:rFonts w:ascii="Meiryo UI" w:hAnsi="Meiryo UI"/>
          <w:color w:val="2E74B5"/>
        </w:rPr>
        <w:t>AI考察を織り込んだ安全域（MoS）の再評価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FVへの影響</w:t>
            </w:r>
          </w:p>
        </w:tc>
        <w:tc>
          <w:tcPr>
            <w:tcW w:type="dxa" w:w="2351"/>
            <w:shd w:val="clear" w:color="auto" w:fill="2E74B5"/>
          </w:tcPr>
          <w:p>
            <w:r>
              <w:rPr>
                <w:rFonts w:ascii="Meiryo UI" w:hAnsi="Meiryo UI"/>
                <w:b/>
                <w:color w:val="FFFFFF"/>
                <w:sz w:val="18"/>
              </w:rPr>
              <w:t>安全域調整後FV</w:t>
            </w:r>
          </w:p>
        </w:tc>
      </w:tr>
      <w:tr>
        <w:tc>
          <w:tcPr>
            <w:tcW w:type="dxa" w:w="2351"/>
          </w:tcPr>
          <w:p>
            <w:r>
              <w:rPr>
                <w:rFonts w:ascii="Meiryo UI" w:hAnsi="Meiryo UI"/>
                <w:sz w:val="18"/>
              </w:rPr>
              <w:t>AIリスク軽微（現状維持）</w:t>
            </w:r>
          </w:p>
        </w:tc>
        <w:tc>
          <w:tcPr>
            <w:tcW w:type="dxa" w:w="2351"/>
          </w:tcPr>
          <w:p>
            <w:r>
              <w:rPr>
                <w:rFonts w:ascii="Meiryo UI" w:hAnsi="Meiryo UI"/>
                <w:sz w:val="18"/>
              </w:rPr>
              <w:t>既存保守収益+クラウド移行でERP代替化を防ぎ、成長率+5.5%維持</w:t>
            </w:r>
          </w:p>
        </w:tc>
        <w:tc>
          <w:tcPr>
            <w:tcW w:type="dxa" w:w="2351"/>
          </w:tcPr>
          <w:p>
            <w:r>
              <w:rPr>
                <w:rFonts w:ascii="Meiryo UI" w:hAnsi="Meiryo UI"/>
                <w:sz w:val="18"/>
              </w:rPr>
              <w:t>基本ケースと同一</w:t>
            </w:r>
          </w:p>
        </w:tc>
        <w:tc>
          <w:tcPr>
            <w:tcW w:type="dxa" w:w="2351"/>
          </w:tcPr>
          <w:p>
            <w:r>
              <w:rPr>
                <w:rFonts w:ascii="Meiryo UI" w:hAnsi="Meiryo UI"/>
                <w:sz w:val="18"/>
              </w:rPr>
              <w:t>¥4,820（MoS 10%適用済み）</w:t>
            </w:r>
          </w:p>
        </w:tc>
      </w:tr>
      <w:tr>
        <w:tc>
          <w:tcPr>
            <w:tcW w:type="dxa" w:w="2351"/>
            <w:shd w:val="clear" w:color="auto" w:fill="DDEBF7"/>
          </w:tcPr>
          <w:p>
            <w:r>
              <w:rPr>
                <w:rFonts w:ascii="Meiryo UI" w:hAnsi="Meiryo UI"/>
                <w:sz w:val="18"/>
              </w:rPr>
              <w:t>AIリスク中程度（部分代替）</w:t>
            </w:r>
          </w:p>
        </w:tc>
        <w:tc>
          <w:tcPr>
            <w:tcW w:type="dxa" w:w="2351"/>
            <w:shd w:val="clear" w:color="auto" w:fill="DDEBF7"/>
          </w:tcPr>
          <w:p>
            <w:r>
              <w:rPr>
                <w:rFonts w:ascii="Meiryo UI" w:hAnsi="Meiryo UI"/>
                <w:sz w:val="18"/>
              </w:rPr>
              <w:t>2029〜2031年に零細顧客層（&lt;30名）の一部がAIエージェント移行。成長率+3〜4%に低下</w:t>
            </w:r>
          </w:p>
        </w:tc>
        <w:tc>
          <w:tcPr>
            <w:tcW w:type="dxa" w:w="2351"/>
            <w:shd w:val="clear" w:color="auto" w:fill="DDEBF7"/>
          </w:tcPr>
          <w:p>
            <w:r>
              <w:rPr>
                <w:rFonts w:ascii="Meiryo UI" w:hAnsi="Meiryo UI"/>
                <w:sz w:val="18"/>
              </w:rPr>
              <w:t>WACC現状・g=2.0%</w:t>
            </w:r>
          </w:p>
        </w:tc>
        <w:tc>
          <w:tcPr>
            <w:tcW w:type="dxa" w:w="2351"/>
            <w:shd w:val="clear" w:color="auto" w:fill="DDEBF7"/>
          </w:tcPr>
          <w:p>
            <w:r>
              <w:rPr>
                <w:rFonts w:ascii="Meiryo UI" w:hAnsi="Meiryo UI"/>
                <w:sz w:val="18"/>
              </w:rPr>
              <w:t>¥3,960（弱気ケース適用時）</w:t>
            </w:r>
          </w:p>
        </w:tc>
      </w:tr>
      <w:tr>
        <w:tc>
          <w:tcPr>
            <w:tcW w:type="dxa" w:w="2351"/>
          </w:tcPr>
          <w:p>
            <w:r>
              <w:rPr>
                <w:rFonts w:ascii="Meiryo UI" w:hAnsi="Meiryo UI"/>
                <w:sz w:val="18"/>
              </w:rPr>
              <w:t>オービックがAIを取り込む（強気）</w:t>
            </w:r>
          </w:p>
        </w:tc>
        <w:tc>
          <w:tcPr>
            <w:tcW w:type="dxa" w:w="2351"/>
          </w:tcPr>
          <w:p>
            <w:r>
              <w:rPr>
                <w:rFonts w:ascii="Meiryo UI" w:hAnsi="Meiryo UI"/>
                <w:sz w:val="18"/>
              </w:rPr>
              <w:t>OBIC7 AI版が追加収益源に。SaaSへの移行加速×ARPUアップ</w:t>
            </w:r>
          </w:p>
        </w:tc>
        <w:tc>
          <w:tcPr>
            <w:tcW w:type="dxa" w:w="2351"/>
          </w:tcPr>
          <w:p>
            <w:r>
              <w:rPr>
                <w:rFonts w:ascii="Meiryo UI" w:hAnsi="Meiryo UI"/>
                <w:sz w:val="18"/>
              </w:rPr>
              <w:t>強気ケースに上乗せ</w:t>
            </w:r>
          </w:p>
        </w:tc>
        <w:tc>
          <w:tcPr>
            <w:tcW w:type="dxa" w:w="2351"/>
          </w:tcPr>
          <w:p>
            <w:r>
              <w:rPr>
                <w:rFonts w:ascii="Meiryo UI" w:hAnsi="Meiryo UI"/>
                <w:sz w:val="18"/>
              </w:rPr>
              <w:t>¥6,500〜¥7,000</w:t>
            </w:r>
          </w:p>
        </w:tc>
      </w:tr>
    </w:tbl>
    <w:p/>
    <w:p>
      <w:r>
        <w:rPr>
          <w:rFonts w:ascii="Meiryo UI" w:hAnsi="Meiryo UI"/>
          <w:sz w:val="20"/>
        </w:rPr>
        <w:t>&gt; 現在株価¥4,142は「AIリスク中程度ケース」のFV¥3,960を辛うじて上回る水準。すなわち「AI代替が中程度に進む最悪ケース近傍でも株価が正当化される」価格帯にある。AIリスクを完全に織り込んでも買いの根拠が維持されるのが結論。ただし損切りラインの管理（¥3,580）は従来通り厳守。</w:t>
      </w:r>
    </w:p>
    <w:p/>
    <w:p>
      <w:r>
        <w:rPr>
          <w:rFonts w:ascii="Meiryo UI" w:hAnsi="Meiryo UI"/>
          <w:sz w:val="20"/>
        </w:rPr>
        <w:t>&gt; 理論PBR整合性の再確認：Gordon式では理論PBR=6.4倍。現在PBR=3.74倍。AIリスクで成長率を保守的に+3%と設定し直してもPBR理論値=3.5〜4.5倍（g=2.5〜3.0%、Re=6.53%で計算）→ 現在PBR3.74倍はこのレンジに収まる。AIリスクを織り込んでも「過大評価」にはなっていない。</w:t>
      </w:r>
    </w:p>
    <w:p/>
    <w:p>
      <w:r>
        <w:t>──────────────────────────────────────────────────</w:t>
      </w:r>
    </w:p>
    <w:p/>
    <w:p>
      <w:pPr>
        <w:pStyle w:val="Heading2"/>
      </w:pPr>
      <w:r>
        <w:rPr>
          <w:rFonts w:ascii="Meiryo UI" w:hAnsi="Meiryo UI"/>
          <w:color w:val="2E74B5"/>
        </w:rPr>
        <w:t>2. 社長指示の重点分析（優先度1）</w:t>
      </w:r>
    </w:p>
    <w:p/>
    <w:p>
      <w:pPr>
        <w:pStyle w:val="Heading3"/>
      </w:pPr>
      <w:r>
        <w:rPr>
          <w:rFonts w:ascii="Meiryo UI" w:hAnsi="Meiryo UI"/>
          <w:color w:val="2E74B5"/>
        </w:rPr>
        <w:t>テーマ：「4/21 FY3/2026本決算を反映したDeepResearch」</w:t>
      </w:r>
    </w:p>
    <w:p/>
    <w:p>
      <w:pPr>
        <w:pStyle w:val="Heading4"/>
      </w:pPr>
      <w:r>
        <w:rPr>
          <w:rFonts w:ascii="Meiryo UI" w:hAnsi="Meiryo UI"/>
          <w:color w:val="2E74B5"/>
        </w:rPr>
        <w:t>2-1. 決算発表の概要と市場反応</w:t>
      </w:r>
    </w:p>
    <w:p/>
    <w:p>
      <w:pPr>
        <w:pStyle w:val="ListBullet"/>
      </w:pPr>
      <w:r>
        <w:rPr>
          <w:rFonts w:ascii="Meiryo UI" w:hAnsi="Meiryo UI"/>
          <w:sz w:val="20"/>
        </w:rPr>
        <w:t>発表日時：2026年4月21日 14:30（引け後）</w:t>
      </w:r>
    </w:p>
    <w:p>
      <w:pPr>
        <w:pStyle w:val="ListBullet"/>
      </w:pPr>
      <w:r>
        <w:rPr>
          <w:rFonts w:ascii="Meiryo UI" w:hAnsi="Meiryo UI"/>
          <w:sz w:val="20"/>
        </w:rPr>
        <w:t>市場反応：翌4/22に株価+2.78%（¥3,991→¥4,102、現在値¥4,142）</w:t>
      </w:r>
    </w:p>
    <w:p>
      <w:pPr>
        <w:pStyle w:val="ListBullet"/>
      </w:pPr>
      <w:r>
        <w:rPr>
          <w:rFonts w:ascii="Meiryo UI" w:hAnsi="Meiryo UI"/>
          <w:sz w:val="20"/>
        </w:rPr>
        <w:t>ポジティブ反応の根拠：増益・増配の確認がサプライズまたはコンセンサス超え</w:t>
      </w:r>
    </w:p>
    <w:p/>
    <w:p>
      <w:pPr>
        <w:pStyle w:val="Heading4"/>
      </w:pPr>
      <w:r>
        <w:rPr>
          <w:rFonts w:ascii="Meiryo UI" w:hAnsi="Meiryo UI"/>
          <w:color w:val="2E74B5"/>
        </w:rPr>
        <w:t>2-2. 決算数値の読み解き</w:t>
      </w:r>
    </w:p>
    <w:p/>
    <w:p>
      <w:r>
        <w:rPr>
          <w:rFonts w:ascii="Meiryo UI" w:hAnsi="Meiryo UI"/>
          <w:sz w:val="20"/>
        </w:rPr>
        <w:t>提供されたリアルタイム財務指標から逆算：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EPS</w:t>
            </w:r>
          </w:p>
        </w:tc>
        <w:tc>
          <w:tcPr>
            <w:tcW w:type="dxa" w:w="3135"/>
          </w:tcPr>
          <w:p>
            <w:r>
              <w:rPr>
                <w:rFonts w:ascii="Meiryo UI" w:hAnsi="Meiryo UI"/>
                <w:sz w:val="18"/>
              </w:rPr>
              <w:t>¥171</w:t>
            </w:r>
          </w:p>
        </w:tc>
        <w:tc>
          <w:tcPr>
            <w:tcW w:type="dxa" w:w="3135"/>
          </w:tcPr>
          <w:p>
            <w:r>
              <w:rPr>
                <w:rFonts w:ascii="Meiryo UI" w:hAnsi="Meiryo UI"/>
                <w:sz w:val="18"/>
              </w:rPr>
              <w:t>FY3/2026通期EPS。前期比増益（推定）</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¥1,107</w:t>
            </w:r>
          </w:p>
        </w:tc>
        <w:tc>
          <w:tcPr>
            <w:tcW w:type="dxa" w:w="3135"/>
            <w:shd w:val="clear" w:color="auto" w:fill="DDEBF7"/>
          </w:tcPr>
          <w:p>
            <w:r>
              <w:rPr>
                <w:rFonts w:ascii="Meiryo UI" w:hAnsi="Meiryo UI"/>
                <w:sz w:val="18"/>
              </w:rPr>
              <w:t>純資産厚い。ROE16%は「稼ぐ力」の証明</w:t>
            </w:r>
          </w:p>
        </w:tc>
      </w:tr>
      <w:tr>
        <w:tc>
          <w:tcPr>
            <w:tcW w:type="dxa" w:w="3135"/>
          </w:tcPr>
          <w:p>
            <w:r>
              <w:rPr>
                <w:rFonts w:ascii="Meiryo UI" w:hAnsi="Meiryo UI"/>
                <w:sz w:val="18"/>
              </w:rPr>
              <w:t>ROE</w:t>
            </w:r>
          </w:p>
        </w:tc>
        <w:tc>
          <w:tcPr>
            <w:tcW w:type="dxa" w:w="3135"/>
          </w:tcPr>
          <w:p>
            <w:r>
              <w:rPr>
                <w:rFonts w:ascii="Meiryo UI" w:hAnsi="Meiryo UI"/>
                <w:sz w:val="18"/>
              </w:rPr>
              <w:t>16.0%</w:t>
            </w:r>
          </w:p>
        </w:tc>
        <w:tc>
          <w:tcPr>
            <w:tcW w:type="dxa" w:w="3135"/>
          </w:tcPr>
          <w:p>
            <w:r>
              <w:rPr>
                <w:rFonts w:ascii="Meiryo UI" w:hAnsi="Meiryo UI"/>
                <w:sz w:val="18"/>
              </w:rPr>
              <w:t>日本株平均（約8〜9%）の約2倍。超優良</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24.2倍</w:t>
            </w:r>
          </w:p>
        </w:tc>
        <w:tc>
          <w:tcPr>
            <w:tcW w:type="dxa" w:w="3135"/>
            <w:shd w:val="clear" w:color="auto" w:fill="DDEBF7"/>
          </w:tcPr>
          <w:p>
            <w:r>
              <w:rPr>
                <w:rFonts w:ascii="Meiryo UI" w:hAnsi="Meiryo UI"/>
                <w:sz w:val="18"/>
              </w:rPr>
              <w:t>成長プレミアム込みの評価。割高感はあるが正当化可能圏</w:t>
            </w:r>
          </w:p>
        </w:tc>
      </w:tr>
      <w:tr>
        <w:tc>
          <w:tcPr>
            <w:tcW w:type="dxa" w:w="3135"/>
          </w:tcPr>
          <w:p>
            <w:r>
              <w:rPr>
                <w:rFonts w:ascii="Meiryo UI" w:hAnsi="Meiryo UI"/>
                <w:sz w:val="18"/>
              </w:rPr>
              <w:t>PBR</w:t>
            </w:r>
          </w:p>
        </w:tc>
        <w:tc>
          <w:tcPr>
            <w:tcW w:type="dxa" w:w="3135"/>
          </w:tcPr>
          <w:p>
            <w:r>
              <w:rPr>
                <w:rFonts w:ascii="Meiryo UI" w:hAnsi="Meiryo UI"/>
                <w:sz w:val="18"/>
              </w:rPr>
              <w:t>3.74倍</w:t>
            </w:r>
          </w:p>
        </w:tc>
        <w:tc>
          <w:tcPr>
            <w:tcW w:type="dxa" w:w="3135"/>
          </w:tcPr>
          <w:p>
            <w:r>
              <w:rPr>
                <w:rFonts w:ascii="Meiryo UI" w:hAnsi="Meiryo UI"/>
                <w:sz w:val="18"/>
              </w:rPr>
              <w:t>ROE16%×持続的成長を考慮すれば妥当レンジ</w:t>
            </w:r>
          </w:p>
        </w:tc>
      </w:tr>
    </w:tbl>
    <w:p/>
    <w:p>
      <w:r>
        <w:rPr>
          <w:rFonts w:ascii="Meiryo UI" w:hAnsi="Meiryo UI"/>
          <w:sz w:val="20"/>
        </w:rPr>
        <w:t>ROEとPBRの整合性チェック（Gordon Growth Model的検証）</w:t>
      </w:r>
    </w:p>
    <w:p/>
    <w:p>
      <w:pPr>
        <w:shd w:val="clear" w:color="auto" w:fill="F2F2F2"/>
      </w:pPr>
      <w:r>
        <w:rPr>
          <w:rFonts w:ascii="Courier New" w:hAnsi="Courier New"/>
          <w:sz w:val="16"/>
        </w:rPr>
        <w:t>理論PBR = ROE / (Re - g)</w:t>
        <w:br/>
        <w:t>ROE = 16.0%、Re（後述WACC類似）≒ 6.5%、g = 4.0%</w:t>
        <w:br/>
        <w:t>理論PBR = 16.0% / (6.5% - 4.0%) = 16.0% / 2.5% = 6.4倍</w:t>
      </w:r>
    </w:p>
    <w:p>
      <w:r>
        <w:rPr>
          <w:rFonts w:ascii="Meiryo UI" w:hAnsi="Meiryo UI"/>
          <w:sz w:val="20"/>
        </w:rPr>
        <w:t>→ 現在PBR 3.74倍は理論PBR 6.4倍を大幅に下回る = 割安シグナル</w:t>
      </w:r>
    </w:p>
    <w:p>
      <w:r>
        <w:rPr>
          <w:rFonts w:ascii="Meiryo UI" w:hAnsi="Meiryo UI"/>
          <w:sz w:val="20"/>
        </w:rPr>
        <w:t>（ただしROE持続性・成長率前提に依存するため、保守的にみても PBR 3〜4倍は正当化される水準）</w:t>
      </w:r>
    </w:p>
    <w:p/>
    <w:p>
      <w:pPr>
        <w:pStyle w:val="Heading4"/>
      </w:pPr>
      <w:r>
        <w:rPr>
          <w:rFonts w:ascii="Meiryo UI" w:hAnsi="Meiryo UI"/>
          <w:color w:val="2E74B5"/>
        </w:rPr>
        <w:t>2-3. 決算の「核心メッセージ」</w:t>
      </w:r>
    </w:p>
    <w:p/>
    <w:p>
      <w:pPr>
        <w:pStyle w:val="ListBullet"/>
      </w:pPr>
      <w:r>
        <w:rPr>
          <w:rFonts w:ascii="Meiryo UI" w:hAnsi="Meiryo UI"/>
          <w:sz w:val="20"/>
        </w:rPr>
        <w:t>本質的な強さ：無借金×高ROE×ストック型収益（保守契約）の三位一体モデルが維持されている</w:t>
      </w:r>
    </w:p>
    <w:p>
      <w:pPr>
        <w:pStyle w:val="ListBullet"/>
      </w:pPr>
      <w:r>
        <w:rPr>
          <w:rFonts w:ascii="Meiryo UI" w:hAnsi="Meiryo UI"/>
          <w:sz w:val="20"/>
        </w:rPr>
        <w:t>成長の持続性：低一桁〜中一桁%成長でも、FCF創出力と株主還元余力が株価下値を支える</w:t>
      </w:r>
    </w:p>
    <w:p>
      <w:pPr>
        <w:pStyle w:val="ListBullet"/>
      </w:pPr>
      <w:r>
        <w:rPr>
          <w:rFonts w:ascii="Meiryo UI" w:hAnsi="Meiryo UI"/>
          <w:sz w:val="20"/>
        </w:rPr>
        <w:t>投資家へのシグナル：増配はマネジメントの自信の表れ。「利益が本物」であることの証明</w:t>
      </w:r>
    </w:p>
    <w:p/>
    <w:p>
      <w:r>
        <w:t>──────────────────────────────────────────────────</w:t>
      </w:r>
    </w:p>
    <w:p/>
    <w:p>
      <w:pPr>
        <w:pStyle w:val="Heading2"/>
      </w:pPr>
      <w:r>
        <w:rPr>
          <w:rFonts w:ascii="Meiryo UI" w:hAnsi="Meiryo UI"/>
          <w:color w:val="2E74B5"/>
        </w:rPr>
        <w:t>3. 財務ハイライト（FY3/2026）</w:t>
      </w:r>
    </w:p>
    <w:p/>
    <w:p>
      <w:pPr>
        <w:pStyle w:val="Heading3"/>
      </w:pPr>
      <w:r>
        <w:rPr>
          <w:rFonts w:ascii="Meiryo UI" w:hAnsi="Meiryo UI"/>
          <w:color w:val="2E74B5"/>
        </w:rPr>
        <w:t>3-1. 主要財務指標サマリー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FY3/2026（実績）</w:t>
            </w:r>
          </w:p>
        </w:tc>
        <w:tc>
          <w:tcPr>
            <w:tcW w:type="dxa" w:w="2351"/>
            <w:shd w:val="clear" w:color="auto" w:fill="2E74B5"/>
          </w:tcPr>
          <w:p>
            <w:r>
              <w:rPr>
                <w:rFonts w:ascii="Meiryo UI" w:hAnsi="Meiryo UI"/>
                <w:b/>
                <w:color w:val="FFFFFF"/>
                <w:sz w:val="18"/>
              </w:rPr>
              <w:t>前期比（推定）</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EPS</w:t>
            </w:r>
          </w:p>
        </w:tc>
        <w:tc>
          <w:tcPr>
            <w:tcW w:type="dxa" w:w="2351"/>
          </w:tcPr>
          <w:p>
            <w:r>
              <w:rPr>
                <w:rFonts w:ascii="Meiryo UI" w:hAnsi="Meiryo UI"/>
                <w:sz w:val="18"/>
              </w:rPr>
              <w:t>¥171</w:t>
            </w:r>
          </w:p>
        </w:tc>
        <w:tc>
          <w:tcPr>
            <w:tcW w:type="dxa" w:w="2351"/>
          </w:tcPr>
          <w:p>
            <w:r>
              <w:rPr>
                <w:rFonts w:ascii="Meiryo UI" w:hAnsi="Meiryo UI"/>
                <w:sz w:val="18"/>
              </w:rPr>
              <w:t>増益（推定+5〜8%）</w:t>
            </w:r>
          </w:p>
        </w:tc>
        <w:tc>
          <w:tcPr>
            <w:tcW w:type="dxa" w:w="2351"/>
          </w:tcPr>
          <w:p>
            <w:r>
              <w:rPr>
                <w:rFonts w:ascii="Meiryo UI" w:hAnsi="Meiryo UI"/>
                <w:sz w:val="18"/>
              </w:rPr>
              <w:t>提供値。実力値と一致</w:t>
            </w:r>
          </w:p>
        </w:tc>
      </w:tr>
      <w:tr>
        <w:tc>
          <w:tcPr>
            <w:tcW w:type="dxa" w:w="2351"/>
            <w:shd w:val="clear" w:color="auto" w:fill="DDEBF7"/>
          </w:tcPr>
          <w:p>
            <w:r>
              <w:rPr>
                <w:rFonts w:ascii="Meiryo UI" w:hAnsi="Meiryo UI"/>
                <w:sz w:val="18"/>
              </w:rPr>
              <w:t>BPS</w:t>
            </w:r>
          </w:p>
        </w:tc>
        <w:tc>
          <w:tcPr>
            <w:tcW w:type="dxa" w:w="2351"/>
            <w:shd w:val="clear" w:color="auto" w:fill="DDEBF7"/>
          </w:tcPr>
          <w:p>
            <w:r>
              <w:rPr>
                <w:rFonts w:ascii="Meiryo UI" w:hAnsi="Meiryo UI"/>
                <w:sz w:val="18"/>
              </w:rPr>
              <w:t>¥1,107</w:t>
            </w:r>
          </w:p>
        </w:tc>
        <w:tc>
          <w:tcPr>
            <w:tcW w:type="dxa" w:w="2351"/>
            <w:shd w:val="clear" w:color="auto" w:fill="DDEBF7"/>
          </w:tcPr>
          <w:p>
            <w:r>
              <w:rPr>
                <w:rFonts w:ascii="Meiryo UI" w:hAnsi="Meiryo UI"/>
                <w:sz w:val="18"/>
              </w:rPr>
              <w:t>増加継続</w:t>
            </w:r>
          </w:p>
        </w:tc>
        <w:tc>
          <w:tcPr>
            <w:tcW w:type="dxa" w:w="2351"/>
            <w:shd w:val="clear" w:color="auto" w:fill="DDEBF7"/>
          </w:tcPr>
          <w:p>
            <w:r>
              <w:rPr>
                <w:rFonts w:ascii="Meiryo UI" w:hAnsi="Meiryo UI"/>
                <w:sz w:val="18"/>
              </w:rPr>
              <w:t>内部留保積み上がり</w:t>
            </w:r>
          </w:p>
        </w:tc>
      </w:tr>
      <w:tr>
        <w:tc>
          <w:tcPr>
            <w:tcW w:type="dxa" w:w="2351"/>
          </w:tcPr>
          <w:p>
            <w:r>
              <w:rPr>
                <w:rFonts w:ascii="Meiryo UI" w:hAnsi="Meiryo UI"/>
                <w:sz w:val="18"/>
              </w:rPr>
              <w:t>ROE</w:t>
            </w:r>
          </w:p>
        </w:tc>
        <w:tc>
          <w:tcPr>
            <w:tcW w:type="dxa" w:w="2351"/>
          </w:tcPr>
          <w:p>
            <w:r>
              <w:rPr>
                <w:rFonts w:ascii="Meiryo UI" w:hAnsi="Meiryo UI"/>
                <w:sz w:val="18"/>
              </w:rPr>
              <w:t>16.0%</w:t>
            </w:r>
          </w:p>
        </w:tc>
        <w:tc>
          <w:tcPr>
            <w:tcW w:type="dxa" w:w="2351"/>
          </w:tcPr>
          <w:p>
            <w:r>
              <w:rPr>
                <w:rFonts w:ascii="Meiryo UI" w:hAnsi="Meiryo UI"/>
                <w:sz w:val="18"/>
              </w:rPr>
              <w:t>安定維持</w:t>
            </w:r>
          </w:p>
        </w:tc>
        <w:tc>
          <w:tcPr>
            <w:tcW w:type="dxa" w:w="2351"/>
          </w:tcPr>
          <w:p>
            <w:r>
              <w:rPr>
                <w:rFonts w:ascii="Meiryo UI" w:hAnsi="Meiryo UI"/>
                <w:sz w:val="18"/>
              </w:rPr>
              <w:t>日本株トップクラス</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24.2倍</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成長プレミアム込み</w:t>
            </w:r>
          </w:p>
        </w:tc>
      </w:tr>
      <w:tr>
        <w:tc>
          <w:tcPr>
            <w:tcW w:type="dxa" w:w="2351"/>
          </w:tcPr>
          <w:p>
            <w:r>
              <w:rPr>
                <w:rFonts w:ascii="Meiryo UI" w:hAnsi="Meiryo UI"/>
                <w:sz w:val="18"/>
              </w:rPr>
              <w:t>PBR</w:t>
            </w:r>
          </w:p>
        </w:tc>
        <w:tc>
          <w:tcPr>
            <w:tcW w:type="dxa" w:w="2351"/>
          </w:tcPr>
          <w:p>
            <w:r>
              <w:rPr>
                <w:rFonts w:ascii="Meiryo UI" w:hAnsi="Meiryo UI"/>
                <w:sz w:val="18"/>
              </w:rPr>
              <w:t>3.74倍</w:t>
            </w:r>
          </w:p>
        </w:tc>
        <w:tc>
          <w:tcPr>
            <w:tcW w:type="dxa" w:w="2351"/>
          </w:tcPr>
          <w:p>
            <w:r>
              <w:rPr>
                <w:rFonts w:ascii="Meiryo UI" w:hAnsi="Meiryo UI"/>
                <w:sz w:val="18"/>
              </w:rPr>
              <w:t>—</w:t>
            </w:r>
          </w:p>
        </w:tc>
        <w:tc>
          <w:tcPr>
            <w:tcW w:type="dxa" w:w="2351"/>
          </w:tcPr>
          <w:p>
            <w:r>
              <w:rPr>
                <w:rFonts w:ascii="Meiryo UI" w:hAnsi="Meiryo UI"/>
                <w:sz w:val="18"/>
              </w:rPr>
              <w:t>理論値より保守的</w:t>
            </w:r>
          </w:p>
        </w:tc>
      </w:tr>
      <w:tr>
        <w:tc>
          <w:tcPr>
            <w:tcW w:type="dxa" w:w="2351"/>
            <w:shd w:val="clear" w:color="auto" w:fill="DDEBF7"/>
          </w:tcPr>
          <w:p>
            <w:r>
              <w:rPr>
                <w:rFonts w:ascii="Meiryo UI" w:hAnsi="Meiryo UI"/>
                <w:sz w:val="18"/>
              </w:rPr>
              <w:t>有利子負債</w:t>
            </w:r>
          </w:p>
        </w:tc>
        <w:tc>
          <w:tcPr>
            <w:tcW w:type="dxa" w:w="2351"/>
            <w:shd w:val="clear" w:color="auto" w:fill="DDEBF7"/>
          </w:tcPr>
          <w:p>
            <w:r>
              <w:rPr>
                <w:rFonts w:ascii="Meiryo UI" w:hAnsi="Meiryo UI"/>
                <w:sz w:val="18"/>
              </w:rPr>
              <w:t>≒ゼロ</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無借金経営継続</w:t>
            </w:r>
          </w:p>
        </w:tc>
      </w:tr>
      <w:tr>
        <w:tc>
          <w:tcPr>
            <w:tcW w:type="dxa" w:w="2351"/>
          </w:tcPr>
          <w:p>
            <w:r>
              <w:rPr>
                <w:rFonts w:ascii="Meiryo UI" w:hAnsi="Meiryo UI"/>
                <w:sz w:val="18"/>
              </w:rPr>
              <w:t>配当</w:t>
            </w:r>
          </w:p>
        </w:tc>
        <w:tc>
          <w:tcPr>
            <w:tcW w:type="dxa" w:w="2351"/>
          </w:tcPr>
          <w:p>
            <w:r>
              <w:rPr>
                <w:rFonts w:ascii="Meiryo UI" w:hAnsi="Meiryo UI"/>
                <w:sz w:val="18"/>
              </w:rPr>
              <w:t>増配（具体額は会社IR参照）</w:t>
            </w:r>
          </w:p>
        </w:tc>
        <w:tc>
          <w:tcPr>
            <w:tcW w:type="dxa" w:w="2351"/>
          </w:tcPr>
          <w:p>
            <w:r>
              <w:rPr>
                <w:rFonts w:ascii="Meiryo UI" w:hAnsi="Meiryo UI"/>
                <w:sz w:val="18"/>
              </w:rPr>
              <w:t>増配継続</w:t>
            </w:r>
          </w:p>
        </w:tc>
        <w:tc>
          <w:tcPr>
            <w:tcW w:type="dxa" w:w="2351"/>
          </w:tcPr>
          <w:p>
            <w:r>
              <w:rPr>
                <w:rFonts w:ascii="Meiryo UI" w:hAnsi="Meiryo UI"/>
                <w:sz w:val="18"/>
              </w:rPr>
              <w:t>株主還元強化</w:t>
            </w:r>
          </w:p>
        </w:tc>
      </w:tr>
    </w:tbl>
    <w:p/>
    <w:p>
      <w:pPr>
        <w:pStyle w:val="Heading3"/>
      </w:pPr>
      <w:r>
        <w:rPr>
          <w:rFonts w:ascii="Meiryo UI" w:hAnsi="Meiryo UI"/>
          <w:color w:val="2E74B5"/>
        </w:rPr>
        <w:t>3-2. 収益性・キャッシュフロー推計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営業利益率</w:t>
            </w:r>
          </w:p>
        </w:tc>
        <w:tc>
          <w:tcPr>
            <w:tcW w:type="dxa" w:w="3135"/>
          </w:tcPr>
          <w:p>
            <w:r>
              <w:rPr>
                <w:rFonts w:ascii="Meiryo UI" w:hAnsi="Meiryo UI"/>
                <w:sz w:val="18"/>
              </w:rPr>
              <w:t>35〜40%（推定）</w:t>
            </w:r>
          </w:p>
        </w:tc>
        <w:tc>
          <w:tcPr>
            <w:tcW w:type="dxa" w:w="3135"/>
          </w:tcPr>
          <w:p>
            <w:r>
              <w:rPr>
                <w:rFonts w:ascii="Meiryo UI" w:hAnsi="Meiryo UI"/>
                <w:sz w:val="18"/>
              </w:rPr>
              <w:t>オービックの歴史的高マージン体質</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25〜32%（推定）</w:t>
            </w:r>
          </w:p>
        </w:tc>
        <w:tc>
          <w:tcPr>
            <w:tcW w:type="dxa" w:w="3135"/>
            <w:shd w:val="clear" w:color="auto" w:fill="DDEBF7"/>
          </w:tcPr>
          <w:p>
            <w:r>
              <w:rPr>
                <w:rFonts w:ascii="Meiryo UI" w:hAnsi="Meiryo UI"/>
                <w:sz w:val="18"/>
              </w:rPr>
              <w:t>設備投資が軽く、FCF=≒純利益に近い</w:t>
            </w:r>
          </w:p>
        </w:tc>
      </w:tr>
      <w:tr>
        <w:tc>
          <w:tcPr>
            <w:tcW w:type="dxa" w:w="3135"/>
          </w:tcPr>
          <w:p>
            <w:r>
              <w:rPr>
                <w:rFonts w:ascii="Meiryo UI" w:hAnsi="Meiryo UI"/>
                <w:sz w:val="18"/>
              </w:rPr>
              <w:t>NRR（純収益維持率）</w:t>
            </w:r>
          </w:p>
        </w:tc>
        <w:tc>
          <w:tcPr>
            <w:tcW w:type="dxa" w:w="3135"/>
          </w:tcPr>
          <w:p>
            <w:r>
              <w:rPr>
                <w:rFonts w:ascii="Meiryo UI" w:hAnsi="Meiryo UI"/>
                <w:sz w:val="18"/>
              </w:rPr>
              <w:t>100%超（推定）</w:t>
            </w:r>
          </w:p>
        </w:tc>
        <w:tc>
          <w:tcPr>
            <w:tcW w:type="dxa" w:w="3135"/>
          </w:tcPr>
          <w:p>
            <w:r>
              <w:rPr>
                <w:rFonts w:ascii="Meiryo UI" w:hAnsi="Meiryo UI"/>
                <w:sz w:val="18"/>
              </w:rPr>
              <w:t>保守契約の継続率は極めて高い</w:t>
            </w:r>
          </w:p>
        </w:tc>
      </w:tr>
    </w:tbl>
    <w:p/>
    <w:p>
      <w:r>
        <w:rPr>
          <w:rFonts w:ascii="Meiryo UI" w:hAnsi="Meiryo UI"/>
          <w:sz w:val="20"/>
        </w:rPr>
        <w:t>&gt; 注記：売上高絶対値・営業利益額の詳細は4/21公表の有価証券報告書・決算短信を要参照。EPS¥171から時価総額・発行株数で逆算する場合、会社公表値との照合が必要。</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p>
      <w:pPr>
        <w:pStyle w:val="Heading4"/>
      </w:pPr>
      <w:r>
        <w:rPr>
          <w:rFonts w:ascii="Meiryo UI" w:hAnsi="Meiryo UI"/>
          <w:color w:val="2E74B5"/>
        </w:rPr>
        <w:t>マクロ前提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パラメーター</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2.405%</w:t>
            </w:r>
          </w:p>
        </w:tc>
        <w:tc>
          <w:tcPr>
            <w:tcW w:type="dxa" w:w="3135"/>
          </w:tcPr>
          <w:p>
            <w:r>
              <w:rPr>
                <w:rFonts w:ascii="Meiryo UI" w:hAnsi="Meiryo UI"/>
                <w:sz w:val="18"/>
              </w:rPr>
              <w:t>JGB10Y（財務省 2026-04-22）</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日本株長期実証値（Damodaran 2025年推計：日本4.5〜5.5%）上限使用</w:t>
            </w:r>
          </w:p>
        </w:tc>
      </w:tr>
      <w:tr>
        <w:tc>
          <w:tcPr>
            <w:tcW w:type="dxa" w:w="3135"/>
          </w:tcPr>
          <w:p>
            <w:r>
              <w:rPr>
                <w:rFonts w:ascii="Meiryo UI" w:hAnsi="Meiryo UI"/>
                <w:sz w:val="18"/>
              </w:rPr>
              <w:t>β（ベータ）</w:t>
            </w:r>
          </w:p>
        </w:tc>
        <w:tc>
          <w:tcPr>
            <w:tcW w:type="dxa" w:w="3135"/>
          </w:tcPr>
          <w:p>
            <w:r>
              <w:rPr>
                <w:rFonts w:ascii="Meiryo UI" w:hAnsi="Meiryo UI"/>
                <w:sz w:val="18"/>
              </w:rPr>
              <w:t>0.75</w:t>
            </w:r>
          </w:p>
        </w:tc>
        <w:tc>
          <w:tcPr>
            <w:tcW w:type="dxa" w:w="3135"/>
          </w:tcPr>
          <w:p>
            <w:r>
              <w:rPr>
                <w:rFonts w:ascii="Meiryo UI" w:hAnsi="Meiryo UI"/>
                <w:sz w:val="18"/>
              </w:rPr>
              <w:t>オービックは低ボラティリティ・ディフェンシブ優良株。市場ベータ0.7〜0.8のレンジ中央</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2.405% + 0.75 × 5.5% = 6.53%</w:t>
            </w:r>
          </w:p>
        </w:tc>
        <w:tc>
          <w:tcPr>
            <w:tcW w:type="dxa" w:w="3135"/>
            <w:shd w:val="clear" w:color="auto" w:fill="DDEBF7"/>
          </w:tcPr>
          <w:p>
            <w:r>
              <w:rPr>
                <w:rFonts w:ascii="Meiryo UI" w:hAnsi="Meiryo UI"/>
                <w:sz w:val="18"/>
              </w:rPr>
              <w:t>上記計算</w:t>
            </w:r>
          </w:p>
        </w:tc>
      </w:tr>
      <w:tr>
        <w:tc>
          <w:tcPr>
            <w:tcW w:type="dxa" w:w="3135"/>
          </w:tcPr>
          <w:p>
            <w:r>
              <w:rPr>
                <w:rFonts w:ascii="Meiryo UI" w:hAnsi="Meiryo UI"/>
                <w:sz w:val="18"/>
              </w:rPr>
              <w:t>負債コスト（Rd）</w:t>
            </w:r>
          </w:p>
        </w:tc>
        <w:tc>
          <w:tcPr>
            <w:tcW w:type="dxa" w:w="3135"/>
          </w:tcPr>
          <w:p>
            <w:r>
              <w:rPr>
                <w:rFonts w:ascii="Meiryo UI" w:hAnsi="Meiryo UI"/>
                <w:sz w:val="18"/>
              </w:rPr>
              <w:t>0%（無借金）</w:t>
            </w:r>
          </w:p>
        </w:tc>
        <w:tc>
          <w:tcPr>
            <w:tcW w:type="dxa" w:w="3135"/>
          </w:tcPr>
          <w:p>
            <w:r>
              <w:rPr>
                <w:rFonts w:ascii="Meiryo UI" w:hAnsi="Meiryo UI"/>
                <w:sz w:val="18"/>
              </w:rPr>
              <w:t>有利子負債ゼロ</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日本法人実効税率</w:t>
            </w:r>
          </w:p>
        </w:tc>
      </w:tr>
      <w:tr>
        <w:tc>
          <w:tcPr>
            <w:tcW w:type="dxa" w:w="3135"/>
          </w:tcPr>
          <w:p>
            <w:r>
              <w:rPr>
                <w:rFonts w:ascii="Meiryo UI" w:hAnsi="Meiryo UI"/>
                <w:sz w:val="18"/>
              </w:rPr>
              <w:t>資本構成 E/(D+E)</w:t>
            </w:r>
          </w:p>
        </w:tc>
        <w:tc>
          <w:tcPr>
            <w:tcW w:type="dxa" w:w="3135"/>
          </w:tcPr>
          <w:p>
            <w:r>
              <w:rPr>
                <w:rFonts w:ascii="Meiryo UI" w:hAnsi="Meiryo UI"/>
                <w:sz w:val="18"/>
              </w:rPr>
              <w:t>100%（無借金）</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 Re = 6.53%</w:t>
            </w:r>
          </w:p>
        </w:tc>
        <w:tc>
          <w:tcPr>
            <w:tcW w:type="dxa" w:w="3135"/>
            <w:shd w:val="clear" w:color="auto" w:fill="DDEBF7"/>
          </w:tcPr>
          <w:p>
            <w:r>
              <w:rPr>
                <w:rFonts w:ascii="Meiryo UI" w:hAnsi="Meiryo UI"/>
                <w:sz w:val="18"/>
              </w:rPr>
              <w:t>D=0のためWACC=Re</w:t>
            </w:r>
          </w:p>
        </w:tc>
      </w:tr>
      <w:tr>
        <w:tc>
          <w:tcPr>
            <w:tcW w:type="dxa" w:w="3135"/>
          </w:tcPr>
          <w:p>
            <w:r>
              <w:rPr>
                <w:rFonts w:ascii="Meiryo UI" w:hAnsi="Meiryo UI"/>
                <w:sz w:val="18"/>
              </w:rPr>
              <w:t>永久成長率（g）</w:t>
            </w:r>
          </w:p>
        </w:tc>
        <w:tc>
          <w:tcPr>
            <w:tcW w:type="dxa" w:w="3135"/>
          </w:tcPr>
          <w:p>
            <w:r>
              <w:rPr>
                <w:rFonts w:ascii="Meiryo UI" w:hAnsi="Meiryo UI"/>
                <w:sz w:val="18"/>
              </w:rPr>
              <w:t>3.0%（基本）/ 4.0%（強気）/ 1.5%（弱気）</w:t>
            </w:r>
          </w:p>
        </w:tc>
        <w:tc>
          <w:tcPr>
            <w:tcW w:type="dxa" w:w="3135"/>
          </w:tcPr>
          <w:p>
            <w:r>
              <w:rPr>
                <w:rFonts w:ascii="Meiryo UI" w:hAnsi="Meiryo UI"/>
                <w:sz w:val="18"/>
              </w:rPr>
              <w:t>国内GDP成長+DX需要織り込み</w:t>
            </w:r>
          </w:p>
        </w:tc>
      </w:tr>
    </w:tbl>
    <w:p/>
    <w:p>
      <w:pPr>
        <w:pStyle w:val="Heading4"/>
      </w:pPr>
      <w:r>
        <w:rPr>
          <w:rFonts w:ascii="Meiryo UI" w:hAnsi="Meiryo UI"/>
          <w:color w:val="2E74B5"/>
        </w:rPr>
        <w:t>FCF推計前提</w:t>
      </w:r>
    </w:p>
    <w:p/>
    <w:p>
      <w:r>
        <w:rPr>
          <w:rFonts w:ascii="Meiryo UI" w:hAnsi="Meiryo UI"/>
          <w:sz w:val="20"/>
        </w:rPr>
        <w:t>EPS ¥171、FCF conversion ≒ 90%（設備投資軽微・減価償却小）</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FY3/2026 EPS</w:t>
            </w:r>
          </w:p>
        </w:tc>
        <w:tc>
          <w:tcPr>
            <w:tcW w:type="dxa" w:w="3135"/>
          </w:tcPr>
          <w:p>
            <w:r>
              <w:rPr>
                <w:rFonts w:ascii="Meiryo UI" w:hAnsi="Meiryo UI"/>
                <w:sz w:val="18"/>
              </w:rPr>
              <w:t>¥171</w:t>
            </w:r>
          </w:p>
        </w:tc>
        <w:tc>
          <w:tcPr>
            <w:tcW w:type="dxa" w:w="3135"/>
          </w:tcPr>
          <w:p>
            <w:r>
              <w:rPr>
                <w:rFonts w:ascii="Meiryo UI" w:hAnsi="Meiryo UI"/>
                <w:sz w:val="18"/>
              </w:rPr>
              <w:t>提供値</w:t>
            </w:r>
          </w:p>
        </w:tc>
      </w:tr>
      <w:tr>
        <w:tc>
          <w:tcPr>
            <w:tcW w:type="dxa" w:w="3135"/>
            <w:shd w:val="clear" w:color="auto" w:fill="DDEBF7"/>
          </w:tcPr>
          <w:p>
            <w:r>
              <w:rPr>
                <w:rFonts w:ascii="Meiryo UI" w:hAnsi="Meiryo UI"/>
                <w:sz w:val="18"/>
              </w:rPr>
              <w:t>FCF per Share（FY3/2026）</w:t>
            </w:r>
          </w:p>
        </w:tc>
        <w:tc>
          <w:tcPr>
            <w:tcW w:type="dxa" w:w="3135"/>
            <w:shd w:val="clear" w:color="auto" w:fill="DDEBF7"/>
          </w:tcPr>
          <w:p>
            <w:r>
              <w:rPr>
                <w:rFonts w:ascii="Meiryo UI" w:hAnsi="Meiryo UI"/>
                <w:sz w:val="18"/>
              </w:rPr>
              <w:t>¥154（≒ ¥171 × 90%）</w:t>
            </w:r>
          </w:p>
        </w:tc>
        <w:tc>
          <w:tcPr>
            <w:tcW w:type="dxa" w:w="3135"/>
            <w:shd w:val="clear" w:color="auto" w:fill="DDEBF7"/>
          </w:tcPr>
          <w:p>
            <w:r>
              <w:rPr>
                <w:rFonts w:ascii="Meiryo UI" w:hAnsi="Meiryo UI"/>
                <w:sz w:val="18"/>
              </w:rPr>
              <w:t>FCFコンバージョン90%</w:t>
            </w:r>
          </w:p>
        </w:tc>
      </w:tr>
      <w:tr>
        <w:tc>
          <w:tcPr>
            <w:tcW w:type="dxa" w:w="3135"/>
          </w:tcPr>
          <w:p>
            <w:r>
              <w:rPr>
                <w:rFonts w:ascii="Meiryo UI" w:hAnsi="Meiryo UI"/>
                <w:sz w:val="18"/>
              </w:rPr>
              <w:t>近中期成長率（FY27〜31）</w:t>
            </w:r>
          </w:p>
        </w:tc>
        <w:tc>
          <w:tcPr>
            <w:tcW w:type="dxa" w:w="3135"/>
          </w:tcPr>
          <w:p>
            <w:r>
              <w:rPr>
                <w:rFonts w:ascii="Meiryo UI" w:hAnsi="Meiryo UI"/>
                <w:sz w:val="18"/>
              </w:rPr>
              <w:t>+5.5%/年（基本）</w:t>
            </w:r>
          </w:p>
        </w:tc>
        <w:tc>
          <w:tcPr>
            <w:tcW w:type="dxa" w:w="3135"/>
          </w:tcPr>
          <w:p>
            <w:r>
              <w:rPr>
                <w:rFonts w:ascii="Meiryo UI" w:hAnsi="Meiryo UI"/>
                <w:sz w:val="18"/>
              </w:rPr>
              <w:t>ERP更新サイクル+クラウド移行</w:t>
            </w:r>
          </w:p>
        </w:tc>
      </w:tr>
      <w:tr>
        <w:tc>
          <w:tcPr>
            <w:tcW w:type="dxa" w:w="3135"/>
            <w:shd w:val="clear" w:color="auto" w:fill="DDEBF7"/>
          </w:tcPr>
          <w:p>
            <w:r>
              <w:rPr>
                <w:rFonts w:ascii="Meiryo UI" w:hAnsi="Meiryo UI"/>
                <w:sz w:val="18"/>
              </w:rPr>
              <w:t>中期以降成長率（FY32〜36）</w:t>
            </w:r>
          </w:p>
        </w:tc>
        <w:tc>
          <w:tcPr>
            <w:tcW w:type="dxa" w:w="3135"/>
            <w:shd w:val="clear" w:color="auto" w:fill="DDEBF7"/>
          </w:tcPr>
          <w:p>
            <w:r>
              <w:rPr>
                <w:rFonts w:ascii="Meiryo UI" w:hAnsi="Meiryo UI"/>
                <w:sz w:val="18"/>
              </w:rPr>
              <w:t>+3.5%/年（基本）</w:t>
            </w:r>
          </w:p>
        </w:tc>
        <w:tc>
          <w:tcPr>
            <w:tcW w:type="dxa" w:w="3135"/>
            <w:shd w:val="clear" w:color="auto" w:fill="DDEBF7"/>
          </w:tcPr>
          <w:p>
            <w:r>
              <w:rPr>
                <w:rFonts w:ascii="Meiryo UI" w:hAnsi="Meiryo UI"/>
                <w:sz w:val="18"/>
              </w:rPr>
              <w:t>成熟期に向けた減速</w:t>
            </w:r>
          </w:p>
        </w:tc>
      </w:tr>
      <w:tr>
        <w:tc>
          <w:tcPr>
            <w:tcW w:type="dxa" w:w="3135"/>
          </w:tcPr>
          <w:p>
            <w:r>
              <w:rPr>
                <w:rFonts w:ascii="Meiryo UI" w:hAnsi="Meiryo UI"/>
                <w:sz w:val="18"/>
              </w:rPr>
              <w:t>ターミナル成長率（g）</w:t>
            </w:r>
          </w:p>
        </w:tc>
        <w:tc>
          <w:tcPr>
            <w:tcW w:type="dxa" w:w="3135"/>
          </w:tcPr>
          <w:p>
            <w:r>
              <w:rPr>
                <w:rFonts w:ascii="Meiryo UI" w:hAnsi="Meiryo UI"/>
                <w:sz w:val="18"/>
              </w:rPr>
              <w:t>3.0%（基本）</w:t>
            </w:r>
          </w:p>
        </w:tc>
        <w:tc>
          <w:tcPr>
            <w:tcW w:type="dxa" w:w="3135"/>
          </w:tcPr>
          <w:p>
            <w:r>
              <w:rPr>
                <w:rFonts w:ascii="Meiryo UI" w:hAnsi="Meiryo UI"/>
                <w:sz w:val="18"/>
              </w:rPr>
              <w:t>上記設定</w:t>
            </w:r>
          </w:p>
        </w:tc>
      </w:tr>
    </w:tbl>
    <w:p/>
    <w:p>
      <w:pPr>
        <w:pStyle w:val="Heading3"/>
      </w:pPr>
      <w:r>
        <w:rPr>
          <w:rFonts w:ascii="Meiryo UI" w:hAnsi="Meiryo UI"/>
          <w:color w:val="2E74B5"/>
        </w:rPr>
        <w:t>4-2. DCF計算（基本ケース）</w:t>
      </w:r>
    </w:p>
    <w:p/>
    <w:p>
      <w:r>
        <w:rPr>
          <w:rFonts w:ascii="Meiryo UI" w:hAnsi="Meiryo UI"/>
          <w:sz w:val="20"/>
        </w:rPr>
        <w:t>発行株数推計：時価総額 = 株価 × 株数。EPS¥171、PER24.2 → 現在株価≒¥171×24.2=¥4,138（≒¥4,142と一致。整合性確認✅）</w:t>
      </w:r>
    </w:p>
    <w:p/>
    <w:p>
      <w:r>
        <w:rPr>
          <w:rFonts w:ascii="Meiryo UI" w:hAnsi="Meiryo UI"/>
          <w:sz w:val="20"/>
        </w:rPr>
        <w:t>FCF/株ベースDCF（10年間 + Terminal Value）：</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FCF/株（¥）</w:t>
            </w:r>
          </w:p>
        </w:tc>
        <w:tc>
          <w:tcPr>
            <w:tcW w:type="dxa" w:w="2351"/>
            <w:shd w:val="clear" w:color="auto" w:fill="2E74B5"/>
          </w:tcPr>
          <w:p>
            <w:r>
              <w:rPr>
                <w:rFonts w:ascii="Meiryo UI" w:hAnsi="Meiryo UI"/>
                <w:b/>
                <w:color w:val="FFFFFF"/>
                <w:sz w:val="18"/>
              </w:rPr>
              <w:t>割引率 WACC 6.53%</w:t>
            </w:r>
          </w:p>
        </w:tc>
        <w:tc>
          <w:tcPr>
            <w:tcW w:type="dxa" w:w="2351"/>
            <w:shd w:val="clear" w:color="auto" w:fill="2E74B5"/>
          </w:tcPr>
          <w:p>
            <w:r>
              <w:rPr>
                <w:rFonts w:ascii="Meiryo UI" w:hAnsi="Meiryo UI"/>
                <w:b/>
                <w:color w:val="FFFFFF"/>
                <w:sz w:val="18"/>
              </w:rPr>
              <w:t>PV（¥）</w:t>
            </w:r>
          </w:p>
        </w:tc>
      </w:tr>
      <w:tr>
        <w:tc>
          <w:tcPr>
            <w:tcW w:type="dxa" w:w="2351"/>
          </w:tcPr>
          <w:p>
            <w:r>
              <w:rPr>
                <w:rFonts w:ascii="Meiryo UI" w:hAnsi="Meiryo UI"/>
                <w:sz w:val="18"/>
              </w:rPr>
              <w:t>FY27</w:t>
            </w:r>
          </w:p>
        </w:tc>
        <w:tc>
          <w:tcPr>
            <w:tcW w:type="dxa" w:w="2351"/>
          </w:tcPr>
          <w:p>
            <w:r>
              <w:rPr>
                <w:rFonts w:ascii="Meiryo UI" w:hAnsi="Meiryo UI"/>
                <w:sz w:val="18"/>
              </w:rPr>
              <w:t>162.4</w:t>
            </w:r>
          </w:p>
        </w:tc>
        <w:tc>
          <w:tcPr>
            <w:tcW w:type="dxa" w:w="2351"/>
          </w:tcPr>
          <w:p>
            <w:r>
              <w:rPr>
                <w:rFonts w:ascii="Meiryo UI" w:hAnsi="Meiryo UI"/>
                <w:sz w:val="18"/>
              </w:rPr>
              <w:t>0.9387</w:t>
            </w:r>
          </w:p>
        </w:tc>
        <w:tc>
          <w:tcPr>
            <w:tcW w:type="dxa" w:w="2351"/>
          </w:tcPr>
          <w:p>
            <w:r>
              <w:rPr>
                <w:rFonts w:ascii="Meiryo UI" w:hAnsi="Meiryo UI"/>
                <w:sz w:val="18"/>
              </w:rPr>
              <w:t>152.4</w:t>
            </w:r>
          </w:p>
        </w:tc>
      </w:tr>
      <w:tr>
        <w:tc>
          <w:tcPr>
            <w:tcW w:type="dxa" w:w="2351"/>
            <w:shd w:val="clear" w:color="auto" w:fill="DDEBF7"/>
          </w:tcPr>
          <w:p>
            <w:r>
              <w:rPr>
                <w:rFonts w:ascii="Meiryo UI" w:hAnsi="Meiryo UI"/>
                <w:sz w:val="18"/>
              </w:rPr>
              <w:t>FY28</w:t>
            </w:r>
          </w:p>
        </w:tc>
        <w:tc>
          <w:tcPr>
            <w:tcW w:type="dxa" w:w="2351"/>
            <w:shd w:val="clear" w:color="auto" w:fill="DDEBF7"/>
          </w:tcPr>
          <w:p>
            <w:r>
              <w:rPr>
                <w:rFonts w:ascii="Meiryo UI" w:hAnsi="Meiryo UI"/>
                <w:sz w:val="18"/>
              </w:rPr>
              <w:t>171.3</w:t>
            </w:r>
          </w:p>
        </w:tc>
        <w:tc>
          <w:tcPr>
            <w:tcW w:type="dxa" w:w="2351"/>
            <w:shd w:val="clear" w:color="auto" w:fill="DDEBF7"/>
          </w:tcPr>
          <w:p>
            <w:r>
              <w:rPr>
                <w:rFonts w:ascii="Meiryo UI" w:hAnsi="Meiryo UI"/>
                <w:sz w:val="18"/>
              </w:rPr>
              <w:t>0.8811</w:t>
            </w:r>
          </w:p>
        </w:tc>
        <w:tc>
          <w:tcPr>
            <w:tcW w:type="dxa" w:w="2351"/>
            <w:shd w:val="clear" w:color="auto" w:fill="DDEBF7"/>
          </w:tcPr>
          <w:p>
            <w:r>
              <w:rPr>
                <w:rFonts w:ascii="Meiryo UI" w:hAnsi="Meiryo UI"/>
                <w:sz w:val="18"/>
              </w:rPr>
              <w:t>150.9</w:t>
            </w:r>
          </w:p>
        </w:tc>
      </w:tr>
      <w:tr>
        <w:tc>
          <w:tcPr>
            <w:tcW w:type="dxa" w:w="2351"/>
          </w:tcPr>
          <w:p>
            <w:r>
              <w:rPr>
                <w:rFonts w:ascii="Meiryo UI" w:hAnsi="Meiryo UI"/>
                <w:sz w:val="18"/>
              </w:rPr>
              <w:t>FY29</w:t>
            </w:r>
          </w:p>
        </w:tc>
        <w:tc>
          <w:tcPr>
            <w:tcW w:type="dxa" w:w="2351"/>
          </w:tcPr>
          <w:p>
            <w:r>
              <w:rPr>
                <w:rFonts w:ascii="Meiryo UI" w:hAnsi="Meiryo UI"/>
                <w:sz w:val="18"/>
              </w:rPr>
              <w:t>180.7</w:t>
            </w:r>
          </w:p>
        </w:tc>
        <w:tc>
          <w:tcPr>
            <w:tcW w:type="dxa" w:w="2351"/>
          </w:tcPr>
          <w:p>
            <w:r>
              <w:rPr>
                <w:rFonts w:ascii="Meiryo UI" w:hAnsi="Meiryo UI"/>
                <w:sz w:val="18"/>
              </w:rPr>
              <w:t>0.8270</w:t>
            </w:r>
          </w:p>
        </w:tc>
        <w:tc>
          <w:tcPr>
            <w:tcW w:type="dxa" w:w="2351"/>
          </w:tcPr>
          <w:p>
            <w:r>
              <w:rPr>
                <w:rFonts w:ascii="Meiryo UI" w:hAnsi="Meiryo UI"/>
                <w:sz w:val="18"/>
              </w:rPr>
              <w:t>149.4</w:t>
            </w:r>
          </w:p>
        </w:tc>
      </w:tr>
      <w:tr>
        <w:tc>
          <w:tcPr>
            <w:tcW w:type="dxa" w:w="2351"/>
            <w:shd w:val="clear" w:color="auto" w:fill="DDEBF7"/>
          </w:tcPr>
          <w:p>
            <w:r>
              <w:rPr>
                <w:rFonts w:ascii="Meiryo UI" w:hAnsi="Meiryo UI"/>
                <w:sz w:val="18"/>
              </w:rPr>
              <w:t>FY30</w:t>
            </w:r>
          </w:p>
        </w:tc>
        <w:tc>
          <w:tcPr>
            <w:tcW w:type="dxa" w:w="2351"/>
            <w:shd w:val="clear" w:color="auto" w:fill="DDEBF7"/>
          </w:tcPr>
          <w:p>
            <w:r>
              <w:rPr>
                <w:rFonts w:ascii="Meiryo UI" w:hAnsi="Meiryo UI"/>
                <w:sz w:val="18"/>
              </w:rPr>
              <w:t>190.6</w:t>
            </w:r>
          </w:p>
        </w:tc>
        <w:tc>
          <w:tcPr>
            <w:tcW w:type="dxa" w:w="2351"/>
            <w:shd w:val="clear" w:color="auto" w:fill="DDEBF7"/>
          </w:tcPr>
          <w:p>
            <w:r>
              <w:rPr>
                <w:rFonts w:ascii="Meiryo UI" w:hAnsi="Meiryo UI"/>
                <w:sz w:val="18"/>
              </w:rPr>
              <w:t>0.7762</w:t>
            </w:r>
          </w:p>
        </w:tc>
        <w:tc>
          <w:tcPr>
            <w:tcW w:type="dxa" w:w="2351"/>
            <w:shd w:val="clear" w:color="auto" w:fill="DDEBF7"/>
          </w:tcPr>
          <w:p>
            <w:r>
              <w:rPr>
                <w:rFonts w:ascii="Meiryo UI" w:hAnsi="Meiryo UI"/>
                <w:sz w:val="18"/>
              </w:rPr>
              <w:t>147.9</w:t>
            </w:r>
          </w:p>
        </w:tc>
      </w:tr>
      <w:tr>
        <w:tc>
          <w:tcPr>
            <w:tcW w:type="dxa" w:w="2351"/>
          </w:tcPr>
          <w:p>
            <w:r>
              <w:rPr>
                <w:rFonts w:ascii="Meiryo UI" w:hAnsi="Meiryo UI"/>
                <w:sz w:val="18"/>
              </w:rPr>
              <w:t>FY31</w:t>
            </w:r>
          </w:p>
        </w:tc>
        <w:tc>
          <w:tcPr>
            <w:tcW w:type="dxa" w:w="2351"/>
          </w:tcPr>
          <w:p>
            <w:r>
              <w:rPr>
                <w:rFonts w:ascii="Meiryo UI" w:hAnsi="Meiryo UI"/>
                <w:sz w:val="18"/>
              </w:rPr>
              <w:t>201.1</w:t>
            </w:r>
          </w:p>
        </w:tc>
        <w:tc>
          <w:tcPr>
            <w:tcW w:type="dxa" w:w="2351"/>
          </w:tcPr>
          <w:p>
            <w:r>
              <w:rPr>
                <w:rFonts w:ascii="Meiryo UI" w:hAnsi="Meiryo UI"/>
                <w:sz w:val="18"/>
              </w:rPr>
              <w:t>0.7284</w:t>
            </w:r>
          </w:p>
        </w:tc>
        <w:tc>
          <w:tcPr>
            <w:tcW w:type="dxa" w:w="2351"/>
          </w:tcPr>
          <w:p>
            <w:r>
              <w:rPr>
                <w:rFonts w:ascii="Meiryo UI" w:hAnsi="Meiryo UI"/>
                <w:sz w:val="18"/>
              </w:rPr>
              <w:t>146.5</w:t>
            </w:r>
          </w:p>
        </w:tc>
      </w:tr>
      <w:tr>
        <w:tc>
          <w:tcPr>
            <w:tcW w:type="dxa" w:w="2351"/>
            <w:shd w:val="clear" w:color="auto" w:fill="DDEBF7"/>
          </w:tcPr>
          <w:p>
            <w:r>
              <w:rPr>
                <w:rFonts w:ascii="Meiryo UI" w:hAnsi="Meiryo UI"/>
                <w:sz w:val="18"/>
              </w:rPr>
              <w:t>FY32</w:t>
            </w:r>
          </w:p>
        </w:tc>
        <w:tc>
          <w:tcPr>
            <w:tcW w:type="dxa" w:w="2351"/>
            <w:shd w:val="clear" w:color="auto" w:fill="DDEBF7"/>
          </w:tcPr>
          <w:p>
            <w:r>
              <w:rPr>
                <w:rFonts w:ascii="Meiryo UI" w:hAnsi="Meiryo UI"/>
                <w:sz w:val="18"/>
              </w:rPr>
              <w:t>208.1</w:t>
            </w:r>
          </w:p>
        </w:tc>
        <w:tc>
          <w:tcPr>
            <w:tcW w:type="dxa" w:w="2351"/>
            <w:shd w:val="clear" w:color="auto" w:fill="DDEBF7"/>
          </w:tcPr>
          <w:p>
            <w:r>
              <w:rPr>
                <w:rFonts w:ascii="Meiryo UI" w:hAnsi="Meiryo UI"/>
                <w:sz w:val="18"/>
              </w:rPr>
              <w:t>0.6838</w:t>
            </w:r>
          </w:p>
        </w:tc>
        <w:tc>
          <w:tcPr>
            <w:tcW w:type="dxa" w:w="2351"/>
            <w:shd w:val="clear" w:color="auto" w:fill="DDEBF7"/>
          </w:tcPr>
          <w:p>
            <w:r>
              <w:rPr>
                <w:rFonts w:ascii="Meiryo UI" w:hAnsi="Meiryo UI"/>
                <w:sz w:val="18"/>
              </w:rPr>
              <w:t>142.3</w:t>
            </w:r>
          </w:p>
        </w:tc>
      </w:tr>
      <w:tr>
        <w:tc>
          <w:tcPr>
            <w:tcW w:type="dxa" w:w="2351"/>
          </w:tcPr>
          <w:p>
            <w:r>
              <w:rPr>
                <w:rFonts w:ascii="Meiryo UI" w:hAnsi="Meiryo UI"/>
                <w:sz w:val="18"/>
              </w:rPr>
              <w:t>FY33</w:t>
            </w:r>
          </w:p>
        </w:tc>
        <w:tc>
          <w:tcPr>
            <w:tcW w:type="dxa" w:w="2351"/>
          </w:tcPr>
          <w:p>
            <w:r>
              <w:rPr>
                <w:rFonts w:ascii="Meiryo UI" w:hAnsi="Meiryo UI"/>
                <w:sz w:val="18"/>
              </w:rPr>
              <w:t>215.4</w:t>
            </w:r>
          </w:p>
        </w:tc>
        <w:tc>
          <w:tcPr>
            <w:tcW w:type="dxa" w:w="2351"/>
          </w:tcPr>
          <w:p>
            <w:r>
              <w:rPr>
                <w:rFonts w:ascii="Meiryo UI" w:hAnsi="Meiryo UI"/>
                <w:sz w:val="18"/>
              </w:rPr>
              <w:t>0.6418</w:t>
            </w:r>
          </w:p>
        </w:tc>
        <w:tc>
          <w:tcPr>
            <w:tcW w:type="dxa" w:w="2351"/>
          </w:tcPr>
          <w:p>
            <w:r>
              <w:rPr>
                <w:rFonts w:ascii="Meiryo UI" w:hAnsi="Meiryo UI"/>
                <w:sz w:val="18"/>
              </w:rPr>
              <w:t>138.2</w:t>
            </w:r>
          </w:p>
        </w:tc>
      </w:tr>
      <w:tr>
        <w:tc>
          <w:tcPr>
            <w:tcW w:type="dxa" w:w="2351"/>
            <w:shd w:val="clear" w:color="auto" w:fill="DDEBF7"/>
          </w:tcPr>
          <w:p>
            <w:r>
              <w:rPr>
                <w:rFonts w:ascii="Meiryo UI" w:hAnsi="Meiryo UI"/>
                <w:sz w:val="18"/>
              </w:rPr>
              <w:t>FY34</w:t>
            </w:r>
          </w:p>
        </w:tc>
        <w:tc>
          <w:tcPr>
            <w:tcW w:type="dxa" w:w="2351"/>
            <w:shd w:val="clear" w:color="auto" w:fill="DDEBF7"/>
          </w:tcPr>
          <w:p>
            <w:r>
              <w:rPr>
                <w:rFonts w:ascii="Meiryo UI" w:hAnsi="Meiryo UI"/>
                <w:sz w:val="18"/>
              </w:rPr>
              <w:t>223.0</w:t>
            </w:r>
          </w:p>
        </w:tc>
        <w:tc>
          <w:tcPr>
            <w:tcW w:type="dxa" w:w="2351"/>
            <w:shd w:val="clear" w:color="auto" w:fill="DDEBF7"/>
          </w:tcPr>
          <w:p>
            <w:r>
              <w:rPr>
                <w:rFonts w:ascii="Meiryo UI" w:hAnsi="Meiryo UI"/>
                <w:sz w:val="18"/>
              </w:rPr>
              <w:t>0.6023</w:t>
            </w:r>
          </w:p>
        </w:tc>
        <w:tc>
          <w:tcPr>
            <w:tcW w:type="dxa" w:w="2351"/>
            <w:shd w:val="clear" w:color="auto" w:fill="DDEBF7"/>
          </w:tcPr>
          <w:p>
            <w:r>
              <w:rPr>
                <w:rFonts w:ascii="Meiryo UI" w:hAnsi="Meiryo UI"/>
                <w:sz w:val="18"/>
              </w:rPr>
              <w:t>134.3</w:t>
            </w:r>
          </w:p>
        </w:tc>
      </w:tr>
      <w:tr>
        <w:tc>
          <w:tcPr>
            <w:tcW w:type="dxa" w:w="2351"/>
          </w:tcPr>
          <w:p>
            <w:r>
              <w:rPr>
                <w:rFonts w:ascii="Meiryo UI" w:hAnsi="Meiryo UI"/>
                <w:sz w:val="18"/>
              </w:rPr>
              <w:t>FY35</w:t>
            </w:r>
          </w:p>
        </w:tc>
        <w:tc>
          <w:tcPr>
            <w:tcW w:type="dxa" w:w="2351"/>
          </w:tcPr>
          <w:p>
            <w:r>
              <w:rPr>
                <w:rFonts w:ascii="Meiryo UI" w:hAnsi="Meiryo UI"/>
                <w:sz w:val="18"/>
              </w:rPr>
              <w:t>230.9</w:t>
            </w:r>
          </w:p>
        </w:tc>
        <w:tc>
          <w:tcPr>
            <w:tcW w:type="dxa" w:w="2351"/>
          </w:tcPr>
          <w:p>
            <w:r>
              <w:rPr>
                <w:rFonts w:ascii="Meiryo UI" w:hAnsi="Meiryo UI"/>
                <w:sz w:val="18"/>
              </w:rPr>
              <w:t>0.5653</w:t>
            </w:r>
          </w:p>
        </w:tc>
        <w:tc>
          <w:tcPr>
            <w:tcW w:type="dxa" w:w="2351"/>
          </w:tcPr>
          <w:p>
            <w:r>
              <w:rPr>
                <w:rFonts w:ascii="Meiryo UI" w:hAnsi="Meiryo UI"/>
                <w:sz w:val="18"/>
              </w:rPr>
              <w:t>130.5</w:t>
            </w:r>
          </w:p>
        </w:tc>
      </w:tr>
      <w:tr>
        <w:tc>
          <w:tcPr>
            <w:tcW w:type="dxa" w:w="2351"/>
            <w:shd w:val="clear" w:color="auto" w:fill="DDEBF7"/>
          </w:tcPr>
          <w:p>
            <w:r>
              <w:rPr>
                <w:rFonts w:ascii="Meiryo UI" w:hAnsi="Meiryo UI"/>
                <w:sz w:val="18"/>
              </w:rPr>
              <w:t>FY36</w:t>
            </w:r>
          </w:p>
        </w:tc>
        <w:tc>
          <w:tcPr>
            <w:tcW w:type="dxa" w:w="2351"/>
            <w:shd w:val="clear" w:color="auto" w:fill="DDEBF7"/>
          </w:tcPr>
          <w:p>
            <w:r>
              <w:rPr>
                <w:rFonts w:ascii="Meiryo UI" w:hAnsi="Meiryo UI"/>
                <w:sz w:val="18"/>
              </w:rPr>
              <w:t>239.0</w:t>
            </w:r>
          </w:p>
        </w:tc>
        <w:tc>
          <w:tcPr>
            <w:tcW w:type="dxa" w:w="2351"/>
            <w:shd w:val="clear" w:color="auto" w:fill="DDEBF7"/>
          </w:tcPr>
          <w:p>
            <w:r>
              <w:rPr>
                <w:rFonts w:ascii="Meiryo UI" w:hAnsi="Meiryo UI"/>
                <w:sz w:val="18"/>
              </w:rPr>
              <w:t>0.5305</w:t>
            </w:r>
          </w:p>
        </w:tc>
        <w:tc>
          <w:tcPr>
            <w:tcW w:type="dxa" w:w="2351"/>
            <w:shd w:val="clear" w:color="auto" w:fill="DDEBF7"/>
          </w:tcPr>
          <w:p>
            <w:r>
              <w:rPr>
                <w:rFonts w:ascii="Meiryo UI" w:hAnsi="Meiryo UI"/>
                <w:sz w:val="18"/>
              </w:rPr>
              <w:t>126.8</w:t>
            </w:r>
          </w:p>
        </w:tc>
      </w:tr>
      <w:tr>
        <w:tc>
          <w:tcPr>
            <w:tcW w:type="dxa" w:w="2351"/>
          </w:tcPr>
          <w:p>
            <w:r>
              <w:rPr>
                <w:rFonts w:ascii="Meiryo UI" w:hAnsi="Meiryo UI"/>
                <w:sz w:val="18"/>
              </w:rPr>
              <w:t>PV合計（FY27〜36）</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¥1,419</w:t>
            </w:r>
          </w:p>
        </w:tc>
      </w:tr>
    </w:tbl>
    <w:p/>
    <w:p>
      <w:r>
        <w:rPr>
          <w:rFonts w:ascii="Meiryo UI" w:hAnsi="Meiryo UI"/>
          <w:sz w:val="20"/>
        </w:rPr>
        <w:t>ターミナルバリュー（TV）計算：</w:t>
      </w:r>
    </w:p>
    <w:p/>
    <w:p>
      <w:pPr>
        <w:shd w:val="clear" w:color="auto" w:fill="F2F2F2"/>
      </w:pPr>
      <w:r>
        <w:rPr>
          <w:rFonts w:ascii="Courier New" w:hAnsi="Courier New"/>
          <w:sz w:val="16"/>
        </w:rPr>
        <w:t>TV/株 = FCF_FY37 / (WACC - g)</w:t>
        <w:br/>
        <w:t>FCF_FY37 = FCF_FY36 × (1 + g) = ¥239.0 × 1.030 = ¥246.2</w:t>
        <w:br/>
        <w:t>TV/株 = ¥246.2 / (6.53% - 3.0%) = ¥246.2 / 3.53% = ¥6,974</w:t>
        <w:br/>
        <w:t>PV(TV) = ¥6,974 × 0.5305 = ¥3,699</w:t>
      </w:r>
    </w:p>
    <w:p/>
    <w:p>
      <w:r>
        <w:rPr>
          <w:rFonts w:ascii="Meiryo UI" w:hAnsi="Meiryo UI"/>
          <w:sz w:val="20"/>
        </w:rPr>
        <w:t>理論株価（基本ケース）：</w:t>
      </w:r>
    </w:p>
    <w:p>
      <w:pPr>
        <w:shd w:val="clear" w:color="auto" w:fill="F2F2F2"/>
      </w:pPr>
      <w:r>
        <w:rPr>
          <w:rFonts w:ascii="Courier New" w:hAnsi="Courier New"/>
          <w:sz w:val="16"/>
        </w:rPr>
        <w:t>FV = PV合計 + PV(TV) + 現預金/株（推定 ¥200〜¥300/株）</w:t>
        <w:br/>
        <w:t>FV = ¥1,419 + ¥3,699 + ¥250（現預金）≒ ¥5,368（グロス）</w:t>
      </w:r>
    </w:p>
    <w:p/>
    <w:p>
      <w:r>
        <w:rPr>
          <w:rFonts w:ascii="Meiryo UI" w:hAnsi="Meiryo UI"/>
          <w:sz w:val="20"/>
        </w:rPr>
        <w:t>&gt; ⚠️ 保守的調整：DCFは前提感度が高いため、安全域（MoS）10%を適用。</w:t>
      </w:r>
    </w:p>
    <w:p>
      <w:pPr>
        <w:shd w:val="clear" w:color="auto" w:fill="F2F2F2"/>
      </w:pPr>
      <w:r>
        <w:rPr>
          <w:rFonts w:ascii="Courier New" w:hAnsi="Courier New"/>
          <w:sz w:val="16"/>
        </w:rPr>
        <w:t>保守的FV = ¥5,368 × 0.90 = ¥4,831 ≒ ¥4,820（基本ケース）</w:t>
      </w:r>
    </w:p>
    <w:p/>
    <w:p>
      <w:r>
        <w:rPr>
          <w:rFonts w:ascii="Meiryo UI" w:hAnsi="Meiryo UI"/>
          <w:sz w:val="20"/>
        </w:rPr>
        <w:t>→ 基本ケース理論株価：¥4,820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3ケース理論株価</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シナリオ</w:t>
            </w:r>
          </w:p>
        </w:tc>
        <w:tc>
          <w:tcPr>
            <w:tcW w:type="dxa" w:w="1344"/>
            <w:shd w:val="clear" w:color="auto" w:fill="2E74B5"/>
          </w:tcPr>
          <w:p>
            <w:r>
              <w:rPr>
                <w:rFonts w:ascii="Meiryo UI" w:hAnsi="Meiryo UI"/>
                <w:b/>
                <w:color w:val="FFFFFF"/>
                <w:sz w:val="18"/>
              </w:rPr>
              <w:t>成長率（近期/長期）</w:t>
            </w:r>
          </w:p>
        </w:tc>
        <w:tc>
          <w:tcPr>
            <w:tcW w:type="dxa" w:w="1344"/>
            <w:shd w:val="clear" w:color="auto" w:fill="2E74B5"/>
          </w:tcPr>
          <w:p>
            <w:r>
              <w:rPr>
                <w:rFonts w:ascii="Meiryo UI" w:hAnsi="Meiryo UI"/>
                <w:b/>
                <w:color w:val="FFFFFF"/>
                <w:sz w:val="18"/>
              </w:rPr>
              <w:t>g</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理論株価</w:t>
            </w:r>
          </w:p>
        </w:tc>
        <w:tc>
          <w:tcPr>
            <w:tcW w:type="dxa" w:w="1344"/>
            <w:shd w:val="clear" w:color="auto" w:fill="2E74B5"/>
          </w:tcPr>
          <w:p>
            <w:r>
              <w:rPr>
                <w:rFonts w:ascii="Meiryo UI" w:hAnsi="Meiryo UI"/>
                <w:b/>
                <w:color w:val="FFFFFF"/>
                <w:sz w:val="18"/>
              </w:rPr>
              <w:t>現在値比</w:t>
            </w:r>
          </w:p>
        </w:tc>
        <w:tc>
          <w:tcPr>
            <w:tcW w:type="dxa" w:w="1344"/>
            <w:shd w:val="clear" w:color="auto" w:fill="2E74B5"/>
          </w:tcPr>
          <w:p>
            <w:r>
              <w:rPr>
                <w:rFonts w:ascii="Meiryo UI" w:hAnsi="Meiryo UI"/>
                <w:b/>
                <w:color w:val="FFFFFF"/>
                <w:sz w:val="18"/>
              </w:rPr>
              <w:t>評価</w:t>
            </w:r>
          </w:p>
        </w:tc>
      </w:tr>
      <w:tr>
        <w:tc>
          <w:tcPr>
            <w:tcW w:type="dxa" w:w="1344"/>
          </w:tcPr>
          <w:p>
            <w:r>
              <w:rPr>
                <w:rFonts w:ascii="Meiryo UI" w:hAnsi="Meiryo UI"/>
                <w:sz w:val="18"/>
              </w:rPr>
              <w:t>強気ケース</w:t>
            </w:r>
          </w:p>
        </w:tc>
        <w:tc>
          <w:tcPr>
            <w:tcW w:type="dxa" w:w="1344"/>
          </w:tcPr>
          <w:p>
            <w:r>
              <w:rPr>
                <w:rFonts w:ascii="Meiryo UI" w:hAnsi="Meiryo UI"/>
                <w:sz w:val="18"/>
              </w:rPr>
              <w:t>+7%/+5%</w:t>
            </w:r>
          </w:p>
        </w:tc>
        <w:tc>
          <w:tcPr>
            <w:tcW w:type="dxa" w:w="1344"/>
          </w:tcPr>
          <w:p>
            <w:r>
              <w:rPr>
                <w:rFonts w:ascii="Meiryo UI" w:hAnsi="Meiryo UI"/>
                <w:sz w:val="18"/>
              </w:rPr>
              <w:t>4.0%</w:t>
            </w:r>
          </w:p>
        </w:tc>
        <w:tc>
          <w:tcPr>
            <w:tcW w:type="dxa" w:w="1344"/>
          </w:tcPr>
          <w:p>
            <w:r>
              <w:rPr>
                <w:rFonts w:ascii="Meiryo UI" w:hAnsi="Meiryo UI"/>
                <w:sz w:val="18"/>
              </w:rPr>
              <w:t>6.53%</w:t>
            </w:r>
          </w:p>
        </w:tc>
        <w:tc>
          <w:tcPr>
            <w:tcW w:type="dxa" w:w="1344"/>
          </w:tcPr>
          <w:p>
            <w:r>
              <w:rPr>
                <w:rFonts w:ascii="Meiryo UI" w:hAnsi="Meiryo UI"/>
                <w:sz w:val="18"/>
              </w:rPr>
              <w:t>¥6,100</w:t>
            </w:r>
          </w:p>
        </w:tc>
        <w:tc>
          <w:tcPr>
            <w:tcW w:type="dxa" w:w="1344"/>
          </w:tcPr>
          <w:p>
            <w:r>
              <w:rPr>
                <w:rFonts w:ascii="Meiryo UI" w:hAnsi="Meiryo UI"/>
                <w:sz w:val="18"/>
              </w:rPr>
              <w:t>+47.3%</w:t>
            </w:r>
          </w:p>
        </w:tc>
        <w:tc>
          <w:tcPr>
            <w:tcW w:type="dxa" w:w="1344"/>
          </w:tcPr>
          <w:p>
            <w:r>
              <w:rPr>
                <w:rFonts w:ascii="Meiryo UI" w:hAnsi="Meiryo UI"/>
                <w:sz w:val="18"/>
              </w:rPr>
              <w:t>強い買い</w:t>
            </w:r>
          </w:p>
        </w:tc>
      </w:tr>
      <w:tr>
        <w:tc>
          <w:tcPr>
            <w:tcW w:type="dxa" w:w="1344"/>
            <w:shd w:val="clear" w:color="auto" w:fill="DDEBF7"/>
          </w:tcPr>
          <w:p>
            <w:r>
              <w:rPr>
                <w:rFonts w:ascii="Meiryo UI" w:hAnsi="Meiryo UI"/>
                <w:sz w:val="18"/>
              </w:rPr>
              <w:t>基本ケース</w:t>
            </w:r>
          </w:p>
        </w:tc>
        <w:tc>
          <w:tcPr>
            <w:tcW w:type="dxa" w:w="1344"/>
            <w:shd w:val="clear" w:color="auto" w:fill="DDEBF7"/>
          </w:tcPr>
          <w:p>
            <w:r>
              <w:rPr>
                <w:rFonts w:ascii="Meiryo UI" w:hAnsi="Meiryo UI"/>
                <w:sz w:val="18"/>
              </w:rPr>
              <w:t>+5.5%/+3.5%</w:t>
            </w:r>
          </w:p>
        </w:tc>
        <w:tc>
          <w:tcPr>
            <w:tcW w:type="dxa" w:w="1344"/>
            <w:shd w:val="clear" w:color="auto" w:fill="DDEBF7"/>
          </w:tcPr>
          <w:p>
            <w:r>
              <w:rPr>
                <w:rFonts w:ascii="Meiryo UI" w:hAnsi="Meiryo UI"/>
                <w:sz w:val="18"/>
              </w:rPr>
              <w:t>3.0%</w:t>
            </w:r>
          </w:p>
        </w:tc>
        <w:tc>
          <w:tcPr>
            <w:tcW w:type="dxa" w:w="1344"/>
            <w:shd w:val="clear" w:color="auto" w:fill="DDEBF7"/>
          </w:tcPr>
          <w:p>
            <w:r>
              <w:rPr>
                <w:rFonts w:ascii="Meiryo UI" w:hAnsi="Meiryo UI"/>
                <w:sz w:val="18"/>
              </w:rPr>
              <w:t>6.53%</w:t>
            </w:r>
          </w:p>
        </w:tc>
        <w:tc>
          <w:tcPr>
            <w:tcW w:type="dxa" w:w="1344"/>
            <w:shd w:val="clear" w:color="auto" w:fill="DDEBF7"/>
          </w:tcPr>
          <w:p>
            <w:r>
              <w:rPr>
                <w:rFonts w:ascii="Meiryo UI" w:hAnsi="Meiryo UI"/>
                <w:sz w:val="18"/>
              </w:rPr>
              <w:t>¥4,820</w:t>
            </w:r>
          </w:p>
        </w:tc>
        <w:tc>
          <w:tcPr>
            <w:tcW w:type="dxa" w:w="1344"/>
            <w:shd w:val="clear" w:color="auto" w:fill="DDEBF7"/>
          </w:tcPr>
          <w:p>
            <w:r>
              <w:rPr>
                <w:rFonts w:ascii="Meiryo UI" w:hAnsi="Meiryo UI"/>
                <w:sz w:val="18"/>
              </w:rPr>
              <w:t>+16.4%</w:t>
            </w:r>
          </w:p>
        </w:tc>
        <w:tc>
          <w:tcPr>
            <w:tcW w:type="dxa" w:w="1344"/>
            <w:shd w:val="clear" w:color="auto" w:fill="DDEBF7"/>
          </w:tcPr>
          <w:p>
            <w:r>
              <w:rPr>
                <w:rFonts w:ascii="Meiryo UI" w:hAnsi="Meiryo UI"/>
                <w:sz w:val="18"/>
              </w:rPr>
              <w:t>買い</w:t>
            </w:r>
          </w:p>
        </w:tc>
      </w:tr>
      <w:tr>
        <w:tc>
          <w:tcPr>
            <w:tcW w:type="dxa" w:w="1344"/>
          </w:tcPr>
          <w:p>
            <w:r>
              <w:rPr>
                <w:rFonts w:ascii="Meiryo UI" w:hAnsi="Meiryo UI"/>
                <w:sz w:val="18"/>
              </w:rPr>
              <w:t>弱気ケース</w:t>
            </w:r>
          </w:p>
        </w:tc>
        <w:tc>
          <w:tcPr>
            <w:tcW w:type="dxa" w:w="1344"/>
          </w:tcPr>
          <w:p>
            <w:r>
              <w:rPr>
                <w:rFonts w:ascii="Meiryo UI" w:hAnsi="Meiryo UI"/>
                <w:sz w:val="18"/>
              </w:rPr>
              <w:t>+3%/+2%</w:t>
            </w:r>
          </w:p>
        </w:tc>
        <w:tc>
          <w:tcPr>
            <w:tcW w:type="dxa" w:w="1344"/>
          </w:tcPr>
          <w:p>
            <w:r>
              <w:rPr>
                <w:rFonts w:ascii="Meiryo UI" w:hAnsi="Meiryo UI"/>
                <w:sz w:val="18"/>
              </w:rPr>
              <w:t>1.5%</w:t>
            </w:r>
          </w:p>
        </w:tc>
        <w:tc>
          <w:tcPr>
            <w:tcW w:type="dxa" w:w="1344"/>
          </w:tcPr>
          <w:p>
            <w:r>
              <w:rPr>
                <w:rFonts w:ascii="Meiryo UI" w:hAnsi="Meiryo UI"/>
                <w:sz w:val="18"/>
              </w:rPr>
              <w:t>6.53%</w:t>
            </w:r>
          </w:p>
        </w:tc>
        <w:tc>
          <w:tcPr>
            <w:tcW w:type="dxa" w:w="1344"/>
          </w:tcPr>
          <w:p>
            <w:r>
              <w:rPr>
                <w:rFonts w:ascii="Meiryo UI" w:hAnsi="Meiryo UI"/>
                <w:sz w:val="18"/>
              </w:rPr>
              <w:t>¥3,760</w:t>
            </w:r>
          </w:p>
        </w:tc>
        <w:tc>
          <w:tcPr>
            <w:tcW w:type="dxa" w:w="1344"/>
          </w:tcPr>
          <w:p>
            <w:r>
              <w:rPr>
                <w:rFonts w:ascii="Meiryo UI" w:hAnsi="Meiryo UI"/>
                <w:sz w:val="18"/>
              </w:rPr>
              <w:t>▲9.2%</w:t>
            </w:r>
          </w:p>
        </w:tc>
        <w:tc>
          <w:tcPr>
            <w:tcW w:type="dxa" w:w="1344"/>
          </w:tcPr>
          <w:p>
            <w:r>
              <w:rPr>
                <w:rFonts w:ascii="Meiryo UI" w:hAnsi="Meiryo UI"/>
                <w:sz w:val="18"/>
              </w:rPr>
              <w:t>中立〜売り</w:t>
            </w:r>
          </w:p>
        </w:tc>
      </w:tr>
    </w:tbl>
    <w:p/>
    <w:p>
      <w:pPr>
        <w:pStyle w:val="Heading3"/>
      </w:pPr>
      <w:r>
        <w:rPr>
          <w:rFonts w:ascii="Meiryo UI" w:hAnsi="Meiryo UI"/>
          <w:color w:val="2E74B5"/>
        </w:rPr>
        <w:t>5-2. 安全域（Margin of Safety）分析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現在株価</w:t>
            </w:r>
          </w:p>
        </w:tc>
        <w:tc>
          <w:tcPr>
            <w:tcW w:type="dxa" w:w="4703"/>
          </w:tcPr>
          <w:p>
            <w:r>
              <w:rPr>
                <w:rFonts w:ascii="Meiryo UI" w:hAnsi="Meiryo UI"/>
                <w:sz w:val="18"/>
              </w:rPr>
              <w:t>¥4,142</w:t>
            </w:r>
          </w:p>
        </w:tc>
      </w:tr>
      <w:tr>
        <w:tc>
          <w:tcPr>
            <w:tcW w:type="dxa" w:w="4703"/>
            <w:shd w:val="clear" w:color="auto" w:fill="DDEBF7"/>
          </w:tcPr>
          <w:p>
            <w:r>
              <w:rPr>
                <w:rFonts w:ascii="Meiryo UI" w:hAnsi="Meiryo UI"/>
                <w:sz w:val="18"/>
              </w:rPr>
              <w:t>基本ケース FV</w:t>
            </w:r>
          </w:p>
        </w:tc>
        <w:tc>
          <w:tcPr>
            <w:tcW w:type="dxa" w:w="4703"/>
            <w:shd w:val="clear" w:color="auto" w:fill="DDEBF7"/>
          </w:tcPr>
          <w:p>
            <w:r>
              <w:rPr>
                <w:rFonts w:ascii="Meiryo UI" w:hAnsi="Meiryo UI"/>
                <w:sz w:val="18"/>
              </w:rPr>
              <w:t>¥4,820</w:t>
            </w:r>
          </w:p>
        </w:tc>
      </w:tr>
      <w:tr>
        <w:tc>
          <w:tcPr>
            <w:tcW w:type="dxa" w:w="4703"/>
          </w:tcPr>
          <w:p>
            <w:r>
              <w:rPr>
                <w:rFonts w:ascii="Meiryo UI" w:hAnsi="Meiryo UI"/>
                <w:sz w:val="18"/>
              </w:rPr>
              <w:t>MoS適用後（基本）</w:t>
            </w:r>
          </w:p>
        </w:tc>
        <w:tc>
          <w:tcPr>
            <w:tcW w:type="dxa" w:w="4703"/>
          </w:tcPr>
          <w:p>
            <w:r>
              <w:rPr>
                <w:rFonts w:ascii="Meiryo UI" w:hAnsi="Meiryo UI"/>
                <w:sz w:val="18"/>
              </w:rPr>
              <w:t>¥4,338（FV×90%）→現在値はここを既に下回り = 安全域内</w:t>
            </w:r>
          </w:p>
        </w:tc>
      </w:tr>
      <w:tr>
        <w:tc>
          <w:tcPr>
            <w:tcW w:type="dxa" w:w="4703"/>
            <w:shd w:val="clear" w:color="auto" w:fill="DDEBF7"/>
          </w:tcPr>
          <w:p>
            <w:r>
              <w:rPr>
                <w:rFonts w:ascii="Meiryo UI" w:hAnsi="Meiryo UI"/>
                <w:sz w:val="18"/>
              </w:rPr>
              <w:t>損切りライン推奨</w:t>
            </w:r>
          </w:p>
        </w:tc>
        <w:tc>
          <w:tcPr>
            <w:tcW w:type="dxa" w:w="4703"/>
            <w:shd w:val="clear" w:color="auto" w:fill="DDEBF7"/>
          </w:tcPr>
          <w:p>
            <w:r>
              <w:rPr>
                <w:rFonts w:ascii="Meiryo UI" w:hAnsi="Meiryo UI"/>
                <w:sz w:val="18"/>
              </w:rPr>
              <w:t>¥3,580（弱気FV ¥3,760 × 95%）</w:t>
            </w:r>
          </w:p>
        </w:tc>
      </w:tr>
    </w:tbl>
    <w:p/>
    <w:p>
      <w:r>
        <w:rPr>
          <w:rFonts w:ascii="Meiryo UI" w:hAnsi="Meiryo UI"/>
          <w:sz w:val="20"/>
        </w:rPr>
        <w:t>&gt; 投資判断：【買い】</w:t>
      </w:r>
    </w:p>
    <w:p>
      <w:r>
        <w:rPr>
          <w:rFonts w:ascii="Meiryo UI" w:hAnsi="Meiryo UI"/>
          <w:sz w:val="20"/>
        </w:rPr>
        <w:t>&gt; 現在株価¥4,142は基本ケースFV¥4,820に対して14.1%ディスカウント状態。無借金・高ROE・ストック収益という質の高さを考慮すると、このディスカウントは過大。</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強気シナリオ（確率：25%）</w:t>
      </w:r>
    </w:p>
    <w:p/>
    <w:p>
      <w:pPr>
        <w:pStyle w:val="ListBullet"/>
      </w:pPr>
      <w:r>
        <w:rPr>
          <w:rFonts w:ascii="Meiryo UI" w:hAnsi="Meiryo UI"/>
          <w:sz w:val="20"/>
        </w:rPr>
        <w:t>トリガー：クラウド移行加速×中小企業DX補助金効果×増配・自社株買いの大型実施</w:t>
      </w:r>
    </w:p>
    <w:p>
      <w:pPr>
        <w:pStyle w:val="ListBullet"/>
      </w:pPr>
      <w:r>
        <w:rPr>
          <w:rFonts w:ascii="Meiryo UI" w:hAnsi="Meiryo UI"/>
          <w:sz w:val="20"/>
        </w:rPr>
        <w:t>成長率：売上+7〜8%/年、営業利益率40%超維持</w:t>
      </w:r>
    </w:p>
    <w:p>
      <w:pPr>
        <w:pStyle w:val="ListBullet"/>
      </w:pPr>
      <w:r>
        <w:rPr>
          <w:rFonts w:ascii="Meiryo UI" w:hAnsi="Meiryo UI"/>
          <w:sz w:val="20"/>
        </w:rPr>
        <w:t>理論株価：¥6,100</w:t>
      </w:r>
    </w:p>
    <w:p>
      <w:pPr>
        <w:pStyle w:val="ListBullet"/>
      </w:pPr>
      <w:r>
        <w:rPr>
          <w:rFonts w:ascii="Meiryo UI" w:hAnsi="Meiryo UI"/>
          <w:sz w:val="20"/>
        </w:rPr>
        <w:t>時間軸：FY3/2028（2年）</w:t>
      </w:r>
    </w:p>
    <w:p/>
    <w:p>
      <w:pPr>
        <w:pStyle w:val="Heading3"/>
      </w:pPr>
      <w:r>
        <w:rPr>
          <w:rFonts w:ascii="Meiryo UI" w:hAnsi="Meiryo UI"/>
          <w:color w:val="2E74B5"/>
        </w:rPr>
        <w:t>6-2. 基本シナリオ（確率：55%）</w:t>
      </w:r>
    </w:p>
    <w:p/>
    <w:p>
      <w:pPr>
        <w:pStyle w:val="ListBullet"/>
      </w:pPr>
      <w:r>
        <w:rPr>
          <w:rFonts w:ascii="Meiryo UI" w:hAnsi="Meiryo UI"/>
          <w:sz w:val="20"/>
        </w:rPr>
        <w:t>トリガー：電子帳簿保存法・DX継続需要×保守収益の安定成長</w:t>
      </w:r>
    </w:p>
    <w:p>
      <w:pPr>
        <w:pStyle w:val="ListBullet"/>
      </w:pPr>
      <w:r>
        <w:rPr>
          <w:rFonts w:ascii="Meiryo UI" w:hAnsi="Meiryo UI"/>
          <w:sz w:val="20"/>
        </w:rPr>
        <w:t>成長率：売上+5〜6%/年、営業利益率35〜38%維持</w:t>
      </w:r>
    </w:p>
    <w:p>
      <w:pPr>
        <w:pStyle w:val="ListBullet"/>
      </w:pPr>
      <w:r>
        <w:rPr>
          <w:rFonts w:ascii="Meiryo UI" w:hAnsi="Meiryo UI"/>
          <w:sz w:val="20"/>
        </w:rPr>
        <w:t>理論株価：¥4,820</w:t>
      </w:r>
    </w:p>
    <w:p>
      <w:pPr>
        <w:pStyle w:val="ListBullet"/>
      </w:pPr>
      <w:r>
        <w:rPr>
          <w:rFonts w:ascii="Meiryo UI" w:hAnsi="Meiryo UI"/>
          <w:sz w:val="20"/>
        </w:rPr>
        <w:t>時間軸：FY3/2027（1年）</w:t>
      </w:r>
    </w:p>
    <w:p/>
    <w:p>
      <w:pPr>
        <w:pStyle w:val="Heading3"/>
      </w:pPr>
      <w:r>
        <w:rPr>
          <w:rFonts w:ascii="Meiryo UI" w:hAnsi="Meiryo UI"/>
          <w:color w:val="2E74B5"/>
        </w:rPr>
        <w:t>6-3. 弱気シナリオ（確率：20%）</w:t>
      </w:r>
    </w:p>
    <w:p/>
    <w:p>
      <w:pPr>
        <w:pStyle w:val="ListBullet"/>
      </w:pPr>
      <w:r>
        <w:rPr>
          <w:rFonts w:ascii="Meiryo UI" w:hAnsi="Meiryo UI"/>
          <w:sz w:val="20"/>
        </w:rPr>
        <w:t>トリガー：国内景気後退×DX需要一服×競合（SAP/弥生）のシェア侵食</w:t>
      </w:r>
    </w:p>
    <w:p>
      <w:pPr>
        <w:pStyle w:val="ListBullet"/>
      </w:pPr>
      <w:r>
        <w:rPr>
          <w:rFonts w:ascii="Meiryo UI" w:hAnsi="Meiryo UI"/>
          <w:sz w:val="20"/>
        </w:rPr>
        <w:t>成長率：売上+2〜3%/年、営業利益率30〜33%</w:t>
      </w:r>
    </w:p>
    <w:p>
      <w:pPr>
        <w:pStyle w:val="ListBullet"/>
      </w:pPr>
      <w:r>
        <w:rPr>
          <w:rFonts w:ascii="Meiryo UI" w:hAnsi="Meiryo UI"/>
          <w:sz w:val="20"/>
        </w:rPr>
        <w:t>理論株価：¥3,760</w:t>
      </w:r>
    </w:p>
    <w:p>
      <w:pPr>
        <w:pStyle w:val="ListBullet"/>
      </w:pPr>
      <w:r>
        <w:rPr>
          <w:rFonts w:ascii="Meiryo UI" w:hAnsi="Meiryo UI"/>
          <w:sz w:val="20"/>
        </w:rPr>
        <w:t>時間軸：FY3/2027〜2028</w:t>
      </w:r>
    </w:p>
    <w:p/>
    <w:p>
      <w:pPr>
        <w:pStyle w:val="Heading3"/>
      </w:pPr>
      <w:r>
        <w:rPr>
          <w:rFonts w:ascii="Meiryo UI" w:hAnsi="Meiryo UI"/>
          <w:color w:val="2E74B5"/>
        </w:rPr>
        <w:t>6-4. テールリスクシナリオ（確率：5%）</w:t>
      </w:r>
    </w:p>
    <w:p/>
    <w:p>
      <w:pPr>
        <w:pStyle w:val="ListBullet"/>
      </w:pPr>
      <w:r>
        <w:rPr>
          <w:rFonts w:ascii="Meiryo UI" w:hAnsi="Meiryo UI"/>
          <w:sz w:val="20"/>
        </w:rPr>
        <w:t>トリガー：マクロ環境急悪化（金利急騰+景気後退同時発生）→DCFグロス¥3,000台前半</w:t>
      </w:r>
    </w:p>
    <w:p>
      <w:pPr>
        <w:pStyle w:val="ListBullet"/>
      </w:pPr>
      <w:r>
        <w:rPr>
          <w:rFonts w:ascii="Meiryo UI" w:hAnsi="Meiryo UI"/>
          <w:sz w:val="20"/>
        </w:rPr>
        <w:t>対応：損切りライン¥3,580で徹底管理</w:t>
      </w:r>
    </w:p>
    <w:p/>
    <w:p>
      <w:r>
        <w:t>──────────────────────────────────────────────────</w:t>
      </w:r>
    </w:p>
    <w:p/>
    <w:p>
      <w:pPr>
        <w:pStyle w:val="Heading2"/>
      </w:pPr>
      <w:r>
        <w:rPr>
          <w:rFonts w:ascii="Meiryo UI" w:hAnsi="Meiryo UI"/>
          <w:color w:val="2E74B5"/>
        </w:rPr>
        <w:t>7.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統合判断</w:t>
            </w:r>
          </w:p>
        </w:tc>
      </w:tr>
      <w:tr>
        <w:tc>
          <w:tcPr>
            <w:tcW w:type="dxa" w:w="2351"/>
          </w:tcPr>
          <w:p>
            <w:r>
              <w:rPr>
                <w:rFonts w:ascii="Meiryo UI" w:hAnsi="Meiryo UI"/>
                <w:sz w:val="18"/>
              </w:rPr>
              <w:t>短期センチメント</w:t>
            </w:r>
          </w:p>
        </w:tc>
        <w:tc>
          <w:tcPr>
            <w:tcW w:type="dxa" w:w="2351"/>
          </w:tcPr>
          <w:p>
            <w:r>
              <w:rPr>
                <w:rFonts w:ascii="Meiryo UI" w:hAnsi="Meiryo UI"/>
                <w:sz w:val="18"/>
              </w:rPr>
              <w:t>+0（BUY方向）</w:t>
            </w:r>
          </w:p>
        </w:tc>
        <w:tc>
          <w:tcPr>
            <w:tcW w:type="dxa" w:w="2351"/>
          </w:tcPr>
          <w:p>
            <w:r>
              <w:rPr>
                <w:rFonts w:ascii="Meiryo UI" w:hAnsi="Meiryo UI"/>
                <w:sz w:val="18"/>
              </w:rPr>
              <w:t>中立〜ポジ</w:t>
            </w:r>
          </w:p>
        </w:tc>
        <w:tc>
          <w:tcPr>
            <w:tcW w:type="dxa" w:w="2351"/>
          </w:tcPr>
          <w:p>
            <w:r>
              <w:rPr>
                <w:rFonts w:ascii="Meiryo UI" w:hAnsi="Meiryo UI"/>
                <w:sz w:val="18"/>
              </w:rPr>
              <w:t>決算ポジ反応がDCF割安論を補強</w:t>
            </w:r>
          </w:p>
        </w:tc>
      </w:tr>
      <w:tr>
        <w:tc>
          <w:tcPr>
            <w:tcW w:type="dxa" w:w="2351"/>
            <w:shd w:val="clear" w:color="auto" w:fill="DDEBF7"/>
          </w:tcPr>
          <w:p>
            <w:r>
              <w:rPr>
                <w:rFonts w:ascii="Meiryo UI" w:hAnsi="Meiryo UI"/>
                <w:sz w:val="18"/>
              </w:rPr>
              <w:t>本源的価値乖離</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▲14%割安（基本ケース）</w:t>
            </w:r>
          </w:p>
        </w:tc>
        <w:tc>
          <w:tcPr>
            <w:tcW w:type="dxa" w:w="2351"/>
            <w:shd w:val="clear" w:color="auto" w:fill="DDEBF7"/>
          </w:tcPr>
          <w:p>
            <w:r>
              <w:rPr>
                <w:rFonts w:ascii="Meiryo UI" w:hAnsi="Meiryo UI"/>
                <w:sz w:val="18"/>
              </w:rPr>
              <w:t>DCFベースで明確な買い根拠</w:t>
            </w:r>
          </w:p>
        </w:tc>
      </w:tr>
      <w:tr>
        <w:tc>
          <w:tcPr>
            <w:tcW w:type="dxa" w:w="2351"/>
          </w:tcPr>
          <w:p>
            <w:r>
              <w:rPr>
                <w:rFonts w:ascii="Meiryo UI" w:hAnsi="Meiryo UI"/>
                <w:sz w:val="18"/>
              </w:rPr>
              <w:t>モメンタム</w:t>
            </w:r>
          </w:p>
        </w:tc>
        <w:tc>
          <w:tcPr>
            <w:tcW w:type="dxa" w:w="2351"/>
          </w:tcPr>
          <w:p>
            <w:r>
              <w:rPr>
                <w:rFonts w:ascii="Meiryo UI" w:hAnsi="Meiryo UI"/>
                <w:sz w:val="18"/>
              </w:rPr>
              <w:t>+2.78%（4/22）</w:t>
            </w:r>
          </w:p>
        </w:tc>
        <w:tc>
          <w:tcPr>
            <w:tcW w:type="dxa" w:w="2351"/>
          </w:tcPr>
          <w:p>
            <w:r>
              <w:rPr>
                <w:rFonts w:ascii="Meiryo UI" w:hAnsi="Meiryo UI"/>
                <w:sz w:val="18"/>
              </w:rPr>
              <w:t>—</w:t>
            </w:r>
          </w:p>
        </w:tc>
        <w:tc>
          <w:tcPr>
            <w:tcW w:type="dxa" w:w="2351"/>
          </w:tcPr>
          <w:p>
            <w:r>
              <w:rPr>
                <w:rFonts w:ascii="Meiryo UI" w:hAnsi="Meiryo UI"/>
                <w:sz w:val="18"/>
              </w:rPr>
              <w:t>決算モメンタムは短期継続の可能性</w:t>
            </w:r>
          </w:p>
        </w:tc>
      </w:tr>
      <w:tr>
        <w:tc>
          <w:tcPr>
            <w:tcW w:type="dxa" w:w="2351"/>
            <w:shd w:val="clear" w:color="auto" w:fill="DDEBF7"/>
          </w:tcPr>
          <w:p>
            <w:r>
              <w:rPr>
                <w:rFonts w:ascii="Meiryo UI" w:hAnsi="Meiryo UI"/>
                <w:sz w:val="18"/>
              </w:rPr>
              <w:t>統合スコア</w:t>
            </w:r>
          </w:p>
        </w:tc>
        <w:tc>
          <w:tcPr>
            <w:tcW w:type="dxa" w:w="2351"/>
            <w:shd w:val="clear" w:color="auto" w:fill="DDEBF7"/>
          </w:tcPr>
          <w:p>
            <w:r>
              <w:rPr>
                <w:rFonts w:ascii="Meiryo UI" w:hAnsi="Meiryo UI"/>
                <w:sz w:val="18"/>
              </w:rPr>
              <w:t>BUY（維持）</w:t>
            </w:r>
          </w:p>
        </w:tc>
        <w:tc>
          <w:tcPr>
            <w:tcW w:type="dxa" w:w="2351"/>
            <w:shd w:val="clear" w:color="auto" w:fill="DDEBF7"/>
          </w:tcPr>
          <w:p>
            <w:r>
              <w:rPr>
                <w:rFonts w:ascii="Meiryo UI" w:hAnsi="Meiryo UI"/>
                <w:sz w:val="18"/>
              </w:rPr>
              <w:t>BUY</w:t>
            </w:r>
          </w:p>
        </w:tc>
        <w:tc>
          <w:tcPr>
            <w:tcW w:type="dxa" w:w="2351"/>
            <w:shd w:val="clear" w:color="auto" w:fill="DDEBF7"/>
          </w:tcPr>
          <w:p>
            <w:r>
              <w:rPr>
                <w:rFonts w:ascii="Meiryo UI" w:hAnsi="Meiryo UI"/>
                <w:sz w:val="18"/>
              </w:rPr>
              <w:t>一致→確信度高い</w:t>
            </w:r>
          </w:p>
        </w:tc>
      </w:tr>
    </w:tbl>
    <w:p/>
    <w:p>
      <w:r>
        <w:rPr>
          <w:rFonts w:ascii="Meiryo UI" w:hAnsi="Meiryo UI"/>
          <w:sz w:val="20"/>
        </w:rPr>
        <w:t>センチメントとFVのギャップ分析：</w:t>
      </w:r>
    </w:p>
    <w:p>
      <w:pPr>
        <w:pStyle w:val="ListBullet"/>
      </w:pPr>
      <w:r>
        <w:rPr>
          <w:rFonts w:ascii="Meiryo UI" w:hAnsi="Meiryo UI"/>
          <w:sz w:val="20"/>
        </w:rPr>
        <w:t>市場は「無借金×高ROE」に対し、PBR3.74倍という「控えめなプレミアム」しか付けていない</w:t>
      </w:r>
    </w:p>
    <w:p>
      <w:pPr>
        <w:pStyle w:val="ListBullet"/>
      </w:pPr>
      <w:r>
        <w:rPr>
          <w:rFonts w:ascii="Meiryo UI" w:hAnsi="Meiryo UI"/>
          <w:sz w:val="20"/>
        </w:rPr>
        <w:t>理論PBR（Gordon式）での6.4倍と実際の3.74倍の乖離は、「ROE持続性への懐疑」または「成長率への保守的見方」が原因</w:t>
      </w:r>
    </w:p>
    <w:p>
      <w:pPr>
        <w:pStyle w:val="ListBullet"/>
      </w:pPr>
      <w:r>
        <w:rPr>
          <w:rFonts w:ascii="Meiryo UI" w:hAnsi="Meiryo UI"/>
          <w:sz w:val="20"/>
        </w:rPr>
        <w:t>ただし実際のROEが16%で安定しているなら、この乖離は長期投資家にとっての超過収益機会</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トランシェ</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価格帯</w:t>
            </w:r>
          </w:p>
        </w:tc>
        <w:tc>
          <w:tcPr>
            <w:tcW w:type="dxa" w:w="1881"/>
            <w:shd w:val="clear" w:color="auto" w:fill="2E74B5"/>
          </w:tcPr>
          <w:p>
            <w:r>
              <w:rPr>
                <w:rFonts w:ascii="Meiryo UI" w:hAnsi="Meiryo UI"/>
                <w:b/>
                <w:color w:val="FFFFFF"/>
                <w:sz w:val="18"/>
              </w:rPr>
              <w:t>比率</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第1トランシェ</w:t>
            </w:r>
          </w:p>
        </w:tc>
        <w:tc>
          <w:tcPr>
            <w:tcW w:type="dxa" w:w="1881"/>
          </w:tcPr>
          <w:p>
            <w:r>
              <w:rPr>
                <w:rFonts w:ascii="Meiryo UI" w:hAnsi="Meiryo UI"/>
                <w:sz w:val="18"/>
              </w:rPr>
              <w:t>今すぐ（4/22〜今週中）</w:t>
            </w:r>
          </w:p>
        </w:tc>
        <w:tc>
          <w:tcPr>
            <w:tcW w:type="dxa" w:w="1881"/>
          </w:tcPr>
          <w:p>
            <w:r>
              <w:rPr>
                <w:rFonts w:ascii="Meiryo UI" w:hAnsi="Meiryo UI"/>
                <w:sz w:val="18"/>
              </w:rPr>
              <w:t>¥4,050〜¥4,200</w:t>
            </w:r>
          </w:p>
        </w:tc>
        <w:tc>
          <w:tcPr>
            <w:tcW w:type="dxa" w:w="1881"/>
          </w:tcPr>
          <w:p>
            <w:r>
              <w:rPr>
                <w:rFonts w:ascii="Meiryo UI" w:hAnsi="Meiryo UI"/>
                <w:sz w:val="18"/>
              </w:rPr>
              <w:t>40%</w:t>
            </w:r>
          </w:p>
        </w:tc>
        <w:tc>
          <w:tcPr>
            <w:tcW w:type="dxa" w:w="1881"/>
          </w:tcPr>
          <w:p>
            <w:r>
              <w:rPr>
                <w:rFonts w:ascii="Meiryo UI" w:hAnsi="Meiryo UI"/>
                <w:sz w:val="18"/>
              </w:rPr>
              <w:t>決算確認済み・FV比14%割安・損益リスク限定的</w:t>
            </w:r>
          </w:p>
        </w:tc>
      </w:tr>
      <w:tr>
        <w:tc>
          <w:tcPr>
            <w:tcW w:type="dxa" w:w="1881"/>
            <w:shd w:val="clear" w:color="auto" w:fill="DDEBF7"/>
          </w:tcPr>
          <w:p>
            <w:r>
              <w:rPr>
                <w:rFonts w:ascii="Meiryo UI" w:hAnsi="Meiryo UI"/>
                <w:sz w:val="18"/>
              </w:rPr>
              <w:t>第2トランシェ</w:t>
            </w:r>
          </w:p>
        </w:tc>
        <w:tc>
          <w:tcPr>
            <w:tcW w:type="dxa" w:w="1881"/>
            <w:shd w:val="clear" w:color="auto" w:fill="DDEBF7"/>
          </w:tcPr>
          <w:p>
            <w:r>
              <w:rPr>
                <w:rFonts w:ascii="Meiryo UI" w:hAnsi="Meiryo UI"/>
                <w:sz w:val="18"/>
              </w:rPr>
              <w:t>1Q決算後（7月下旬）</w:t>
            </w:r>
          </w:p>
        </w:tc>
        <w:tc>
          <w:tcPr>
            <w:tcW w:type="dxa" w:w="1881"/>
            <w:shd w:val="clear" w:color="auto" w:fill="DDEBF7"/>
          </w:tcPr>
          <w:p>
            <w:r>
              <w:rPr>
                <w:rFonts w:ascii="Meiryo UI" w:hAnsi="Meiryo UI"/>
                <w:sz w:val="18"/>
              </w:rPr>
              <w:t>¥3,900〜¥4,300（状況次第）</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成長継続確認後の追加</w:t>
            </w:r>
          </w:p>
        </w:tc>
      </w:tr>
      <w:tr>
        <w:tc>
          <w:tcPr>
            <w:tcW w:type="dxa" w:w="1881"/>
          </w:tcPr>
          <w:p>
            <w:r>
              <w:rPr>
                <w:rFonts w:ascii="Meiryo UI" w:hAnsi="Meiryo UI"/>
                <w:sz w:val="18"/>
              </w:rPr>
              <w:t>第3トランシェ</w:t>
            </w:r>
          </w:p>
        </w:tc>
        <w:tc>
          <w:tcPr>
            <w:tcW w:type="dxa" w:w="1881"/>
          </w:tcPr>
          <w:p>
            <w:r>
              <w:rPr>
                <w:rFonts w:ascii="Meiryo UI" w:hAnsi="Meiryo UI"/>
                <w:sz w:val="18"/>
              </w:rPr>
              <w:t>増配・自社株買い発表時</w:t>
            </w:r>
          </w:p>
        </w:tc>
        <w:tc>
          <w:tcPr>
            <w:tcW w:type="dxa" w:w="1881"/>
          </w:tcPr>
          <w:p>
            <w:r>
              <w:rPr>
                <w:rFonts w:ascii="Meiryo UI" w:hAnsi="Meiryo UI"/>
                <w:sz w:val="18"/>
              </w:rPr>
              <w:t>市場価格で</w:t>
            </w:r>
          </w:p>
        </w:tc>
        <w:tc>
          <w:tcPr>
            <w:tcW w:type="dxa" w:w="1881"/>
          </w:tcPr>
          <w:p>
            <w:r>
              <w:rPr>
                <w:rFonts w:ascii="Meiryo UI" w:hAnsi="Meiryo UI"/>
                <w:sz w:val="18"/>
              </w:rPr>
              <w:t>20%</w:t>
            </w:r>
          </w:p>
        </w:tc>
        <w:tc>
          <w:tcPr>
            <w:tcW w:type="dxa" w:w="1881"/>
          </w:tcPr>
          <w:p>
            <w:r>
              <w:rPr>
                <w:rFonts w:ascii="Meiryo UI" w:hAnsi="Meiryo UI"/>
                <w:sz w:val="18"/>
              </w:rPr>
              <w:t>株主還元カタリスト確認後</w:t>
            </w:r>
          </w:p>
        </w:tc>
      </w:tr>
    </w:tbl>
    <w:p/>
    <w:p>
      <w:pPr>
        <w:pStyle w:val="Heading3"/>
      </w:pPr>
      <w:r>
        <w:rPr>
          <w:rFonts w:ascii="Meiryo UI" w:hAnsi="Meiryo UI"/>
          <w:color w:val="2E74B5"/>
        </w:rPr>
        <w:t>損切りライン</w:t>
      </w:r>
    </w:p>
    <w:p/>
    <w:p>
      <w:pPr>
        <w:shd w:val="clear" w:color="auto" w:fill="F2F2F2"/>
      </w:pPr>
      <w:r>
        <w:rPr>
          <w:rFonts w:ascii="Courier New" w:hAnsi="Courier New"/>
          <w:sz w:val="16"/>
        </w:rPr>
        <w:t>損切りライン：¥3,580</w:t>
        <w:br/>
        <w:t>（弱気ケースFV ¥3,760 × 95% = ¥3,572 → 切り上げ¥3,580）</w:t>
        <w:br/>
        <w:t>現在値からの下落余地：▲13.6%</w:t>
        <w:br/>
        <w:t>リスク・リワード比（基本ケース）：+16.4% UP / ▲13.6% DOWN = 1.2:1</w:t>
        <w:br/>
        <w:t>リスク・リワード比（強気ケース）：+47.3% UP / ▲13.6% DOWN = 3.5:1</w:t>
      </w:r>
    </w:p>
    <w:p/>
    <w:p>
      <w:pPr>
        <w:pStyle w:val="Heading3"/>
      </w:pPr>
      <w:r>
        <w:rPr>
          <w:rFonts w:ascii="Meiryo UI" w:hAnsi="Meiryo UI"/>
          <w:color w:val="2E74B5"/>
        </w:rPr>
        <w:t>利益確定の目安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目標</w:t>
            </w:r>
          </w:p>
        </w:tc>
        <w:tc>
          <w:tcPr>
            <w:tcW w:type="dxa" w:w="3135"/>
            <w:shd w:val="clear" w:color="auto" w:fill="2E74B5"/>
          </w:tcPr>
          <w:p>
            <w:r>
              <w:rPr>
                <w:rFonts w:ascii="Meiryo UI" w:hAnsi="Meiryo UI"/>
                <w:b/>
                <w:color w:val="FFFFFF"/>
                <w:sz w:val="18"/>
              </w:rPr>
              <w:t>株価</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第1目標</w:t>
            </w:r>
          </w:p>
        </w:tc>
        <w:tc>
          <w:tcPr>
            <w:tcW w:type="dxa" w:w="3135"/>
          </w:tcPr>
          <w:p>
            <w:r>
              <w:rPr>
                <w:rFonts w:ascii="Meiryo UI" w:hAnsi="Meiryo UI"/>
                <w:sz w:val="18"/>
              </w:rPr>
              <w:t>¥4,820（基本FV）</w:t>
            </w:r>
          </w:p>
        </w:tc>
        <w:tc>
          <w:tcPr>
            <w:tcW w:type="dxa" w:w="3135"/>
          </w:tcPr>
          <w:p>
            <w:r>
              <w:rPr>
                <w:rFonts w:ascii="Meiryo UI" w:hAnsi="Meiryo UI"/>
                <w:sz w:val="18"/>
              </w:rPr>
              <w:t>半分利益確定・残りホールド</w:t>
            </w:r>
          </w:p>
        </w:tc>
      </w:tr>
      <w:tr>
        <w:tc>
          <w:tcPr>
            <w:tcW w:type="dxa" w:w="3135"/>
            <w:shd w:val="clear" w:color="auto" w:fill="DDEBF7"/>
          </w:tcPr>
          <w:p>
            <w:r>
              <w:rPr>
                <w:rFonts w:ascii="Meiryo UI" w:hAnsi="Meiryo UI"/>
                <w:sz w:val="18"/>
              </w:rPr>
              <w:t>第2目標</w:t>
            </w:r>
          </w:p>
        </w:tc>
        <w:tc>
          <w:tcPr>
            <w:tcW w:type="dxa" w:w="3135"/>
            <w:shd w:val="clear" w:color="auto" w:fill="DDEBF7"/>
          </w:tcPr>
          <w:p>
            <w:r>
              <w:rPr>
                <w:rFonts w:ascii="Meiryo UI" w:hAnsi="Meiryo UI"/>
                <w:sz w:val="18"/>
              </w:rPr>
              <w:t>¥5,500</w:t>
            </w:r>
          </w:p>
        </w:tc>
        <w:tc>
          <w:tcPr>
            <w:tcW w:type="dxa" w:w="3135"/>
            <w:shd w:val="clear" w:color="auto" w:fill="DDEBF7"/>
          </w:tcPr>
          <w:p>
            <w:r>
              <w:rPr>
                <w:rFonts w:ascii="Meiryo UI" w:hAnsi="Meiryo UI"/>
                <w:sz w:val="18"/>
              </w:rPr>
              <w:t>追加利益確定（強気方向継続確認後）</w:t>
            </w:r>
          </w:p>
        </w:tc>
      </w:tr>
      <w:tr>
        <w:tc>
          <w:tcPr>
            <w:tcW w:type="dxa" w:w="3135"/>
          </w:tcPr>
          <w:p>
            <w:r>
              <w:rPr>
                <w:rFonts w:ascii="Meiryo UI" w:hAnsi="Meiryo UI"/>
                <w:sz w:val="18"/>
              </w:rPr>
              <w:t>最終目標</w:t>
            </w:r>
          </w:p>
        </w:tc>
        <w:tc>
          <w:tcPr>
            <w:tcW w:type="dxa" w:w="3135"/>
          </w:tcPr>
          <w:p>
            <w:r>
              <w:rPr>
                <w:rFonts w:ascii="Meiryo UI" w:hAnsi="Meiryo UI"/>
                <w:sz w:val="18"/>
              </w:rPr>
              <w:t>¥6,100（強気FV）</w:t>
            </w:r>
          </w:p>
        </w:tc>
        <w:tc>
          <w:tcPr>
            <w:tcW w:type="dxa" w:w="3135"/>
          </w:tcPr>
          <w:p>
            <w:r>
              <w:rPr>
                <w:rFonts w:ascii="Meiryo UI" w:hAnsi="Meiryo UI"/>
                <w:sz w:val="18"/>
              </w:rPr>
              <w:t>全量クローズ</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Rf変動によるWACC・理論株価感応度（基本ケース：g=3.0%）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Re=Rf+β×ERP</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1.405%</w:t>
            </w:r>
          </w:p>
        </w:tc>
        <w:tc>
          <w:tcPr>
            <w:tcW w:type="dxa" w:w="1568"/>
          </w:tcPr>
          <w:p>
            <w:r>
              <w:rPr>
                <w:rFonts w:ascii="Meiryo UI" w:hAnsi="Meiryo UI"/>
                <w:sz w:val="18"/>
              </w:rPr>
              <w:t>5.530%</w:t>
            </w:r>
          </w:p>
        </w:tc>
        <w:tc>
          <w:tcPr>
            <w:tcW w:type="dxa" w:w="1568"/>
          </w:tcPr>
          <w:p>
            <w:r>
              <w:rPr>
                <w:rFonts w:ascii="Meiryo UI" w:hAnsi="Meiryo UI"/>
                <w:sz w:val="18"/>
              </w:rPr>
              <w:t>5.53%</w:t>
            </w:r>
          </w:p>
        </w:tc>
        <w:tc>
          <w:tcPr>
            <w:tcW w:type="dxa" w:w="1568"/>
          </w:tcPr>
          <w:p>
            <w:r>
              <w:rPr>
                <w:rFonts w:ascii="Meiryo UI" w:hAnsi="Meiryo UI"/>
                <w:sz w:val="18"/>
              </w:rPr>
              <w:t>¥6,210</w:t>
            </w:r>
          </w:p>
        </w:tc>
        <w:tc>
          <w:tcPr>
            <w:tcW w:type="dxa" w:w="1568"/>
          </w:tcPr>
          <w:p>
            <w:r>
              <w:rPr>
                <w:rFonts w:ascii="Meiryo UI" w:hAnsi="Meiryo UI"/>
                <w:sz w:val="18"/>
              </w:rPr>
              <w:t>+49.9%</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1.905%</w:t>
            </w:r>
          </w:p>
        </w:tc>
        <w:tc>
          <w:tcPr>
            <w:tcW w:type="dxa" w:w="1568"/>
            <w:shd w:val="clear" w:color="auto" w:fill="DDEBF7"/>
          </w:tcPr>
          <w:p>
            <w:r>
              <w:rPr>
                <w:rFonts w:ascii="Meiryo UI" w:hAnsi="Meiryo UI"/>
                <w:sz w:val="18"/>
              </w:rPr>
              <w:t>5.030% → 6.03%</w:t>
            </w:r>
          </w:p>
        </w:tc>
        <w:tc>
          <w:tcPr>
            <w:tcW w:type="dxa" w:w="1568"/>
            <w:shd w:val="clear" w:color="auto" w:fill="DDEBF7"/>
          </w:tcPr>
          <w:p>
            <w:r>
              <w:rPr>
                <w:rFonts w:ascii="Meiryo UI" w:hAnsi="Meiryo UI"/>
                <w:sz w:val="18"/>
              </w:rPr>
              <w:t>6.03%</w:t>
            </w:r>
          </w:p>
        </w:tc>
        <w:tc>
          <w:tcPr>
            <w:tcW w:type="dxa" w:w="1568"/>
            <w:shd w:val="clear" w:color="auto" w:fill="DDEBF7"/>
          </w:tcPr>
          <w:p>
            <w:r>
              <w:rPr>
                <w:rFonts w:ascii="Meiryo UI" w:hAnsi="Meiryo UI"/>
                <w:sz w:val="18"/>
              </w:rPr>
              <w:t>¥5,490</w:t>
            </w:r>
          </w:p>
        </w:tc>
        <w:tc>
          <w:tcPr>
            <w:tcW w:type="dxa" w:w="1568"/>
            <w:shd w:val="clear" w:color="auto" w:fill="DDEBF7"/>
          </w:tcPr>
          <w:p>
            <w:r>
              <w:rPr>
                <w:rFonts w:ascii="Meiryo UI" w:hAnsi="Meiryo UI"/>
                <w:sz w:val="18"/>
              </w:rPr>
              <w:t>+32.5%</w:t>
            </w:r>
          </w:p>
        </w:tc>
      </w:tr>
      <w:tr>
        <w:tc>
          <w:tcPr>
            <w:tcW w:type="dxa" w:w="1568"/>
          </w:tcPr>
          <w:p>
            <w:r>
              <w:rPr>
                <w:rFonts w:ascii="Meiryo UI" w:hAnsi="Meiryo UI"/>
                <w:sz w:val="18"/>
              </w:rPr>
              <w:t>Rf ▲0.25%</w:t>
            </w:r>
          </w:p>
        </w:tc>
        <w:tc>
          <w:tcPr>
            <w:tcW w:type="dxa" w:w="1568"/>
          </w:tcPr>
          <w:p>
            <w:r>
              <w:rPr>
                <w:rFonts w:ascii="Meiryo UI" w:hAnsi="Meiryo UI"/>
                <w:sz w:val="18"/>
              </w:rPr>
              <w:t>2.155%</w:t>
            </w:r>
          </w:p>
        </w:tc>
        <w:tc>
          <w:tcPr>
            <w:tcW w:type="dxa" w:w="1568"/>
          </w:tcPr>
          <w:p>
            <w:r>
              <w:rPr>
                <w:rFonts w:ascii="Meiryo UI" w:hAnsi="Meiryo UI"/>
                <w:sz w:val="18"/>
              </w:rPr>
              <w:t>6.28%</w:t>
            </w:r>
          </w:p>
        </w:tc>
        <w:tc>
          <w:tcPr>
            <w:tcW w:type="dxa" w:w="1568"/>
          </w:tcPr>
          <w:p>
            <w:r>
              <w:rPr>
                <w:rFonts w:ascii="Meiryo UI" w:hAnsi="Meiryo UI"/>
                <w:sz w:val="18"/>
              </w:rPr>
              <w:t>6.28%</w:t>
            </w:r>
          </w:p>
        </w:tc>
        <w:tc>
          <w:tcPr>
            <w:tcW w:type="dxa" w:w="1568"/>
          </w:tcPr>
          <w:p>
            <w:r>
              <w:rPr>
                <w:rFonts w:ascii="Meiryo UI" w:hAnsi="Meiryo UI"/>
                <w:sz w:val="18"/>
              </w:rPr>
              <w:t>¥5,130</w:t>
            </w:r>
          </w:p>
        </w:tc>
        <w:tc>
          <w:tcPr>
            <w:tcW w:type="dxa" w:w="1568"/>
          </w:tcPr>
          <w:p>
            <w:r>
              <w:rPr>
                <w:rFonts w:ascii="Meiryo UI" w:hAnsi="Meiryo UI"/>
                <w:sz w:val="18"/>
              </w:rPr>
              <w:t>+23.8%</w:t>
            </w:r>
          </w:p>
        </w:tc>
      </w:tr>
      <w:tr>
        <w:tc>
          <w:tcPr>
            <w:tcW w:type="dxa" w:w="1568"/>
            <w:shd w:val="clear" w:color="auto" w:fill="DDEBF7"/>
          </w:tcPr>
          <w:p>
            <w:r>
              <w:rPr>
                <w:rFonts w:ascii="Meiryo UI" w:hAnsi="Meiryo UI"/>
                <w:sz w:val="18"/>
              </w:rPr>
              <w:t>Rf 現状（基準）</w:t>
            </w:r>
          </w:p>
        </w:tc>
        <w:tc>
          <w:tcPr>
            <w:tcW w:type="dxa" w:w="1568"/>
            <w:shd w:val="clear" w:color="auto" w:fill="DDEBF7"/>
          </w:tcPr>
          <w:p>
            <w:r>
              <w:rPr>
                <w:rFonts w:ascii="Meiryo UI" w:hAnsi="Meiryo UI"/>
                <w:sz w:val="18"/>
              </w:rPr>
              <w:t>2.405%</w:t>
            </w:r>
          </w:p>
        </w:tc>
        <w:tc>
          <w:tcPr>
            <w:tcW w:type="dxa" w:w="1568"/>
            <w:shd w:val="clear" w:color="auto" w:fill="DDEBF7"/>
          </w:tcPr>
          <w:p>
            <w:r>
              <w:rPr>
                <w:rFonts w:ascii="Meiryo UI" w:hAnsi="Meiryo UI"/>
                <w:sz w:val="18"/>
              </w:rPr>
              <w:t>6.53%</w:t>
            </w:r>
          </w:p>
        </w:tc>
        <w:tc>
          <w:tcPr>
            <w:tcW w:type="dxa" w:w="1568"/>
            <w:shd w:val="clear" w:color="auto" w:fill="DDEBF7"/>
          </w:tcPr>
          <w:p>
            <w:r>
              <w:rPr>
                <w:rFonts w:ascii="Meiryo UI" w:hAnsi="Meiryo UI"/>
                <w:sz w:val="18"/>
              </w:rPr>
              <w:t>6.53%</w:t>
            </w:r>
          </w:p>
        </w:tc>
        <w:tc>
          <w:tcPr>
            <w:tcW w:type="dxa" w:w="1568"/>
            <w:shd w:val="clear" w:color="auto" w:fill="DDEBF7"/>
          </w:tcPr>
          <w:p>
            <w:r>
              <w:rPr>
                <w:rFonts w:ascii="Meiryo UI" w:hAnsi="Meiryo UI"/>
                <w:sz w:val="18"/>
              </w:rPr>
              <w:t>¥4,820</w:t>
            </w:r>
          </w:p>
        </w:tc>
        <w:tc>
          <w:tcPr>
            <w:tcW w:type="dxa" w:w="1568"/>
            <w:shd w:val="clear" w:color="auto" w:fill="DDEBF7"/>
          </w:tcPr>
          <w:p>
            <w:r>
              <w:rPr>
                <w:rFonts w:ascii="Meiryo UI" w:hAnsi="Meiryo UI"/>
                <w:sz w:val="18"/>
              </w:rPr>
              <w:t>+16.4%</w:t>
            </w:r>
          </w:p>
        </w:tc>
      </w:tr>
      <w:tr>
        <w:tc>
          <w:tcPr>
            <w:tcW w:type="dxa" w:w="1568"/>
          </w:tcPr>
          <w:p>
            <w:r>
              <w:rPr>
                <w:rFonts w:ascii="Meiryo UI" w:hAnsi="Meiryo UI"/>
                <w:sz w:val="18"/>
              </w:rPr>
              <w:t>Rf +0.25%</w:t>
            </w:r>
          </w:p>
        </w:tc>
        <w:tc>
          <w:tcPr>
            <w:tcW w:type="dxa" w:w="1568"/>
          </w:tcPr>
          <w:p>
            <w:r>
              <w:rPr>
                <w:rFonts w:ascii="Meiryo UI" w:hAnsi="Meiryo UI"/>
                <w:sz w:val="18"/>
              </w:rPr>
              <w:t>2.655%</w:t>
            </w:r>
          </w:p>
        </w:tc>
        <w:tc>
          <w:tcPr>
            <w:tcW w:type="dxa" w:w="1568"/>
          </w:tcPr>
          <w:p>
            <w:r>
              <w:rPr>
                <w:rFonts w:ascii="Meiryo UI" w:hAnsi="Meiryo UI"/>
                <w:sz w:val="18"/>
              </w:rPr>
              <w:t>6.78%</w:t>
            </w:r>
          </w:p>
        </w:tc>
        <w:tc>
          <w:tcPr>
            <w:tcW w:type="dxa" w:w="1568"/>
          </w:tcPr>
          <w:p>
            <w:r>
              <w:rPr>
                <w:rFonts w:ascii="Meiryo UI" w:hAnsi="Meiryo UI"/>
                <w:sz w:val="18"/>
              </w:rPr>
              <w:t>6.78%</w:t>
            </w:r>
          </w:p>
        </w:tc>
        <w:tc>
          <w:tcPr>
            <w:tcW w:type="dxa" w:w="1568"/>
          </w:tcPr>
          <w:p>
            <w:r>
              <w:rPr>
                <w:rFonts w:ascii="Meiryo UI" w:hAnsi="Meiryo UI"/>
                <w:sz w:val="18"/>
              </w:rPr>
              <w:t>¥4,540</w:t>
            </w:r>
          </w:p>
        </w:tc>
        <w:tc>
          <w:tcPr>
            <w:tcW w:type="dxa" w:w="1568"/>
          </w:tcPr>
          <w:p>
            <w:r>
              <w:rPr>
                <w:rFonts w:ascii="Meiryo UI" w:hAnsi="Meiryo UI"/>
                <w:sz w:val="18"/>
              </w:rPr>
              <w:t>+9.6%</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2.905%</w:t>
            </w:r>
          </w:p>
        </w:tc>
        <w:tc>
          <w:tcPr>
            <w:tcW w:type="dxa" w:w="1568"/>
            <w:shd w:val="clear" w:color="auto" w:fill="DDEBF7"/>
          </w:tcPr>
          <w:p>
            <w:r>
              <w:rPr>
                <w:rFonts w:ascii="Meiryo UI" w:hAnsi="Meiryo UI"/>
                <w:sz w:val="18"/>
              </w:rPr>
              <w:t>7.03%</w:t>
            </w:r>
          </w:p>
        </w:tc>
        <w:tc>
          <w:tcPr>
            <w:tcW w:type="dxa" w:w="1568"/>
            <w:shd w:val="clear" w:color="auto" w:fill="DDEBF7"/>
          </w:tcPr>
          <w:p>
            <w:r>
              <w:rPr>
                <w:rFonts w:ascii="Meiryo UI" w:hAnsi="Meiryo UI"/>
                <w:sz w:val="18"/>
              </w:rPr>
              <w:t>7.03%</w:t>
            </w:r>
          </w:p>
        </w:tc>
        <w:tc>
          <w:tcPr>
            <w:tcW w:type="dxa" w:w="1568"/>
            <w:shd w:val="clear" w:color="auto" w:fill="DDEBF7"/>
          </w:tcPr>
          <w:p>
            <w:r>
              <w:rPr>
                <w:rFonts w:ascii="Meiryo UI" w:hAnsi="Meiryo UI"/>
                <w:sz w:val="18"/>
              </w:rPr>
              <w:t>¥4,280</w:t>
            </w:r>
          </w:p>
        </w:tc>
        <w:tc>
          <w:tcPr>
            <w:tcW w:type="dxa" w:w="1568"/>
            <w:shd w:val="clear" w:color="auto" w:fill="DDEBF7"/>
          </w:tcPr>
          <w:p>
            <w:r>
              <w:rPr>
                <w:rFonts w:ascii="Meiryo UI" w:hAnsi="Meiryo UI"/>
                <w:sz w:val="18"/>
              </w:rPr>
              <w:t>+3.3%</w:t>
            </w:r>
          </w:p>
        </w:tc>
      </w:tr>
      <w:tr>
        <w:tc>
          <w:tcPr>
            <w:tcW w:type="dxa" w:w="1568"/>
          </w:tcPr>
          <w:p>
            <w:r>
              <w:rPr>
                <w:rFonts w:ascii="Meiryo UI" w:hAnsi="Meiryo UI"/>
                <w:sz w:val="18"/>
              </w:rPr>
              <w:t>Rf +1.00%</w:t>
            </w:r>
          </w:p>
        </w:tc>
        <w:tc>
          <w:tcPr>
            <w:tcW w:type="dxa" w:w="1568"/>
          </w:tcPr>
          <w:p>
            <w:r>
              <w:rPr>
                <w:rFonts w:ascii="Meiryo UI" w:hAnsi="Meiryo UI"/>
                <w:sz w:val="18"/>
              </w:rPr>
              <w:t>3.405%</w:t>
            </w:r>
          </w:p>
        </w:tc>
        <w:tc>
          <w:tcPr>
            <w:tcW w:type="dxa" w:w="1568"/>
          </w:tcPr>
          <w:p>
            <w:r>
              <w:rPr>
                <w:rFonts w:ascii="Meiryo UI" w:hAnsi="Meiryo UI"/>
                <w:sz w:val="18"/>
              </w:rPr>
              <w:t>7.53%</w:t>
            </w:r>
          </w:p>
        </w:tc>
        <w:tc>
          <w:tcPr>
            <w:tcW w:type="dxa" w:w="1568"/>
          </w:tcPr>
          <w:p>
            <w:r>
              <w:rPr>
                <w:rFonts w:ascii="Meiryo UI" w:hAnsi="Meiryo UI"/>
                <w:sz w:val="18"/>
              </w:rPr>
              <w:t>7.53%</w:t>
            </w:r>
          </w:p>
        </w:tc>
        <w:tc>
          <w:tcPr>
            <w:tcW w:type="dxa" w:w="1568"/>
          </w:tcPr>
          <w:p>
            <w:r>
              <w:rPr>
                <w:rFonts w:ascii="Meiryo UI" w:hAnsi="Meiryo UI"/>
                <w:sz w:val="18"/>
              </w:rPr>
              <w:t>¥3,820</w:t>
            </w:r>
          </w:p>
        </w:tc>
        <w:tc>
          <w:tcPr>
            <w:tcW w:type="dxa" w:w="1568"/>
          </w:tcPr>
          <w:p>
            <w:r>
              <w:rPr>
                <w:rFonts w:ascii="Meiryo UI" w:hAnsi="Meiryo UI"/>
                <w:sz w:val="18"/>
              </w:rPr>
              <w:t>▲7.8%</w:t>
            </w:r>
          </w:p>
        </w:tc>
      </w:tr>
    </w:tbl>
    <w:p/>
    <w:p>
      <w:r>
        <w:rPr>
          <w:rFonts w:ascii="Meiryo UI" w:hAnsi="Meiryo UI"/>
          <w:sz w:val="20"/>
        </w:rPr>
        <w:t>&gt; 感応度の解釈：</w:t>
      </w:r>
    </w:p>
    <w:p>
      <w:r>
        <w:rPr>
          <w:rFonts w:ascii="Meiryo UI" w:hAnsi="Meiryo UI"/>
          <w:sz w:val="20"/>
        </w:rPr>
        <w:t>&gt; - Rf +0.50%（国債利回り2.9%）でも理論株価¥4,280 → 現在値比+3.3%のアップサイドあり</w:t>
      </w:r>
    </w:p>
    <w:p>
      <w:r>
        <w:rPr>
          <w:rFonts w:ascii="Meiryo UI" w:hAnsi="Meiryo UI"/>
          <w:sz w:val="20"/>
        </w:rPr>
        <w:t>&gt; - Rf +1.00%（3.405%）で初めて理論株価が現在値を下回る（¥3,820、▲7.8%）</w:t>
      </w:r>
    </w:p>
    <w:p>
      <w:r>
        <w:rPr>
          <w:rFonts w:ascii="Meiryo UI" w:hAnsi="Meiryo UI"/>
          <w:sz w:val="20"/>
        </w:rPr>
        <w:t>&gt; - BOJ追加利上げが1回程度（+25bp）なら投資ケースは維持可能</w:t>
      </w:r>
    </w:p>
    <w:p>
      <w:r>
        <w:rPr>
          <w:rFonts w:ascii="Meiryo UI" w:hAnsi="Meiryo UI"/>
          <w:sz w:val="20"/>
        </w:rPr>
        <w:t>&gt; - 急激な利上げ（JGB10Y → 3.4%超）が唯一の「数値的クリティカルライン」</w:t>
      </w:r>
    </w:p>
    <w:p/>
    <w:p>
      <w:pPr>
        <w:pStyle w:val="Heading3"/>
      </w:pPr>
      <w:r>
        <w:rPr>
          <w:rFonts w:ascii="Meiryo UI" w:hAnsi="Meiryo UI"/>
          <w:color w:val="2E74B5"/>
        </w:rPr>
        <w:t>9-2. g（永久成長率）× WACC クロス感応度テーブル（理論株価マトリクス）</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g \ WACC</w:t>
            </w:r>
          </w:p>
        </w:tc>
        <w:tc>
          <w:tcPr>
            <w:tcW w:type="dxa" w:w="1176"/>
            <w:shd w:val="clear" w:color="auto" w:fill="2E74B5"/>
          </w:tcPr>
          <w:p>
            <w:r>
              <w:rPr>
                <w:rFonts w:ascii="Meiryo UI" w:hAnsi="Meiryo UI"/>
                <w:b/>
                <w:color w:val="FFFFFF"/>
                <w:sz w:val="18"/>
              </w:rPr>
              <w:t>5.53%</w:t>
            </w:r>
          </w:p>
        </w:tc>
        <w:tc>
          <w:tcPr>
            <w:tcW w:type="dxa" w:w="1176"/>
            <w:shd w:val="clear" w:color="auto" w:fill="2E74B5"/>
          </w:tcPr>
          <w:p>
            <w:r>
              <w:rPr>
                <w:rFonts w:ascii="Meiryo UI" w:hAnsi="Meiryo UI"/>
                <w:b/>
                <w:color w:val="FFFFFF"/>
                <w:sz w:val="18"/>
              </w:rPr>
              <w:t>6.03%</w:t>
            </w:r>
          </w:p>
        </w:tc>
        <w:tc>
          <w:tcPr>
            <w:tcW w:type="dxa" w:w="1176"/>
            <w:shd w:val="clear" w:color="auto" w:fill="2E74B5"/>
          </w:tcPr>
          <w:p>
            <w:r>
              <w:rPr>
                <w:rFonts w:ascii="Meiryo UI" w:hAnsi="Meiryo UI"/>
                <w:b/>
                <w:color w:val="FFFFFF"/>
                <w:sz w:val="18"/>
              </w:rPr>
              <w:t>6.28%</w:t>
            </w:r>
          </w:p>
        </w:tc>
        <w:tc>
          <w:tcPr>
            <w:tcW w:type="dxa" w:w="1176"/>
            <w:shd w:val="clear" w:color="auto" w:fill="2E74B5"/>
          </w:tcPr>
          <w:p>
            <w:r>
              <w:rPr>
                <w:rFonts w:ascii="Meiryo UI" w:hAnsi="Meiryo UI"/>
                <w:b/>
                <w:color w:val="FFFFFF"/>
                <w:sz w:val="18"/>
              </w:rPr>
              <w:t>6.53%</w:t>
            </w:r>
          </w:p>
        </w:tc>
        <w:tc>
          <w:tcPr>
            <w:tcW w:type="dxa" w:w="1176"/>
            <w:shd w:val="clear" w:color="auto" w:fill="2E74B5"/>
          </w:tcPr>
          <w:p>
            <w:r>
              <w:rPr>
                <w:rFonts w:ascii="Meiryo UI" w:hAnsi="Meiryo UI"/>
                <w:b/>
                <w:color w:val="FFFFFF"/>
                <w:sz w:val="18"/>
              </w:rPr>
              <w:t>6.78%</w:t>
            </w:r>
          </w:p>
        </w:tc>
        <w:tc>
          <w:tcPr>
            <w:tcW w:type="dxa" w:w="1176"/>
            <w:shd w:val="clear" w:color="auto" w:fill="2E74B5"/>
          </w:tcPr>
          <w:p>
            <w:r>
              <w:rPr>
                <w:rFonts w:ascii="Meiryo UI" w:hAnsi="Meiryo UI"/>
                <w:b/>
                <w:color w:val="FFFFFF"/>
                <w:sz w:val="18"/>
              </w:rPr>
              <w:t>7.03%</w:t>
            </w:r>
          </w:p>
        </w:tc>
        <w:tc>
          <w:tcPr>
            <w:tcW w:type="dxa" w:w="1176"/>
            <w:shd w:val="clear" w:color="auto" w:fill="2E74B5"/>
          </w:tcPr>
          <w:p>
            <w:r>
              <w:rPr>
                <w:rFonts w:ascii="Meiryo UI" w:hAnsi="Meiryo UI"/>
                <w:b/>
                <w:color w:val="FFFFFF"/>
                <w:sz w:val="18"/>
              </w:rPr>
              <w:t>7.53%</w:t>
            </w:r>
          </w:p>
        </w:tc>
      </w:tr>
      <w:tr>
        <w:tc>
          <w:tcPr>
            <w:tcW w:type="dxa" w:w="1176"/>
          </w:tcPr>
          <w:p>
            <w:r>
              <w:rPr>
                <w:rFonts w:ascii="Meiryo UI" w:hAnsi="Meiryo UI"/>
                <w:sz w:val="18"/>
              </w:rPr>
              <w:t>4.0%</w:t>
            </w:r>
          </w:p>
        </w:tc>
        <w:tc>
          <w:tcPr>
            <w:tcW w:type="dxa" w:w="1176"/>
          </w:tcPr>
          <w:p>
            <w:r>
              <w:rPr>
                <w:rFonts w:ascii="Meiryo UI" w:hAnsi="Meiryo UI"/>
                <w:sz w:val="18"/>
              </w:rPr>
              <w:t>¥8,920</w:t>
            </w:r>
          </w:p>
        </w:tc>
        <w:tc>
          <w:tcPr>
            <w:tcW w:type="dxa" w:w="1176"/>
          </w:tcPr>
          <w:p>
            <w:r>
              <w:rPr>
                <w:rFonts w:ascii="Meiryo UI" w:hAnsi="Meiryo UI"/>
                <w:sz w:val="18"/>
              </w:rPr>
              <w:t>¥7,340</w:t>
            </w:r>
          </w:p>
        </w:tc>
        <w:tc>
          <w:tcPr>
            <w:tcW w:type="dxa" w:w="1176"/>
          </w:tcPr>
          <w:p>
            <w:r>
              <w:rPr>
                <w:rFonts w:ascii="Meiryo UI" w:hAnsi="Meiryo UI"/>
                <w:sz w:val="18"/>
              </w:rPr>
              <w:t>¥6,680</w:t>
            </w:r>
          </w:p>
        </w:tc>
        <w:tc>
          <w:tcPr>
            <w:tcW w:type="dxa" w:w="1176"/>
          </w:tcPr>
          <w:p>
            <w:r>
              <w:rPr>
                <w:rFonts w:ascii="Meiryo UI" w:hAnsi="Meiryo UI"/>
                <w:sz w:val="18"/>
              </w:rPr>
              <w:t>¥6,100</w:t>
            </w:r>
          </w:p>
        </w:tc>
        <w:tc>
          <w:tcPr>
            <w:tcW w:type="dxa" w:w="1176"/>
          </w:tcPr>
          <w:p>
            <w:r>
              <w:rPr>
                <w:rFonts w:ascii="Meiryo UI" w:hAnsi="Meiryo UI"/>
                <w:sz w:val="18"/>
              </w:rPr>
              <w:t>¥5,590</w:t>
            </w:r>
          </w:p>
        </w:tc>
        <w:tc>
          <w:tcPr>
            <w:tcW w:type="dxa" w:w="1176"/>
          </w:tcPr>
          <w:p>
            <w:r>
              <w:rPr>
                <w:rFonts w:ascii="Meiryo UI" w:hAnsi="Meiryo UI"/>
                <w:sz w:val="18"/>
              </w:rPr>
              <w:t>¥5,140</w:t>
            </w:r>
          </w:p>
        </w:tc>
        <w:tc>
          <w:tcPr>
            <w:tcW w:type="dxa" w:w="1176"/>
          </w:tcPr>
          <w:p>
            <w:r>
              <w:rPr>
                <w:rFonts w:ascii="Meiryo UI" w:hAnsi="Meiryo UI"/>
                <w:sz w:val="18"/>
              </w:rPr>
              <w:t>¥4,370</w:t>
            </w:r>
          </w:p>
        </w:tc>
      </w:tr>
      <w:tr>
        <w:tc>
          <w:tcPr>
            <w:tcW w:type="dxa" w:w="1176"/>
            <w:shd w:val="clear" w:color="auto" w:fill="DDEBF7"/>
          </w:tcPr>
          <w:p>
            <w:r>
              <w:rPr>
                <w:rFonts w:ascii="Meiryo UI" w:hAnsi="Meiryo UI"/>
                <w:sz w:val="18"/>
              </w:rPr>
              <w:t>3.0%</w:t>
            </w:r>
          </w:p>
        </w:tc>
        <w:tc>
          <w:tcPr>
            <w:tcW w:type="dxa" w:w="1176"/>
            <w:shd w:val="clear" w:color="auto" w:fill="DDEBF7"/>
          </w:tcPr>
          <w:p>
            <w:r>
              <w:rPr>
                <w:rFonts w:ascii="Meiryo UI" w:hAnsi="Meiryo UI"/>
                <w:sz w:val="18"/>
              </w:rPr>
              <w:t>¥6,210</w:t>
            </w:r>
          </w:p>
        </w:tc>
        <w:tc>
          <w:tcPr>
            <w:tcW w:type="dxa" w:w="1176"/>
            <w:shd w:val="clear" w:color="auto" w:fill="DDEBF7"/>
          </w:tcPr>
          <w:p>
            <w:r>
              <w:rPr>
                <w:rFonts w:ascii="Meiryo UI" w:hAnsi="Meiryo UI"/>
                <w:sz w:val="18"/>
              </w:rPr>
              <w:t>¥5,490</w:t>
            </w:r>
          </w:p>
        </w:tc>
        <w:tc>
          <w:tcPr>
            <w:tcW w:type="dxa" w:w="1176"/>
            <w:shd w:val="clear" w:color="auto" w:fill="DDEBF7"/>
          </w:tcPr>
          <w:p>
            <w:r>
              <w:rPr>
                <w:rFonts w:ascii="Meiryo UI" w:hAnsi="Meiryo UI"/>
                <w:sz w:val="18"/>
              </w:rPr>
              <w:t>¥5,130</w:t>
            </w:r>
          </w:p>
        </w:tc>
        <w:tc>
          <w:tcPr>
            <w:tcW w:type="dxa" w:w="1176"/>
            <w:shd w:val="clear" w:color="auto" w:fill="DDEBF7"/>
          </w:tcPr>
          <w:p>
            <w:r>
              <w:rPr>
                <w:rFonts w:ascii="Meiryo UI" w:hAnsi="Meiryo UI"/>
                <w:sz w:val="18"/>
              </w:rPr>
              <w:t>¥4,820</w:t>
            </w:r>
          </w:p>
        </w:tc>
        <w:tc>
          <w:tcPr>
            <w:tcW w:type="dxa" w:w="1176"/>
            <w:shd w:val="clear" w:color="auto" w:fill="DDEBF7"/>
          </w:tcPr>
          <w:p>
            <w:r>
              <w:rPr>
                <w:rFonts w:ascii="Meiryo UI" w:hAnsi="Meiryo UI"/>
                <w:sz w:val="18"/>
              </w:rPr>
              <w:t>¥4,540</w:t>
            </w:r>
          </w:p>
        </w:tc>
        <w:tc>
          <w:tcPr>
            <w:tcW w:type="dxa" w:w="1176"/>
            <w:shd w:val="clear" w:color="auto" w:fill="DDEBF7"/>
          </w:tcPr>
          <w:p>
            <w:r>
              <w:rPr>
                <w:rFonts w:ascii="Meiryo UI" w:hAnsi="Meiryo UI"/>
                <w:sz w:val="18"/>
              </w:rPr>
              <w:t>¥4,280</w:t>
            </w:r>
          </w:p>
        </w:tc>
        <w:tc>
          <w:tcPr>
            <w:tcW w:type="dxa" w:w="1176"/>
            <w:shd w:val="clear" w:color="auto" w:fill="DDEBF7"/>
          </w:tcPr>
          <w:p>
            <w:r>
              <w:rPr>
                <w:rFonts w:ascii="Meiryo UI" w:hAnsi="Meiryo UI"/>
                <w:sz w:val="18"/>
              </w:rPr>
              <w:t>¥3,820</w:t>
            </w:r>
          </w:p>
        </w:tc>
      </w:tr>
      <w:tr>
        <w:tc>
          <w:tcPr>
            <w:tcW w:type="dxa" w:w="1176"/>
          </w:tcPr>
          <w:p>
            <w:r>
              <w:rPr>
                <w:rFonts w:ascii="Meiryo UI" w:hAnsi="Meiryo UI"/>
                <w:sz w:val="18"/>
              </w:rPr>
              <w:t>2.0%</w:t>
            </w:r>
          </w:p>
        </w:tc>
        <w:tc>
          <w:tcPr>
            <w:tcW w:type="dxa" w:w="1176"/>
          </w:tcPr>
          <w:p>
            <w:r>
              <w:rPr>
                <w:rFonts w:ascii="Meiryo UI" w:hAnsi="Meiryo UI"/>
                <w:sz w:val="18"/>
              </w:rPr>
              <w:t>¥4,810</w:t>
            </w:r>
          </w:p>
        </w:tc>
        <w:tc>
          <w:tcPr>
            <w:tcW w:type="dxa" w:w="1176"/>
          </w:tcPr>
          <w:p>
            <w:r>
              <w:rPr>
                <w:rFonts w:ascii="Meiryo UI" w:hAnsi="Meiryo UI"/>
                <w:sz w:val="18"/>
              </w:rPr>
              <w:t>¥4,360</w:t>
            </w:r>
          </w:p>
        </w:tc>
        <w:tc>
          <w:tcPr>
            <w:tcW w:type="dxa" w:w="1176"/>
          </w:tcPr>
          <w:p>
            <w:r>
              <w:rPr>
                <w:rFonts w:ascii="Meiryo UI" w:hAnsi="Meiryo UI"/>
                <w:sz w:val="18"/>
              </w:rPr>
              <w:t>¥4,150</w:t>
            </w:r>
          </w:p>
        </w:tc>
        <w:tc>
          <w:tcPr>
            <w:tcW w:type="dxa" w:w="1176"/>
          </w:tcPr>
          <w:p>
            <w:r>
              <w:rPr>
                <w:rFonts w:ascii="Meiryo UI" w:hAnsi="Meiryo UI"/>
                <w:sz w:val="18"/>
              </w:rPr>
              <w:t>¥3,960</w:t>
            </w:r>
          </w:p>
        </w:tc>
        <w:tc>
          <w:tcPr>
            <w:tcW w:type="dxa" w:w="1176"/>
          </w:tcPr>
          <w:p>
            <w:r>
              <w:rPr>
                <w:rFonts w:ascii="Meiryo UI" w:hAnsi="Meiryo UI"/>
                <w:sz w:val="18"/>
              </w:rPr>
              <w:t>¥3,780</w:t>
            </w:r>
          </w:p>
        </w:tc>
        <w:tc>
          <w:tcPr>
            <w:tcW w:type="dxa" w:w="1176"/>
          </w:tcPr>
          <w:p>
            <w:r>
              <w:rPr>
                <w:rFonts w:ascii="Meiryo UI" w:hAnsi="Meiryo UI"/>
                <w:sz w:val="18"/>
              </w:rPr>
              <w:t>¥3,620</w:t>
            </w:r>
          </w:p>
        </w:tc>
        <w:tc>
          <w:tcPr>
            <w:tcW w:type="dxa" w:w="1176"/>
          </w:tcPr>
          <w:p>
            <w:r>
              <w:rPr>
                <w:rFonts w:ascii="Meiryo UI" w:hAnsi="Meiryo UI"/>
                <w:sz w:val="18"/>
              </w:rPr>
              <w:t>¥3,310</w:t>
            </w:r>
          </w:p>
        </w:tc>
      </w:tr>
      <w:tr>
        <w:tc>
          <w:tcPr>
            <w:tcW w:type="dxa" w:w="1176"/>
            <w:shd w:val="clear" w:color="auto" w:fill="DDEBF7"/>
          </w:tcPr>
          <w:p>
            <w:r>
              <w:rPr>
                <w:rFonts w:ascii="Meiryo UI" w:hAnsi="Meiryo UI"/>
                <w:sz w:val="18"/>
              </w:rPr>
              <w:t>1.5%</w:t>
            </w:r>
          </w:p>
        </w:tc>
        <w:tc>
          <w:tcPr>
            <w:tcW w:type="dxa" w:w="1176"/>
            <w:shd w:val="clear" w:color="auto" w:fill="DDEBF7"/>
          </w:tcPr>
          <w:p>
            <w:r>
              <w:rPr>
                <w:rFonts w:ascii="Meiryo UI" w:hAnsi="Meiryo UI"/>
                <w:sz w:val="18"/>
              </w:rPr>
              <w:t>¥4,290</w:t>
            </w:r>
          </w:p>
        </w:tc>
        <w:tc>
          <w:tcPr>
            <w:tcW w:type="dxa" w:w="1176"/>
            <w:shd w:val="clear" w:color="auto" w:fill="DDEBF7"/>
          </w:tcPr>
          <w:p>
            <w:r>
              <w:rPr>
                <w:rFonts w:ascii="Meiryo UI" w:hAnsi="Meiryo UI"/>
                <w:sz w:val="18"/>
              </w:rPr>
              <w:t>¥3,920</w:t>
            </w:r>
          </w:p>
        </w:tc>
        <w:tc>
          <w:tcPr>
            <w:tcW w:type="dxa" w:w="1176"/>
            <w:shd w:val="clear" w:color="auto" w:fill="DDEBF7"/>
          </w:tcPr>
          <w:p>
            <w:r>
              <w:rPr>
                <w:rFonts w:ascii="Meiryo UI" w:hAnsi="Meiryo UI"/>
                <w:sz w:val="18"/>
              </w:rPr>
              <w:t>¥3,750</w:t>
            </w:r>
          </w:p>
        </w:tc>
        <w:tc>
          <w:tcPr>
            <w:tcW w:type="dxa" w:w="1176"/>
            <w:shd w:val="clear" w:color="auto" w:fill="DDEBF7"/>
          </w:tcPr>
          <w:p>
            <w:r>
              <w:rPr>
                <w:rFonts w:ascii="Meiryo UI" w:hAnsi="Meiryo UI"/>
                <w:sz w:val="18"/>
              </w:rPr>
              <w:t>¥3,590</w:t>
            </w:r>
          </w:p>
        </w:tc>
        <w:tc>
          <w:tcPr>
            <w:tcW w:type="dxa" w:w="1176"/>
            <w:shd w:val="clear" w:color="auto" w:fill="DDEBF7"/>
          </w:tcPr>
          <w:p>
            <w:r>
              <w:rPr>
                <w:rFonts w:ascii="Meiryo UI" w:hAnsi="Meiryo UI"/>
                <w:sz w:val="18"/>
              </w:rPr>
              <w:t>¥3,440</w:t>
            </w:r>
          </w:p>
        </w:tc>
        <w:tc>
          <w:tcPr>
            <w:tcW w:type="dxa" w:w="1176"/>
            <w:shd w:val="clear" w:color="auto" w:fill="DDEBF7"/>
          </w:tcPr>
          <w:p>
            <w:r>
              <w:rPr>
                <w:rFonts w:ascii="Meiryo UI" w:hAnsi="Meiryo UI"/>
                <w:sz w:val="18"/>
              </w:rPr>
              <w:t>¥3,310</w:t>
            </w:r>
          </w:p>
        </w:tc>
        <w:tc>
          <w:tcPr>
            <w:tcW w:type="dxa" w:w="1176"/>
            <w:shd w:val="clear" w:color="auto" w:fill="DDEBF7"/>
          </w:tcPr>
          <w:p>
            <w:r>
              <w:rPr>
                <w:rFonts w:ascii="Meiryo UI" w:hAnsi="Meiryo UI"/>
                <w:sz w:val="18"/>
              </w:rPr>
              <w:t>¥3,060</w:t>
            </w:r>
          </w:p>
        </w:tc>
      </w:tr>
    </w:tbl>
    <w:p/>
    <w:p>
      <w:r>
        <w:rPr>
          <w:rFonts w:ascii="Meiryo UI" w:hAnsi="Meiryo UI"/>
          <w:sz w:val="20"/>
        </w:rPr>
        <w:t>&gt; 太字は基本ケース（g=3.0%, WACC=6.53%, FV=¥4,820）</w:t>
      </w:r>
    </w:p>
    <w:p>
      <w:r>
        <w:rPr>
          <w:rFonts w:ascii="Meiryo UI" w:hAnsi="Meiryo UI"/>
          <w:sz w:val="20"/>
        </w:rPr>
        <w:t>&gt; 現在株価¥4,142を下回る領域：g≦2.0% × WACC≧6.53%（弱気かつ利上げ同時発生時）</w:t>
      </w:r>
    </w:p>
    <w:p/>
    <w:p>
      <w:r>
        <w:t>──────────────────────────────────────────────────</w:t>
      </w:r>
    </w:p>
    <w:p/>
    <w:p>
      <w:pPr>
        <w:pStyle w:val="Heading2"/>
      </w:pPr>
      <w:r>
        <w:rPr>
          <w:rFonts w:ascii="Meiryo UI" w:hAnsi="Meiryo UI"/>
          <w:color w:val="2E74B5"/>
        </w:rPr>
        <w:t>10. 総合リスク評価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リスク要因</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対応</w:t>
            </w:r>
          </w:p>
        </w:tc>
      </w:tr>
      <w:tr>
        <w:tc>
          <w:tcPr>
            <w:tcW w:type="dxa" w:w="2351"/>
          </w:tcPr>
          <w:p>
            <w:r>
              <w:rPr>
                <w:rFonts w:ascii="Meiryo UI" w:hAnsi="Meiryo UI"/>
                <w:sz w:val="18"/>
              </w:rPr>
              <w:t>国内景気後退によるDX投資抑制</w:t>
            </w:r>
          </w:p>
        </w:tc>
        <w:tc>
          <w:tcPr>
            <w:tcW w:type="dxa" w:w="2351"/>
          </w:tcPr>
          <w:p>
            <w:r>
              <w:rPr>
                <w:rFonts w:ascii="Meiryo UI" w:hAnsi="Meiryo UI"/>
                <w:sz w:val="18"/>
              </w:rPr>
              <w:t>大</w:t>
            </w:r>
          </w:p>
        </w:tc>
        <w:tc>
          <w:tcPr>
            <w:tcW w:type="dxa" w:w="2351"/>
          </w:tcPr>
          <w:p>
            <w:r>
              <w:rPr>
                <w:rFonts w:ascii="Meiryo UI" w:hAnsi="Meiryo UI"/>
                <w:sz w:val="18"/>
              </w:rPr>
              <w:t>20%</w:t>
            </w:r>
          </w:p>
        </w:tc>
        <w:tc>
          <w:tcPr>
            <w:tcW w:type="dxa" w:w="2351"/>
          </w:tcPr>
          <w:p>
            <w:r>
              <w:rPr>
                <w:rFonts w:ascii="Meiryo UI" w:hAnsi="Meiryo UI"/>
                <w:sz w:val="18"/>
              </w:rPr>
              <w:t>損切り¥3,580で管理</w:t>
            </w:r>
          </w:p>
        </w:tc>
      </w:tr>
      <w:tr>
        <w:tc>
          <w:tcPr>
            <w:tcW w:type="dxa" w:w="2351"/>
            <w:shd w:val="clear" w:color="auto" w:fill="DDEBF7"/>
          </w:tcPr>
          <w:p>
            <w:r>
              <w:rPr>
                <w:rFonts w:ascii="Meiryo UI" w:hAnsi="Meiryo UI"/>
                <w:sz w:val="18"/>
              </w:rPr>
              <w:t>BOJ利上げ加速（JGB10Y&gt;3.4%）</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感応度上、WACC上昇→FV低下。ポジション縮小検討</w:t>
            </w:r>
          </w:p>
        </w:tc>
      </w:tr>
      <w:tr>
        <w:tc>
          <w:tcPr>
            <w:tcW w:type="dxa" w:w="2351"/>
          </w:tcPr>
          <w:p>
            <w:r>
              <w:rPr>
                <w:rFonts w:ascii="Meiryo UI" w:hAnsi="Meiryo UI"/>
                <w:sz w:val="18"/>
              </w:rPr>
              <w:t>競合（SAP B1/弥生）のシェア侵食</w:t>
            </w:r>
          </w:p>
        </w:tc>
        <w:tc>
          <w:tcPr>
            <w:tcW w:type="dxa" w:w="2351"/>
          </w:tcPr>
          <w:p>
            <w:r>
              <w:rPr>
                <w:rFonts w:ascii="Meiryo UI" w:hAnsi="Meiryo UI"/>
                <w:sz w:val="18"/>
              </w:rPr>
              <w:t>中</w:t>
            </w:r>
          </w:p>
        </w:tc>
        <w:tc>
          <w:tcPr>
            <w:tcW w:type="dxa" w:w="2351"/>
          </w:tcPr>
          <w:p>
            <w:r>
              <w:rPr>
                <w:rFonts w:ascii="Meiryo UI" w:hAnsi="Meiryo UI"/>
                <w:sz w:val="18"/>
              </w:rPr>
              <w:t>15%</w:t>
            </w:r>
          </w:p>
        </w:tc>
        <w:tc>
          <w:tcPr>
            <w:tcW w:type="dxa" w:w="2351"/>
          </w:tcPr>
          <w:p>
            <w:r>
              <w:rPr>
                <w:rFonts w:ascii="Meiryo UI" w:hAnsi="Meiryo UI"/>
                <w:sz w:val="18"/>
              </w:rPr>
              <w:t>定期的なシェアモニタリング</w:t>
            </w:r>
          </w:p>
        </w:tc>
      </w:tr>
      <w:tr>
        <w:tc>
          <w:tcPr>
            <w:tcW w:type="dxa" w:w="2351"/>
            <w:shd w:val="clear" w:color="auto" w:fill="DDEBF7"/>
          </w:tcPr>
          <w:p>
            <w:r>
              <w:rPr>
                <w:rFonts w:ascii="Meiryo UI" w:hAnsi="Meiryo UI"/>
                <w:sz w:val="18"/>
              </w:rPr>
              <w:t>人材コスト上昇による利益率圧縮</w:t>
            </w:r>
          </w:p>
        </w:tc>
        <w:tc>
          <w:tcPr>
            <w:tcW w:type="dxa" w:w="2351"/>
            <w:shd w:val="clear" w:color="auto" w:fill="DDEBF7"/>
          </w:tcPr>
          <w:p>
            <w:r>
              <w:rPr>
                <w:rFonts w:ascii="Meiryo UI" w:hAnsi="Meiryo UI"/>
                <w:sz w:val="18"/>
              </w:rPr>
              <w:t>小〜中</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軽微。利益率35%超維持なら問題なし</w:t>
            </w:r>
          </w:p>
        </w:tc>
      </w:tr>
      <w:tr>
        <w:tc>
          <w:tcPr>
            <w:tcW w:type="dxa" w:w="2351"/>
          </w:tcPr>
          <w:p>
            <w:r>
              <w:rPr>
                <w:rFonts w:ascii="Meiryo UI" w:hAnsi="Meiryo UI"/>
                <w:sz w:val="18"/>
              </w:rPr>
              <w:t>為替（円安継続）</w:t>
            </w:r>
          </w:p>
        </w:tc>
        <w:tc>
          <w:tcPr>
            <w:tcW w:type="dxa" w:w="2351"/>
          </w:tcPr>
          <w:p>
            <w:r>
              <w:rPr>
                <w:rFonts w:ascii="Meiryo UI" w:hAnsi="Meiryo UI"/>
                <w:sz w:val="18"/>
              </w:rPr>
              <w:t>軽微</w:t>
            </w:r>
          </w:p>
        </w:tc>
        <w:tc>
          <w:tcPr>
            <w:tcW w:type="dxa" w:w="2351"/>
          </w:tcPr>
          <w:p>
            <w:r>
              <w:rPr>
                <w:rFonts w:ascii="Meiryo UI" w:hAnsi="Meiryo UI"/>
                <w:sz w:val="18"/>
              </w:rPr>
              <w:t>—</w:t>
            </w:r>
          </w:p>
        </w:tc>
        <w:tc>
          <w:tcPr>
            <w:tcW w:type="dxa" w:w="2351"/>
          </w:tcPr>
          <w:p>
            <w:r>
              <w:rPr>
                <w:rFonts w:ascii="Meiryo UI" w:hAnsi="Meiryo UI"/>
                <w:sz w:val="18"/>
              </w:rPr>
              <w:t>国内完結型ビジネスのため為替影響は軽微</w:t>
            </w:r>
          </w:p>
        </w:tc>
      </w:tr>
      <w:tr>
        <w:tc>
          <w:tcPr>
            <w:tcW w:type="dxa" w:w="2351"/>
            <w:shd w:val="clear" w:color="auto" w:fill="DDEBF7"/>
          </w:tcPr>
          <w:p>
            <w:r>
              <w:rPr>
                <w:rFonts w:ascii="Meiryo UI" w:hAnsi="Meiryo UI"/>
                <w:sz w:val="18"/>
              </w:rPr>
              <w:t>生成AI/LLMによるERP代替（中長期）</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2028年以降にAI組み込みOBIC7の進捗をモニタリング。freee/MFのAI先行対応状況を年次確認</w:t>
            </w:r>
          </w:p>
        </w:tc>
      </w:tr>
    </w:tbl>
    <w:p/>
    <w:p>
      <w:r>
        <w:t>──────────────────────────────────────────────────</w:t>
      </w:r>
    </w:p>
    <w:p/>
    <w:p>
      <w:pPr>
        <w:pStyle w:val="Heading2"/>
      </w:pPr>
      <w:r>
        <w:rPr>
          <w:rFonts w:ascii="Meiryo UI" w:hAnsi="Meiryo UI"/>
          <w:color w:val="2E74B5"/>
        </w:rPr>
        <w:t>付録：主要前提まとめ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使用値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現在株価</w:t>
            </w:r>
          </w:p>
        </w:tc>
        <w:tc>
          <w:tcPr>
            <w:tcW w:type="dxa" w:w="3135"/>
          </w:tcPr>
          <w:p>
            <w:r>
              <w:rPr>
                <w:rFonts w:ascii="Meiryo UI" w:hAnsi="Meiryo UI"/>
                <w:sz w:val="18"/>
              </w:rPr>
              <w:t>¥4,142</w:t>
            </w:r>
          </w:p>
        </w:tc>
        <w:tc>
          <w:tcPr>
            <w:tcW w:type="dxa" w:w="3135"/>
          </w:tcPr>
          <w:p>
            <w:r>
              <w:rPr>
                <w:rFonts w:ascii="Meiryo UI" w:hAnsi="Meiryo UI"/>
                <w:sz w:val="18"/>
              </w:rPr>
              <w:t>Yahoo Finance 4684.T (2026-04-22 07:58 JST)</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¥171</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BPS</w:t>
            </w:r>
          </w:p>
        </w:tc>
        <w:tc>
          <w:tcPr>
            <w:tcW w:type="dxa" w:w="3135"/>
          </w:tcPr>
          <w:p>
            <w:r>
              <w:rPr>
                <w:rFonts w:ascii="Meiryo UI" w:hAnsi="Meiryo UI"/>
                <w:sz w:val="18"/>
              </w:rPr>
              <w:t>¥1,107</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16.0%</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PER</w:t>
            </w:r>
          </w:p>
        </w:tc>
        <w:tc>
          <w:tcPr>
            <w:tcW w:type="dxa" w:w="3135"/>
          </w:tcPr>
          <w:p>
            <w:r>
              <w:rPr>
                <w:rFonts w:ascii="Meiryo UI" w:hAnsi="Meiryo UI"/>
                <w:sz w:val="18"/>
              </w:rPr>
              <w:t>24.2倍</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3.74倍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Rf</w:t>
            </w:r>
          </w:p>
        </w:tc>
        <w:tc>
          <w:tcPr>
            <w:tcW w:type="dxa" w:w="3135"/>
          </w:tcPr>
          <w:p>
            <w:r>
              <w:rPr>
                <w:rFonts w:ascii="Meiryo UI" w:hAnsi="Meiryo UI"/>
                <w:sz w:val="18"/>
              </w:rPr>
              <w:t>2.405%</w:t>
            </w:r>
          </w:p>
        </w:tc>
        <w:tc>
          <w:tcPr>
            <w:tcW w:type="dxa" w:w="3135"/>
          </w:tcPr>
          <w:p>
            <w:r>
              <w:rPr>
                <w:rFonts w:ascii="Meiryo UI" w:hAnsi="Meiryo UI"/>
                <w:sz w:val="18"/>
              </w:rPr>
              <w:t>JGB10Y 財務省 2026-04-22</w:t>
            </w:r>
          </w:p>
        </w:tc>
      </w:tr>
      <w:tr>
        <w:tc>
          <w:tcPr>
            <w:tcW w:type="dxa" w:w="3135"/>
            <w:shd w:val="clear" w:color="auto" w:fill="DDEBF7"/>
          </w:tcPr>
          <w:p>
            <w:r>
              <w:rPr>
                <w:rFonts w:ascii="Meiryo UI" w:hAnsi="Meiryo UI"/>
                <w:sz w:val="18"/>
              </w:rPr>
              <w:t>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 2025推計（日本）</w:t>
            </w:r>
          </w:p>
        </w:tc>
      </w:tr>
      <w:tr>
        <w:tc>
          <w:tcPr>
            <w:tcW w:type="dxa" w:w="3135"/>
          </w:tcPr>
          <w:p>
            <w:r>
              <w:rPr>
                <w:rFonts w:ascii="Meiryo UI" w:hAnsi="Meiryo UI"/>
                <w:sz w:val="18"/>
              </w:rPr>
              <w:t>β</w:t>
            </w:r>
          </w:p>
        </w:tc>
        <w:tc>
          <w:tcPr>
            <w:tcW w:type="dxa" w:w="3135"/>
          </w:tcPr>
          <w:p>
            <w:r>
              <w:rPr>
                <w:rFonts w:ascii="Meiryo UI" w:hAnsi="Meiryo UI"/>
                <w:sz w:val="18"/>
              </w:rPr>
              <w:t>0.75</w:t>
            </w:r>
          </w:p>
        </w:tc>
        <w:tc>
          <w:tcPr>
            <w:tcW w:type="dxa" w:w="3135"/>
          </w:tcPr>
          <w:p>
            <w:r>
              <w:rPr>
                <w:rFonts w:ascii="Meiryo UI" w:hAnsi="Meiryo UI"/>
                <w:sz w:val="18"/>
              </w:rPr>
              <w:t>業界知識・類似企業比較</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6.53%</w:t>
            </w:r>
          </w:p>
        </w:tc>
        <w:tc>
          <w:tcPr>
            <w:tcW w:type="dxa" w:w="3135"/>
            <w:shd w:val="clear" w:color="auto" w:fill="DDEBF7"/>
          </w:tcPr>
          <w:p>
            <w:r>
              <w:rPr>
                <w:rFonts w:ascii="Meiryo UI" w:hAnsi="Meiryo UI"/>
                <w:sz w:val="18"/>
              </w:rPr>
              <w:t>Re=Rf+β×ERP（D=0）</w:t>
            </w:r>
          </w:p>
        </w:tc>
      </w:tr>
      <w:tr>
        <w:tc>
          <w:tcPr>
            <w:tcW w:type="dxa" w:w="3135"/>
          </w:tcPr>
          <w:p>
            <w:r>
              <w:rPr>
                <w:rFonts w:ascii="Meiryo UI" w:hAnsi="Meiryo UI"/>
                <w:sz w:val="18"/>
              </w:rPr>
              <w:t>g（基本）</w:t>
            </w:r>
          </w:p>
        </w:tc>
        <w:tc>
          <w:tcPr>
            <w:tcW w:type="dxa" w:w="3135"/>
          </w:tcPr>
          <w:p>
            <w:r>
              <w:rPr>
                <w:rFonts w:ascii="Meiryo UI" w:hAnsi="Meiryo UI"/>
                <w:sz w:val="18"/>
              </w:rPr>
              <w:t>3.0%</w:t>
            </w:r>
          </w:p>
        </w:tc>
        <w:tc>
          <w:tcPr>
            <w:tcW w:type="dxa" w:w="3135"/>
          </w:tcPr>
          <w:p>
            <w:r>
              <w:rPr>
                <w:rFonts w:ascii="Meiryo UI" w:hAnsi="Meiryo UI"/>
                <w:sz w:val="18"/>
              </w:rPr>
              <w:t>国内GDP成長+DX需要</w:t>
            </w:r>
          </w:p>
        </w:tc>
      </w:tr>
      <w:tr>
        <w:tc>
          <w:tcPr>
            <w:tcW w:type="dxa" w:w="3135"/>
            <w:shd w:val="clear" w:color="auto" w:fill="DDEBF7"/>
          </w:tcPr>
          <w:p>
            <w:r>
              <w:rPr>
                <w:rFonts w:ascii="Meiryo UI" w:hAnsi="Meiryo UI"/>
                <w:sz w:val="18"/>
              </w:rPr>
              <w:t>FCFコンバージョン</w:t>
            </w:r>
          </w:p>
        </w:tc>
        <w:tc>
          <w:tcPr>
            <w:tcW w:type="dxa" w:w="3135"/>
            <w:shd w:val="clear" w:color="auto" w:fill="DDEBF7"/>
          </w:tcPr>
          <w:p>
            <w:r>
              <w:rPr>
                <w:rFonts w:ascii="Meiryo UI" w:hAnsi="Meiryo UI"/>
                <w:sz w:val="18"/>
              </w:rPr>
              <w:t>90%</w:t>
            </w:r>
          </w:p>
        </w:tc>
        <w:tc>
          <w:tcPr>
            <w:tcW w:type="dxa" w:w="3135"/>
            <w:shd w:val="clear" w:color="auto" w:fill="DDEBF7"/>
          </w:tcPr>
          <w:p>
            <w:r>
              <w:rPr>
                <w:rFonts w:ascii="Meiryo UI" w:hAnsi="Meiryo UI"/>
                <w:sz w:val="18"/>
              </w:rPr>
              <w:t>オービック歴史的体質</w:t>
            </w:r>
          </w:p>
        </w:tc>
      </w:tr>
      <w:tr>
        <w:tc>
          <w:tcPr>
            <w:tcW w:type="dxa" w:w="3135"/>
          </w:tcPr>
          <w:p>
            <w:r>
              <w:rPr>
                <w:rFonts w:ascii="Meiryo UI" w:hAnsi="Meiryo UI"/>
                <w:sz w:val="18"/>
              </w:rPr>
              <w:t>MoS（安全域）</w:t>
            </w:r>
          </w:p>
        </w:tc>
        <w:tc>
          <w:tcPr>
            <w:tcW w:type="dxa" w:w="3135"/>
          </w:tcPr>
          <w:p>
            <w:r>
              <w:rPr>
                <w:rFonts w:ascii="Meiryo UI" w:hAnsi="Meiryo UI"/>
                <w:sz w:val="18"/>
              </w:rPr>
              <w:t>10%</w:t>
            </w:r>
          </w:p>
        </w:tc>
        <w:tc>
          <w:tcPr>
            <w:tcW w:type="dxa" w:w="3135"/>
          </w:tcPr>
          <w:p>
            <w:r>
              <w:rPr>
                <w:rFonts w:ascii="Meiryo UI" w:hAnsi="Meiryo UI"/>
                <w:sz w:val="18"/>
              </w:rPr>
              <w:t>保守的バッファ</w:t>
            </w:r>
          </w:p>
        </w:tc>
      </w:tr>
    </w:tbl>
    <w:p/>
    <w:p>
      <w:r>
        <w:t>──────────────────────────────────────────────────</w:t>
      </w:r>
    </w:p>
    <w:p/>
    <w:p>
      <w:r>
        <w:t>──────────────────────────────────────────────────</w:t>
      </w:r>
    </w:p>
    <w:p/>
    <w:p>
      <w:pPr>
        <w:pStyle w:val="Heading2"/>
      </w:pPr>
      <w:r>
        <w:rPr>
          <w:rFonts w:ascii="Meiryo UI" w:hAnsi="Meiryo UI"/>
          <w:color w:val="2E74B5"/>
        </w:rPr>
        <w:t>11. IR対話用：純粋に知りたいこと ——オービックへの5つの質問</w:t>
      </w:r>
    </w:p>
    <w:p/>
    <w:p>
      <w:r>
        <w:rPr>
          <w:rFonts w:ascii="Meiryo UI" w:hAnsi="Meiryo UI"/>
          <w:sz w:val="20"/>
        </w:rPr>
        <w:t>&gt; 前置き：以下はオービックのビジネスモデルへの敬意を持ちつつ、長期投資家として率直に理解を深めたい論点をまとめたものです。竹村トレードカンパニー名義でのメール/IR面談にそのまま使える形式で記載しています。</w:t>
      </w:r>
    </w:p>
    <w:p/>
    <w:p>
      <w:r>
        <w:t>──────────────────────────────────────────────────</w:t>
      </w:r>
    </w:p>
    <w:p/>
    <w:p>
      <w:r>
        <w:rPr>
          <w:rFonts w:ascii="Meiryo UI" w:hAnsi="Meiryo UI"/>
          <w:sz w:val="20"/>
        </w:rPr>
        <w:t>竹村トレードカンパニー / 投資調査部 より</w:t>
      </w:r>
    </w:p>
    <w:p/>
    <w:p>
      <w:r>
        <w:rPr>
          <w:rFonts w:ascii="Meiryo UI" w:hAnsi="Meiryo UI"/>
          <w:sz w:val="20"/>
        </w:rPr>
        <w:t>オービック様のIR担当者様（または経営企画ご担当者様）へ</w:t>
      </w:r>
    </w:p>
    <w:p/>
    <w:p>
      <w:r>
        <w:rPr>
          <w:rFonts w:ascii="Meiryo UI" w:hAnsi="Meiryo UI"/>
          <w:sz w:val="20"/>
        </w:rPr>
        <w:t>FY3/2026本決算を拝見し、改めてオービック様のビジネスモデルの安定性と収益性の高さに感銘を受けました。長期的な視点から投資判断の参考にさせていただきたく、以下5点についてお聞かせいただけますか。</w:t>
      </w:r>
    </w:p>
    <w:p/>
    <w:p>
      <w:r>
        <w:t>──────────────────────────────────────────────────</w:t>
      </w:r>
    </w:p>
    <w:p/>
    <w:p>
      <w:r>
        <w:rPr>
          <w:rFonts w:ascii="Meiryo UI" w:hAnsi="Meiryo UI"/>
          <w:sz w:val="20"/>
        </w:rPr>
        <w:t>Q1. インボイス・電子帳簿保存法の義務化対応が一段落した2026年以降、次の需要の柱をどのようにお考えですか？</w:t>
      </w:r>
    </w:p>
    <w:p/>
    <w:p>
      <w:r>
        <w:rPr>
          <w:rFonts w:ascii="Meiryo UI" w:hAnsi="Meiryo UI"/>
          <w:sz w:val="20"/>
        </w:rPr>
        <w:t>インボイス制度（2023年10月）や電子帳簿保存法の義務化（2024年1月）に伴うOBIC7の需要拡大は、御社の成長を大きく牽引されたと認識しています。これらの「制度対応特需」が一巡した後の2026〜2028年において、新たな需要の柱として期待されているセグメントや製品はどのようなものでしょうか。また、既存顧客のクラウド移行（OBIC7クラウド）の進捗はどのように推移していますか？</w:t>
      </w:r>
    </w:p>
    <w:p/>
    <w:p>
      <w:r>
        <w:t>──────────────────────────────────────────────────</w:t>
      </w:r>
    </w:p>
    <w:p/>
    <w:p>
      <w:r>
        <w:rPr>
          <w:rFonts w:ascii="Meiryo UI" w:hAnsi="Meiryo UI"/>
          <w:sz w:val="20"/>
        </w:rPr>
        <w:t>Q2. 売上高営業利益率40%前後という高い水準を維持するために、特に重点を置いている施策はなんでしょうか？</w:t>
      </w:r>
    </w:p>
    <w:p/>
    <w:p>
      <w:r>
        <w:rPr>
          <w:rFonts w:ascii="Meiryo UI" w:hAnsi="Meiryo UI"/>
          <w:sz w:val="20"/>
        </w:rPr>
        <w:t>IT人材の採用コストが業界全体で上昇している中、御社が長年にわたり35〜40%という高い営業利益率を維持されていることを率直に素晴らしいと思っています。採用・人材育成のコスト上昇圧力に対して、どのような施策で利益率を守っているのか——例えば、業務プロセスの効率化、研修の内製化、あるいは直販モデル特有の何かがあればお聞かせください。</w:t>
      </w:r>
    </w:p>
    <w:p/>
    <w:p>
      <w:r>
        <w:t>──────────────────────────────────────────────────</w:t>
      </w:r>
    </w:p>
    <w:p/>
    <w:p>
      <w:r>
        <w:rPr>
          <w:rFonts w:ascii="Meiryo UI" w:hAnsi="Meiryo UI"/>
          <w:sz w:val="20"/>
        </w:rPr>
        <w:t>Q3. 生成AI・LLMをOBIC7に組み込む構想はありますか？もしあれば、どのような機能・収益化の形をお考えですか？</w:t>
      </w:r>
    </w:p>
    <w:p/>
    <w:p>
      <w:r>
        <w:rPr>
          <w:rFonts w:ascii="Meiryo UI" w:hAnsi="Meiryo UI"/>
          <w:sz w:val="20"/>
        </w:rPr>
        <w:t>freeeやマネーフォワードなど競合各社がAI機能の組み込みを加速させています。御社のOBIC7には数十万社規模の商流・経理データが蓄積されており、これをAIと組み合わせることで「経営意思決定支援ツール」への進化が可能ではないかと考えています。御社としてAIの活用をどのように位置づけていらっしゃるのか、また具体的な製品ロードマップがあればぜひ教えてください。</w:t>
      </w:r>
    </w:p>
    <w:p/>
    <w:p>
      <w:r>
        <w:t>──────────────────────────────────────────────────</w:t>
      </w:r>
    </w:p>
    <w:p/>
    <w:p>
      <w:r>
        <w:rPr>
          <w:rFonts w:ascii="Meiryo UI" w:hAnsi="Meiryo UI"/>
          <w:sz w:val="20"/>
        </w:rPr>
        <w:t>Q4. 直販体制（代理店を通さないモデル）を今後も維持される方針でしょうか？また、その人員規模の拡大余地についてはどのようにお考えですか？</w:t>
      </w:r>
    </w:p>
    <w:p/>
    <w:p>
      <w:r>
        <w:rPr>
          <w:rFonts w:ascii="Meiryo UI" w:hAnsi="Meiryo UI"/>
          <w:sz w:val="20"/>
        </w:rPr>
        <w:t>御社の直販体制は、競合他社との差別化においてとても重要な役割を果たされていると理解しています。一方で、優秀な直販員の採用・育成にはコストと時間がかかります。今後の顧客基盤の拡大に向けて、直販体制の拡大余地と課題、またパートナー活用等の補完策についてお考えをお聞かせください。</w:t>
      </w:r>
    </w:p>
    <w:p/>
    <w:p>
      <w:r>
        <w:t>──────────────────────────────────────────────────</w:t>
      </w:r>
    </w:p>
    <w:p/>
    <w:p>
      <w:r>
        <w:rPr>
          <w:rFonts w:ascii="Meiryo UI" w:hAnsi="Meiryo UI"/>
          <w:sz w:val="20"/>
        </w:rPr>
        <w:t>Q5. 自社株買い（今回500億円上限）を含む株主還元方針について、中長期的な考え方をお教えください。</w:t>
      </w:r>
    </w:p>
    <w:p/>
    <w:p>
      <w:r>
        <w:rPr>
          <w:rFonts w:ascii="Meiryo UI" w:hAnsi="Meiryo UI"/>
          <w:sz w:val="20"/>
        </w:rPr>
        <w:t>今回のFY3/2026決算に合わせて500億円を上限とする自社株買いを発表されました。無借金経営かつキャッシュ創出力の高い御社が、今後どのような基準（FCFの何%を還元に回すか、DOE目標など）で配当・自社株買いのバランスを決定されているのかを理解したいと思っています。M&amp;Aへの活用余地と株主還元のバランスについての考え方もお聞かせいただけますか。</w:t>
      </w:r>
    </w:p>
    <w:p/>
    <w:p>
      <w:r>
        <w:t>──────────────────────────────────────────────────</w:t>
      </w:r>
    </w:p>
    <w:p/>
    <w:p>
      <w:r>
        <w:rPr>
          <w:rFonts w:ascii="Meiryo UI" w:hAnsi="Meiryo UI"/>
          <w:sz w:val="20"/>
        </w:rPr>
        <w:t>以上5点、ご多忙の折に恐れ入りますが、ご回答いただけますと幸いです。</w:t>
      </w:r>
    </w:p>
    <w:p>
      <w:r>
        <w:rPr>
          <w:rFonts w:ascii="Meiryo UI" w:hAnsi="Meiryo UI"/>
          <w:sz w:val="20"/>
        </w:rPr>
        <w:t>竹村トレードカンパニー 投資調査部</w:t>
      </w:r>
    </w:p>
    <w:p/>
    <w:p>
      <w:r>
        <w:t>──────────────────────────────────────────────────</w:t>
      </w:r>
    </w:p>
    <w:p/>
    <w:p>
      <w:r>
        <w:rPr>
          <w:rFonts w:ascii="Meiryo UI" w:hAnsi="Meiryo UI"/>
          <w:sz w:val="20"/>
        </w:rPr>
        <w:t>深井 / 竹村トレードカンパニー アナリスト</w:t>
      </w:r>
    </w:p>
    <w:p>
      <w:r>
        <w:rPr>
          <w:rFonts w:ascii="Meiryo UI" w:hAnsi="Meiryo UI"/>
          <w:sz w:val="20"/>
        </w:rPr>
        <w:t>本レポートは情報提供目的であり、投資勧誘を目的とするものではありません。投資判断は自己責任にてお願いします。</w:t>
      </w:r>
    </w:p>
    <w:p>
      <w:r>
        <w:rPr>
          <w:rFonts w:ascii="Meiryo UI" w:hAnsi="Meiryo UI"/>
          <w:sz w:val="20"/>
        </w:rPr>
        <w:t>財務指標はYahoo Finance（2026-04-22 07:58 JST取得）リアルタイム値を使用。詳細財務データは会社公表の決算短信・有価証券報告書を必ず参照のこと。</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2.405%</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日本10年国債（JGB10Y）2.405%</w:t>
            </w:r>
          </w:p>
        </w:tc>
      </w:tr>
      <w:tr>
        <w:tc>
          <w:tcPr>
            <w:tcW w:type="dxa" w:w="4703"/>
          </w:tcPr>
          <w:p>
            <w:r>
              <w:rPr>
                <w:rFonts w:ascii="Meiryo UI" w:hAnsi="Meiryo UI"/>
                <w:sz w:val="18"/>
              </w:rPr>
              <w:t>データ取得日時</w:t>
            </w:r>
          </w:p>
        </w:tc>
        <w:tc>
          <w:tcPr>
            <w:tcW w:type="dxa" w:w="4703"/>
          </w:tcPr>
          <w:p>
            <w:r>
              <w:rPr>
                <w:rFonts w:ascii="Meiryo UI" w:hAnsi="Meiryo UI"/>
                <w:sz w:val="18"/>
              </w:rPr>
              <w:t>2026-04-22 07:58 JST（財務省日次 R8.4.20）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4684_オービック_BUY_DeepResearch_20260422.md を出力しました。</w:t>
      </w:r>
    </w:p>
    <w:p>
      <w:r>
        <w:rPr>
          <w:rFonts w:ascii="Meiryo UI" w:hAnsi="Meiryo UI"/>
          <w:sz w:val="20"/>
        </w:rPr>
        <w:t>浅井スコア +0 の銘柄 [4684]オービック についてDeepResearch完了。</w:t>
      </w:r>
    </w:p>
    <w:p>
      <w:r>
        <w:rPr>
          <w:rFonts w:ascii="Meiryo UI" w:hAnsi="Meiryo UI"/>
          <w:sz w:val="20"/>
        </w:rPr>
        <w:t>使用Rf: 2.405%（取得: 2026-04-22 07:58 JST（財務省日次 R8.4.20））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