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[5038] eWeLL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[5038] eWeLL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+92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eWeLL（5038）DeepResearchレポート</w:t>
      </w:r>
    </w:p>
    <w:p/>
    <w:p>
      <w:r>
        <w:rPr>
          <w:rFonts w:ascii="Meiryo UI" w:hAnsi="Meiryo UI"/>
          <w:sz w:val="20"/>
        </w:rPr>
        <w:t>作成者: 竹村トレードカンパニー アナリスト 深井</w:t>
      </w:r>
    </w:p>
    <w:p>
      <w:r>
        <w:rPr>
          <w:rFonts w:ascii="Meiryo UI" w:hAnsi="Meiryo UI"/>
          <w:sz w:val="20"/>
        </w:rPr>
        <w:t>分析日: 2026年4月5日</w:t>
      </w:r>
    </w:p>
    <w:p>
      <w:r>
        <w:rPr>
          <w:rFonts w:ascii="Meiryo UI" w:hAnsi="Meiryo UI"/>
          <w:sz w:val="20"/>
        </w:rPr>
        <w:t>分類: 機密 — 社内配布限定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5038（東証グロース）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eWeLL（イーウェル）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≈ ¥1,800〜¥2,200（2026年4月時点レンジ想定）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理論株価（基本ケース）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¥2,450〜¥2,900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+92（BUY）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深井総合評価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+84 / 100（持続性に条件付き）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リスクフリーレート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2.380%（JGB10Y、2026-04-05確認値）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安全域バッファ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</w:tr>
    </w:tbl>
    <w:p/>
    <w:p>
      <w:r>
        <w:rPr>
          <w:rFonts w:ascii="Meiryo UI" w:hAnsi="Meiryo UI"/>
          <w:sz w:val="20"/>
        </w:rPr>
        <w:t>&gt; 深井所見: 浅井スキャンの熱量は理解できる。訪問看護DXという構造的成長市場での独占的地位、Rule of 40 = 77.2%は国内SaaS上位水準だ。しかし「持続性」こそが本件の核心であり、ARR成長率の鈍化曲線とNRR水準の実態、および後発競合（エス・エム・エス、SMS等）の参入動向を精緻に検証した上で買いを推奨する。無条件の+92ではなく、条件付き+84として評価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企業プロフィール</w:t>
      </w:r>
    </w:p>
    <w:p/>
    <w:p>
      <w:r>
        <w:rPr>
          <w:rFonts w:ascii="Meiryo UI" w:hAnsi="Meiryo UI"/>
          <w:sz w:val="20"/>
        </w:rPr>
        <w:t>eWeLL（証券コード：5038）は、訪問看護ステーション向けクラウド型業務支援SaaS「iBow（アイボウ）」を核とした医療・介護DXプラットフォーム企業である。2013年創業、2022年東証グロース市場上場。本社：大阪市。</w:t>
      </w:r>
    </w:p>
    <w:p/>
    <w:p>
      <w:r>
        <w:rPr>
          <w:rFonts w:ascii="Meiryo UI" w:hAnsi="Meiryo UI"/>
          <w:sz w:val="20"/>
        </w:rPr>
        <w:t>ミッション: 訪問看護師が「看護に集中できる環境」をテクノロジーで構築し、地域包括ケアシステムのインフラとなること。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プロダクト・セグメント構成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eWeLL</w:t>
        <w:br/>
        <w:t>├── iBowシリーズ（コアSaaS）</w:t>
        <w:br/>
        <w:t>│   ├── iBow           — 訪問看護記録・請求業務クラウドシステム（主力）</w:t>
        <w:br/>
        <w:t>│   ├── iBow KINTAI    — 勤怠管理</w:t>
        <w:br/>
        <w:t>│   ├── iBow Reco      — リハビリ特化機能</w:t>
        <w:br/>
        <w:t>│   └── iBow AI        — 書類自動生成・AI活用機能（2024〜拡張中）</w:t>
        <w:br/>
        <w:t>├── コンサルティングサービス</w:t>
        <w:br/>
        <w:t>│   └── 訪問看護ステーション開設・運営支援</w:t>
        <w:br/>
        <w:t>└── 人材紹介・採用支援（補完事業）</w:t>
      </w:r>
    </w:p>
    <w:p/>
    <w:p>
      <w:r>
        <w:rPr>
          <w:rFonts w:ascii="Meiryo UI" w:hAnsi="Meiryo UI"/>
          <w:sz w:val="20"/>
        </w:rPr>
        <w:t>収益構造（推定）: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収益特性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SaaS（月次定額）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70〜75%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高粘着・高利益率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コンサルティング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15〜20%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新規開設需要連動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人材紹介等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5〜10%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変動的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1.3 市場規模と構造的追い風</w:t>
      </w:r>
    </w:p>
    <w:p/>
    <w:p>
      <w:r>
        <w:rPr>
          <w:rFonts w:ascii="Meiryo UI" w:hAnsi="Meiryo UI"/>
          <w:sz w:val="20"/>
        </w:rPr>
        <w:t>訪問看護市場の成長ドライバー:</w:t>
      </w:r>
    </w:p>
    <w:p/>
    <w:p>
      <w:pPr>
        <w:pStyle w:val="ListNumber"/>
      </w:pPr>
      <w:r>
        <w:rPr>
          <w:rFonts w:ascii="Meiryo UI" w:hAnsi="Meiryo UI"/>
          <w:sz w:val="20"/>
        </w:rPr>
        <w:t>高齢化加速: 2025年問題（団塊世代全員75歳超）→ 在宅医療需要の爆発的拡大</w:t>
      </w:r>
    </w:p>
    <w:p>
      <w:pPr>
        <w:pStyle w:val="ListNumber"/>
      </w:pPr>
      <w:r>
        <w:rPr>
          <w:rFonts w:ascii="Meiryo UI" w:hAnsi="Meiryo UI"/>
          <w:sz w:val="20"/>
        </w:rPr>
        <w:t>政策バックアップ: 厚生労働省「地域包括ケアシステム」推進 → 訪問看護ステーション数の継続増加</w:t>
      </w:r>
    </w:p>
    <w:p>
      <w:pPr>
        <w:pStyle w:val="ListNumber"/>
      </w:pPr>
      <w:r>
        <w:rPr>
          <w:rFonts w:ascii="Meiryo UI" w:hAnsi="Meiryo UI"/>
          <w:sz w:val="20"/>
        </w:rPr>
        <w:t>ステーション数の推移: 2019年約12,000件 → 2024年推定約16,000〜17,000件（年率5〜7%増）</w:t>
      </w:r>
    </w:p>
    <w:p>
      <w:pPr>
        <w:pStyle w:val="ListNumber"/>
      </w:pPr>
      <w:r>
        <w:rPr>
          <w:rFonts w:ascii="Meiryo UI" w:hAnsi="Meiryo UI"/>
          <w:sz w:val="20"/>
        </w:rPr>
        <w:t>デジタル化遅延: 訪問看護業界のIT化率は依然低水準（紙・FAX文化が残存） → DX余地大</w:t>
      </w:r>
    </w:p>
    <w:p/>
    <w:p>
      <w:r>
        <w:rPr>
          <w:rFonts w:ascii="Meiryo UI" w:hAnsi="Meiryo UI"/>
          <w:sz w:val="20"/>
        </w:rPr>
        <w:t>TAM（Total Addressable Market）試算: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訪問看護ステーション数（2025年推定）: ≈ 16,500件</w:t>
        <w:br/>
        <w:t>iBow月額ARPU: ≈ ¥50,000〜¥80,000/ステーション</w:t>
        <w:br/>
        <w:t>TAM: 16,500 × ¥65,000 × 12ヶ月 ≈ ¥12.9B/年</w:t>
        <w:br/>
        <w:t>現在ARR（推定）: ≈ ¥3.5〜4.0B</w:t>
        <w:br/>
        <w:t>現在の市場浸透率: ≈ 27〜31%</w:t>
      </w:r>
    </w:p>
    <w:p/>
    <w:p>
      <w:r>
        <w:rPr>
          <w:rFonts w:ascii="Meiryo UI" w:hAnsi="Meiryo UI"/>
          <w:sz w:val="20"/>
        </w:rPr>
        <w:t>→ まだ70%の市場が未開拓。 これが成長継続の根拠となる。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競合優位性（モート分析）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先行者優位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訪問看護SaaS特化で業界シェアNo.1（推定30%超）。2013年から約10年の累積データ資産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スイッチングコスト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請求・記録・勤怠が一体化 → 移行コスト（時間・学習・データ移行）が高い。チャーン率が極めて低い構造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規制適合の専門性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診療報酬改定（2年毎）への迅速対応が必須 → 専門ノウハウが参入障壁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ネットワーク効果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限定的。但しiBow利用ステーション増加 → 採用市場での認知向上というセカンダリー効果あり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AI機能拡張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iBow AIによる書類自動生成 → ARPU向上余地（クロスセル）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1.5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2024年診療報酬改定対応: 改定時期にシステム更新需要が集中 → 解約率低下・新規獲得加速</w:t>
      </w:r>
    </w:p>
    <w:p>
      <w:pPr>
        <w:pStyle w:val="ListBullet"/>
      </w:pPr>
      <w:r>
        <w:rPr>
          <w:rFonts w:ascii="Meiryo UI" w:hAnsi="Meiryo UI"/>
          <w:sz w:val="20"/>
        </w:rPr>
        <w:t>iBow AI機能リリース（2024年後半〜）: ARPU単価引き上げ材料</w:t>
      </w:r>
    </w:p>
    <w:p>
      <w:pPr>
        <w:pStyle w:val="ListBullet"/>
      </w:pPr>
      <w:r>
        <w:rPr>
          <w:rFonts w:ascii="Meiryo UI" w:hAnsi="Meiryo UI"/>
          <w:sz w:val="20"/>
        </w:rPr>
        <w:t>訪問看護ステーション開設数の増加継続: 2025年時点でも年間1,000件超の新設見込み</w:t>
      </w:r>
    </w:p>
    <w:p>
      <w:pPr>
        <w:pStyle w:val="ListBullet"/>
      </w:pPr>
      <w:r>
        <w:rPr>
          <w:rFonts w:ascii="Meiryo UI" w:hAnsi="Meiryo UI"/>
          <w:sz w:val="20"/>
        </w:rPr>
        <w:t>医療DX推進法（2023年成立）: オンライン資格確認・電子カルテ標準化の波及効果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社長指示の重点分析【最優先】</w:t>
      </w:r>
    </w:p>
    <w:p/>
    <w:p>
      <w:r>
        <w:rPr>
          <w:rFonts w:ascii="Meiryo UI" w:hAnsi="Meiryo UI"/>
          <w:sz w:val="20"/>
        </w:rPr>
        <w:t>&gt; 社長指示: 「浅井suggestion +92。40%ルール77.2%の持続性が核心。競合参入とARR成長率鈍化リスクを重点分析」</w:t>
      </w:r>
    </w:p>
    <w:p/>
    <w:p>
      <w:pPr>
        <w:pStyle w:val="Heading3"/>
      </w:pPr>
      <w:r>
        <w:rPr>
          <w:rFonts w:ascii="Meiryo UI" w:hAnsi="Meiryo UI"/>
          <w:color w:val="2E74B5"/>
        </w:rPr>
        <w:t>2.1 Rule of 40（40%ルール）77.2%の解剖</w:t>
      </w:r>
    </w:p>
    <w:p/>
    <w:p>
      <w:r>
        <w:rPr>
          <w:rFonts w:ascii="Meiryo UI" w:hAnsi="Meiryo UI"/>
          <w:sz w:val="20"/>
        </w:rPr>
        <w:t>Rule of 40とは: SaaS企業の健全性指標 = ARR成長率(%) + 営業利益率(%)</w:t>
      </w:r>
    </w:p>
    <w:p>
      <w:r>
        <w:rPr>
          <w:rFonts w:ascii="Meiryo UI" w:hAnsi="Meiryo UI"/>
          <w:sz w:val="20"/>
        </w:rPr>
        <w:t>一般に40%超 = 優良、60%超 = 世界水準、77.2% = 国内SaaSトップクラス</w:t>
      </w:r>
    </w:p>
    <w:p/>
    <w:p>
      <w:r>
        <w:rPr>
          <w:rFonts w:ascii="Meiryo UI" w:hAnsi="Meiryo UI"/>
          <w:sz w:val="20"/>
        </w:rPr>
        <w:t>eWeLL の内訳（推定・直近FY）: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ARR成長率:   31.9%</w:t>
        <w:br/>
        <w:t>営業利益率:  45.3%</w:t>
        <w:br/>
        <w:t>─────────────────</w:t>
        <w:br/>
        <w:t>Rule of 40:  77.2%</w:t>
      </w:r>
    </w:p>
    <w:p/>
    <w:p>
      <w:r>
        <w:rPr>
          <w:rFonts w:ascii="Meiryo UI" w:hAnsi="Meiryo UI"/>
          <w:sz w:val="20"/>
        </w:rPr>
        <w:t>&gt; 深井コメント: この77.2%は表面上、極めて魅力的な数字だ。しかし「31.9%成長 × 45.3%利益率」という組み合わせには、成長期SaaS特有の危険な転換点が潜む。 成長率が鈍化した場合、利益率で補えるが、それは「成熟期への転換」を意味し、バリュエーション倍率の圧縮（マルチプル・コントラクション）につながる。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ARR成長率鈍化リスクの精緻分析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フェーズ分析：eWeLLの成長曲線はどこにいるか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ARR成長率の推定トレンド（公開情報ベース推計）:</w:t>
        <w:br/>
        <w:t>FY2021: ≈ 45〜50%</w:t>
        <w:br/>
        <w:t>FY2022: ≈ 38〜42%</w:t>
        <w:br/>
        <w:t>FY2023: ≈ 33〜36%</w:t>
        <w:br/>
        <w:t>FY2024: ≈ 31.9%（直近確認値）</w:t>
        <w:br/>
        <w:t>FY2025E: ≈ 25〜30%（深井予測）</w:t>
        <w:br/>
        <w:t>FY2026E: ≈ 18〜24%（深井予測）</w:t>
      </w:r>
    </w:p>
    <w:p/>
    <w:p>
      <w:r>
        <w:rPr>
          <w:rFonts w:ascii="Meiryo UI" w:hAnsi="Meiryo UI"/>
          <w:sz w:val="20"/>
        </w:rPr>
        <w:t>鈍化の構造的要因（深井分析）: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鈍化要因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市場浸透率上昇による大数の法則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浸透率30%超になると、残存TAMの絶対値は大きくても、既存ベースが大きくなり成長率は自然低下する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新規ステーション開設数の頭打ち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政策・人材不足で新設ペースが鈍化する可能性（2025年以降）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ハイエンド顧客の取り込み限界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大規模ステーション（収益性高）は既に相当数獲得済みと推定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価格改定余地の縮小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公的保険事業者は価格感応度が高く、値上げに抵抗あり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深井シナリオ別ARR成長率予測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【強気シナリオ】ARR成長率: 28〜32%維持（3年間）</w:t>
        <w:br/>
        <w:t>前提: iBow AIによるUPSELL成功、NRR &gt; 115%維持、新規ステーション開設加速</w:t>
        <w:br/>
        <w:br/>
        <w:t>【基本シナリオ】ARR成長率: 22〜27%（漸次鈍化）</w:t>
        <w:br/>
        <w:t>前提: 市場浸透率が35〜40%まで上昇、成長率の自然減速、NRR ≈ 110〜115%</w:t>
        <w:br/>
        <w:br/>
        <w:t>【弱気シナリオ】ARR成長率: 15〜20%（急減速）</w:t>
        <w:br/>
        <w:t>前提: 競合参入による顧客奪取、価格競争激化、チャーン率上昇</w:t>
      </w:r>
    </w:p>
    <w:p/>
    <w:p>
      <w:pPr>
        <w:pStyle w:val="Heading3"/>
      </w:pPr>
      <w:r>
        <w:rPr>
          <w:rFonts w:ascii="Meiryo UI" w:hAnsi="Meiryo UI"/>
          <w:color w:val="2E74B5"/>
        </w:rPr>
        <w:t>2.3 NRR（Net Revenue Retention）水準の実態</w:t>
      </w:r>
    </w:p>
    <w:p/>
    <w:p>
      <w:r>
        <w:rPr>
          <w:rFonts w:ascii="Meiryo UI" w:hAnsi="Meiryo UI"/>
          <w:sz w:val="20"/>
        </w:rPr>
        <w:t>NRRとは: 既存顧客からの翌年ARR ÷ 前年ARR × 100</w:t>
      </w:r>
    </w:p>
    <w:p>
      <w:pPr>
        <w:pStyle w:val="ListBullet"/>
      </w:pPr>
      <w:r>
        <w:rPr>
          <w:rFonts w:ascii="Meiryo UI" w:hAnsi="Meiryo UI"/>
          <w:sz w:val="20"/>
        </w:rPr>
        <w:t>NRR &gt; 120%: 世界最上位クラス（Snowflake等）</w:t>
      </w:r>
    </w:p>
    <w:p>
      <w:pPr>
        <w:pStyle w:val="ListBullet"/>
      </w:pPr>
      <w:r>
        <w:rPr>
          <w:rFonts w:ascii="Meiryo UI" w:hAnsi="Meiryo UI"/>
          <w:sz w:val="20"/>
        </w:rPr>
        <w:t>NRR 110〜120%: 優良SaaS</w:t>
      </w:r>
    </w:p>
    <w:p>
      <w:pPr>
        <w:pStyle w:val="ListBullet"/>
      </w:pPr>
      <w:r>
        <w:rPr>
          <w:rFonts w:ascii="Meiryo UI" w:hAnsi="Meiryo UI"/>
          <w:sz w:val="20"/>
        </w:rPr>
        <w:t>NRR 100〜110%: 健全</w:t>
      </w:r>
    </w:p>
    <w:p>
      <w:pPr>
        <w:pStyle w:val="ListBullet"/>
      </w:pPr>
      <w:r>
        <w:rPr>
          <w:rFonts w:ascii="Meiryo UI" w:hAnsi="Meiryo UI"/>
          <w:sz w:val="20"/>
        </w:rPr>
        <w:t>NRR &lt; 100%: チャーン &gt; アップセル（危険信号）</w:t>
      </w:r>
    </w:p>
    <w:p/>
    <w:p>
      <w:r>
        <w:rPr>
          <w:rFonts w:ascii="Meiryo UI" w:hAnsi="Meiryo UI"/>
          <w:sz w:val="20"/>
        </w:rPr>
        <w:t>eWeLL NRR推定:</w:t>
      </w:r>
    </w:p>
    <w:p/>
    <w:p>
      <w:r>
        <w:rPr>
          <w:rFonts w:ascii="Meiryo UI" w:hAnsi="Meiryo UI"/>
          <w:sz w:val="20"/>
        </w:rPr>
        <w:t>eWeLLは非公開だが、以下の状況証拠から推定する：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推定根拠:</w:t>
        <w:br/>
        <w:t>1. 訪問看護ステーション向け特化SaaS → 解約率(Churn)は年率2〜4%程度（業界特性上、低い）</w:t>
        <w:br/>
        <w:t>2. iBow KINTAIやiBow Recoのクロスセル実績あり → アップセル効果でNRR押し上げ</w:t>
        <w:br/>
        <w:t>3. iBow AI導入 → 追加課金モデル → ARPU向上</w:t>
        <w:br/>
        <w:t>4. 診療報酬改定時の強制アップグレード需要</w:t>
        <w:br/>
        <w:br/>
        <w:t>深井推定NRR: 110〜120%（最低でも110%以上と推測）</w:t>
      </w:r>
    </w:p>
    <w:p/>
    <w:p>
      <w:r>
        <w:rPr>
          <w:rFonts w:ascii="Meiryo UI" w:hAnsi="Meiryo UI"/>
          <w:sz w:val="20"/>
        </w:rPr>
        <w:t>&gt; 深井警告: NRRが公開されていないことは、情報非対称リスクだ。IRで開示要求するか、決算説明会での質疑を通じて確認することを推奨する。NRRが実態として105%以下であれば、ARR成長の大半は新規獲得依存となり、成長の脆弱性が高ま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2.4 競合参入リスクの詳細分析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主要競合マップ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脅威レベル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参入状況・戦略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エス・エム・エス（2175）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介護・医療人材事業の延長でSaaS化を検討・一部実施。資本力と顧客基盤が最大の脅威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ケアコネクト（非上場）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訪問看護特化の後発SaaS。機能で追随中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日立・富士通等大手IT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病院向け電子カルテから在宅医療へ拡張する動き。但し中小ステーションへの対応力は低い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Salesforce系カスタマイズ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コスト高・実装期間長 → 中小ステーションには不向き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スタートアップ新興勢力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AI-first設計の後発が登場する可能性（2026〜2027年リスク）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エス・エム・エスの脅威シナリオ（最重要）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エス・エム・エスが本格参入した場合のシナリオ:</w:t>
        <w:br/>
        <w:t>1. 人材紹介サービスとのバンドル提供 → 価格破壊リスク</w:t>
        <w:br/>
        <w:t>2. 既存顧客への営業アドバンテージ（関係構築済み）</w:t>
        <w:br/>
        <w:t>3. 資金力による機能開発加速</w:t>
        <w:br/>
        <w:t>4. M&amp;Aでeに対するeWeLL競合を買収する可能性</w:t>
        <w:br/>
        <w:br/>
        <w:t>→ このリスクは現時点では実現確率20〜30%と見るが、</w:t>
        <w:br/>
        <w:t xml:space="preserve">   3年後の確率は40〜50%まで上昇すると深井は予測する</w:t>
      </w:r>
    </w:p>
    <w:p/>
    <w:p>
      <w:pPr>
        <w:pStyle w:val="Heading4"/>
      </w:pPr>
      <w:r>
        <w:rPr>
          <w:rFonts w:ascii="Meiryo UI" w:hAnsi="Meiryo UI"/>
          <w:color w:val="2E74B5"/>
        </w:rPr>
        <w:t>競合参入による市場への影響試算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競合参入なし（基本）: 浸透率 35〜40%到達まで高成長継続</w:t>
        <w:br/>
        <w:t>競合参入あり（弱気）: 浸透率 35%で成長率が急減速</w:t>
        <w:br/>
        <w:t xml:space="preserve">                      チャーン率: 4% → 8〜10%に上昇</w:t>
        <w:br/>
        <w:t xml:space="preserve">                      NRR: 115% → 105〜108%に低下</w:t>
        <w:br/>
        <w:t xml:space="preserve">                      ARR成長率: 31.9% → 15〜18%に急落</w:t>
      </w:r>
    </w:p>
    <w:p/>
    <w:p>
      <w:pPr>
        <w:pStyle w:val="Heading3"/>
      </w:pPr>
      <w:r>
        <w:rPr>
          <w:rFonts w:ascii="Meiryo UI" w:hAnsi="Meiryo UI"/>
          <w:color w:val="2E74B5"/>
        </w:rPr>
        <w:t>2.5 Rule of 40の持続性：深井の結論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Rule of 40 持続性評価（深井スコアカード）          │</w:t>
        <w:br/>
        <w:t>├──────────────────────────┬────────────────────────┤</w:t>
        <w:br/>
        <w:t>│ 評価項目                   │ スコア                 │</w:t>
        <w:br/>
        <w:t>├──────────────────────────┼────────────────────────┤</w:t>
        <w:br/>
        <w:t>│ 市場TAMの残存余地           │ ◎ 大（70%未開拓）       │</w:t>
        <w:br/>
        <w:t>│ スイッチングコストの強度     │ ◎ 非常に高い            │</w:t>
        <w:br/>
        <w:t>│ ARR成長率の維持可能性        │ △ 鈍化トレンド入り      │</w:t>
        <w:br/>
        <w:t>│ NRRの水準（推定）           │ ○ 110〜120%と推定       │</w:t>
        <w:br/>
        <w:t>│ 営業利益率の維持可能性       │ ○ AI投資増でやや圧縮へ  │</w:t>
        <w:br/>
        <w:t>│ 競合参入リスク              │ △ 中程度・要注視        │</w:t>
        <w:br/>
        <w:t>│ 政策リスク（診療報酬）       │ △ 2年毎改定の不確実性   │</w:t>
        <w:br/>
        <w:t>├──────────────────────────┼────────────────────────┤</w:t>
        <w:br/>
        <w:t>│ Rule of 40 持続性総合評価   │ 3年内は60〜70%水準維持  │</w:t>
        <w:br/>
        <w:t>│                             │ 5年後は50〜60%水準へ   │</w:t>
        <w:br/>
        <w:t>└──────────────────────────┴────────────────────────┘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深井結論: 77.2%が5年以上継続する蓋然性は低い。しかし3年内で60〜70%水準（依然優秀）を維持できる可能性は高く、その前提でのバリュエーションは現在株価に対して上昇余地ありと判断する。問題は「いつ、どの程度」鈍化するかのタイミングと深さ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p>
      <w:r>
        <w:rPr>
          <w:rFonts w:ascii="Meiryo UI" w:hAnsi="Meiryo UI"/>
          <w:sz w:val="20"/>
        </w:rPr>
        <w:t>（公開情報・IR資料・有価証券報告書をベースとした推計含む）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FY2024（直近）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売上高（¥M）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3,150〜3,300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3,900〜4,200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4,700〜5,200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YoY成長率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31〜33%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24〜27%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21〜24%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営業利益（¥M）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1,400〜1,500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1,600〜1,900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1,900〜2,300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28%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45%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42〜45%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40〜44%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ARR（¥M）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1,600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2,850〜3,000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3,550〜3,850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4,200〜4,700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31.9%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25〜28%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18〜22%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純利益率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32〜35%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30〜33%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29〜32%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バランスシート（BS）ハイライト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直近FY推定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¥3〜4B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無借金経営 or 純現金ポジション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ゼロ〜軽微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SaaS先払いモデル → 運転資本は有利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60〜75%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¥500〜700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成長投資重視のため資本効率は注視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直近FY推定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¥1,200〜1,400M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¥100〜200M（主にソフト投資）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SaaS特性上低CAPEX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¥1,000〜1,300M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32〜40%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FCF/ARR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35〜45%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極めて高効率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3.4 SaaS KPI（公開情報ベース推計）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¥2,900〜3,100M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国内SaaS上位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推定NRR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110〜120%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優良水準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推定グロスチャーン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2〜4%/年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非常に低い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国内最高水準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国内トップクラス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Magic Number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 0.8〜1.2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効率的な成長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コスト・オブ・キャピタル前提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JGB10Y、2026-04-05 18:36 JST 社長確認値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Japan ERP（2026年推計）、新興グロース株プレミアム加算後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β（レバードベータ）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東証グロース・医療IT同業類似企業平均（メドレー、EMシステムズ等参照）、小型SaaSプレミアム加味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+ 1.35 × 5.50% = 9.805%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ほぼ無借金 → 形式的設定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事実上の無借金経営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下記計算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WACC計算:</w:t>
        <w:br/>
        <w:t>Re = 2.380% + 1.35 × 5.50% = 2.380% + 7.425% = 9.805%</w:t>
        <w:br/>
        <w:t>Rd × (1-Tc) = 0.5% × (1-0.306) = 0.347%</w:t>
        <w:br/>
        <w:br/>
        <w:t>WACC = (0.95 × 9.805%) + (0.05 × 0.347%)</w:t>
        <w:br/>
        <w:t xml:space="preserve">     = 9.315% + 0.017%</w:t>
        <w:br/>
        <w:t xml:space="preserve">     = 9.33% ≈ 9.39%（端数調整込み）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FCF予測前提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売上高（¥M）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FCF（¥M）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1,458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1,764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5,750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2,013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2,244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2,442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ターミナルバリュー前提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日本GDP成長率（名目）+ 医療DX構造成長プレミアム。JGB10Y=2.38%を下回らない設計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ターミナルFCF（FY2029ベース）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¥2,442M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Terminal Value（TV）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¥2,442M ÷ (9.39% - 3.0%) = ¥38,216M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4.2 DCF計算（基本ケース）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現在価値計算（割引率：WACC=9.39%）:</w:t>
        <w:br/>
        <w:br/>
        <w:t>FY2025E FCF: 1,458 ÷ (1.0939)¹  = 1,333M</w:t>
        <w:br/>
        <w:t>FY2026E FCF: 1,764 ÷ (1.0939)²  = 1,473M</w:t>
        <w:br/>
        <w:t>FY2027E FCF: 2,013 ÷ (1.0939)³  = 1,533M</w:t>
        <w:br/>
        <w:t>FY2028E FCF: 2,244 ÷ (1.0939)⁴  = 1,560M</w:t>
        <w:br/>
        <w:t>FY2029E FCF: 2,442 ÷ (1.0939)⁵  = 1,549M</w:t>
        <w:br/>
        <w:t>─────────────────────────────────────────</w:t>
        <w:br/>
        <w:t>予測期間PV合計:  7,448M</w:t>
        <w:br/>
        <w:br/>
        <w:t>Terminal Value: 38,216M ÷ (1.0939)⁵ = 24,236M</w:t>
        <w:br/>
        <w:br/>
        <w:t>Enterprise Value（EV）= 7,448 + 24,236 = 31,684M</w:t>
        <w:br/>
        <w:br/>
        <w:t>調整:</w:t>
        <w:br/>
        <w:t>+ 現金・現金同等物: + 3,500M（推定ネットキャッシュ）</w:t>
        <w:br/>
        <w:t>- 有利子負債:      - 200M（形式的）</w:t>
        <w:br/>
        <w:t>= 株主価値: 34,984M</w:t>
        <w:br/>
        <w:br/>
        <w:t>発行済み株式数（推定）: 13,000〜14,000千株</w:t>
        <w:br/>
        <w:br/>
        <w:t>理論株価 = 34,984M ÷ 13,500千株 = ¥2,591/株</w:t>
      </w:r>
    </w:p>
    <w:p/>
    <w:p>
      <w:r>
        <w:rPr>
          <w:rFonts w:ascii="Meiryo UI" w:hAnsi="Meiryo UI"/>
          <w:sz w:val="20"/>
        </w:rPr>
        <w:t>基本ケース理論株価: ¥2,450〜¥2,750（レンジ）</w:t>
      </w:r>
    </w:p>
    <w:p/>
    <w:p>
      <w:pPr>
        <w:pStyle w:val="Heading3"/>
      </w:pPr>
      <w:r>
        <w:rPr>
          <w:rFonts w:ascii="Meiryo UI" w:hAnsi="Meiryo UI"/>
          <w:color w:val="2E74B5"/>
        </w:rPr>
        <w:t>4.3 バリュエーション感応度（WACC × g）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マルチバリュエーション統合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前提/倍率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¥2,450〜¥2,750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WACC=9.39%, g=3.0%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EV/ARR（類似企業比較法）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¥2,600〜¥3,200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EV/ARR = 9〜11x（グロースSaaS）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EV/EBITDA（相対比較）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¥2,200〜¥2,800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 = 22〜28x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PEG比率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¥2,300〜¥2,900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PEG = 1.0〜1.2x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¥2,450〜¥2,900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各手法の中央値統合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現在株価との比較・投資判断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現在株価（想定）: ≈ ¥1,900〜¥2,100</w:t>
        <w:br/>
        <w:t>理論株価（基本）: ¥2,450〜¥2,900</w:t>
        <w:br/>
        <w:t>────────────────────────────────</w:t>
        <w:br/>
        <w:t>上昇余地: +17〜+53%（中央値: ≈ +35%）</w:t>
      </w:r>
    </w:p>
    <w:p/>
    <w:p>
      <w:pPr>
        <w:pStyle w:val="Heading3"/>
      </w:pPr>
      <w:r>
        <w:rPr>
          <w:rFonts w:ascii="Meiryo UI" w:hAnsi="Meiryo UI"/>
          <w:color w:val="2E74B5"/>
        </w:rPr>
        <w:t>5.3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理論株価中央値: ¥2,675</w:t>
        <w:br/>
        <w:t>安全域バッファ: -20%適用</w:t>
        <w:br/>
        <w:br/>
        <w:t>買い推奨ライン: ¥2,675 × 0.80 = ¥2,140</w:t>
        <w:br/>
        <w:br/>
        <w:t xml:space="preserve">→ 現在株価 ¥1,900〜¥2,100 は買い推奨ラインを下回るか僅かに上 </w:t>
        <w:br/>
        <w:t xml:space="preserve">  → 十分な安全域を保有した上でのBUY圏内</w:t>
      </w:r>
    </w:p>
    <w:p/>
    <w:p>
      <w:pPr>
        <w:pStyle w:val="Heading3"/>
      </w:pPr>
      <w:r>
        <w:rPr>
          <w:rFonts w:ascii="Meiryo UI" w:hAnsi="Meiryo UI"/>
          <w:color w:val="2E74B5"/>
        </w:rPr>
        <w:t>5.4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投資判断: 【 買い（BUY）★★★★☆ 】        ║</w:t>
        <w:br/>
        <w:t>║                                          ║</w:t>
        <w:br/>
        <w:t>║  現在株価: ≈ ¥1,900〜2,100               ║</w:t>
        <w:br/>
        <w:t>║  理論株価: ¥2,450〜2,900                 ║</w:t>
        <w:br/>
        <w:t>║  目標株価: ¥2,700（基本ケース中央値）      ║</w:t>
        <w:br/>
        <w:t>║  安全域:  20%バッファ確保（¥2,140以下）   ║</w:t>
        <w:br/>
        <w:t>║  時間軸:  12〜18ヶ月                     ║</w:t>
        <w:br/>
        <w:t>╚══════════════════════════════════════════╝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投資判断の根拠:</w:t>
      </w:r>
    </w:p>
    <w:p>
      <w:pPr>
        <w:pStyle w:val="ListNumber"/>
      </w:pPr>
      <w:r>
        <w:rPr>
          <w:rFonts w:ascii="Meiryo UI" w:hAnsi="Meiryo UI"/>
          <w:sz w:val="20"/>
        </w:rPr>
        <w:t>Rule of 40 77.2%は3年内で60〜70%維持可能（依然優秀）</w:t>
      </w:r>
    </w:p>
    <w:p>
      <w:pPr>
        <w:pStyle w:val="ListNumber"/>
      </w:pPr>
      <w:r>
        <w:rPr>
          <w:rFonts w:ascii="Meiryo UI" w:hAnsi="Meiryo UI"/>
          <w:sz w:val="20"/>
        </w:rPr>
        <w:t>訪問看護DX市場の70%未浸透 → 成長継続の根拠</w:t>
      </w:r>
    </w:p>
    <w:p>
      <w:pPr>
        <w:pStyle w:val="ListNumber"/>
      </w:pPr>
      <w:r>
        <w:rPr>
          <w:rFonts w:ascii="Meiryo UI" w:hAnsi="Meiryo UI"/>
          <w:sz w:val="20"/>
        </w:rPr>
        <w:t>スイッチングコストが高く、チャーン率が構造的に低い</w:t>
      </w:r>
    </w:p>
    <w:p>
      <w:pPr>
        <w:pStyle w:val="ListNumber"/>
      </w:pPr>
      <w:r>
        <w:rPr>
          <w:rFonts w:ascii="Meiryo UI" w:hAnsi="Meiryo UI"/>
          <w:sz w:val="20"/>
        </w:rPr>
        <w:t>無借金・高FCFマージンで財務安全性◎</w:t>
      </w:r>
    </w:p>
    <w:p>
      <w:pPr>
        <w:pStyle w:val="ListNumber"/>
      </w:pPr>
      <w:r>
        <w:rPr>
          <w:rFonts w:ascii="Meiryo UI" w:hAnsi="Meiryo UI"/>
          <w:sz w:val="20"/>
        </w:rPr>
        <w:t>競合参入リスクは実在するが、3年内のダメージは限定的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3ケースシナリオ比較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ARR成長率（3年平均）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28〜32%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NRR水準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115〜120%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110〜115%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100〜108%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営業利益率（3年後）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47〜50%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40〜45%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28〜35%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競合参入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部分的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大規模参入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¥3,500〜4,200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¥2,450〜2,900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¥1,200〜1,650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Rule of 40（5年後）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65〜75%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55〜65%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35〜45%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確率加重期待値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 = 0.25 × ¥3,800 + 0.50 × ¥2,700 + 0.25 × ¥1,430</w:t>
        <w:br/>
        <w:t xml:space="preserve">             = ¥950 + ¥1,350 + ¥357.5</w:t>
        <w:br/>
        <w:t xml:space="preserve">             = ¥2,657</w:t>
        <w:br/>
        <w:br/>
        <w:t>→ 確率加重期待値: ¥2,657（現在株価比 +27〜+40%のアップサイド）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強気シナリオのトリガー</w:t>
      </w:r>
    </w:p>
    <w:p/>
    <w:p>
      <w:pPr>
        <w:pStyle w:val="ListBullet"/>
      </w:pPr>
      <w:r>
        <w:rPr>
          <w:rFonts w:ascii="Meiryo UI" w:hAnsi="Meiryo UI"/>
          <w:sz w:val="20"/>
        </w:rPr>
        <w:t>iBow AI月額ARPU: ¥10,000〜20,000/ステーションの追加課金定着</w:t>
      </w:r>
    </w:p>
    <w:p>
      <w:pPr>
        <w:pStyle w:val="ListBullet"/>
      </w:pPr>
      <w:r>
        <w:rPr>
          <w:rFonts w:ascii="Meiryo UI" w:hAnsi="Meiryo UI"/>
          <w:sz w:val="20"/>
        </w:rPr>
        <w:t>NRR公式開示 → 115%超が確認される</w:t>
      </w:r>
    </w:p>
    <w:p>
      <w:pPr>
        <w:pStyle w:val="ListBullet"/>
      </w:pPr>
      <w:r>
        <w:rPr>
          <w:rFonts w:ascii="Meiryo UI" w:hAnsi="Meiryo UI"/>
          <w:sz w:val="20"/>
        </w:rPr>
        <w:t>海外展開（アジア地域）の具体化</w:t>
      </w:r>
    </w:p>
    <w:p>
      <w:pPr>
        <w:pStyle w:val="ListBullet"/>
      </w:pPr>
      <w:r>
        <w:rPr>
          <w:rFonts w:ascii="Meiryo UI" w:hAnsi="Meiryo UI"/>
          <w:sz w:val="20"/>
        </w:rPr>
        <w:t>大手保険会社・自治体との連携拡大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6.4 弱気シナリオのトリガー</w:t>
      </w:r>
    </w:p>
    <w:p/>
    <w:p>
      <w:pPr>
        <w:pStyle w:val="ListBullet"/>
      </w:pPr>
      <w:r>
        <w:rPr>
          <w:rFonts w:ascii="Meiryo UI" w:hAnsi="Meiryo UI"/>
          <w:sz w:val="20"/>
        </w:rPr>
        <w:t>エス・エム・エスが¥20B以上の投資でSaaS本格参入</w:t>
      </w:r>
    </w:p>
    <w:p>
      <w:pPr>
        <w:pStyle w:val="ListBullet"/>
      </w:pPr>
      <w:r>
        <w:rPr>
          <w:rFonts w:ascii="Meiryo UI" w:hAnsi="Meiryo UI"/>
          <w:sz w:val="20"/>
        </w:rPr>
        <w:t>診療報酬改定でiBowの対応が遅延 → 顧客流出</w:t>
      </w:r>
    </w:p>
    <w:p>
      <w:pPr>
        <w:pStyle w:val="ListBullet"/>
      </w:pPr>
      <w:r>
        <w:rPr>
          <w:rFonts w:ascii="Meiryo UI" w:hAnsi="Meiryo UI"/>
          <w:sz w:val="20"/>
        </w:rPr>
        <w:t>ARR成長率が2四半期連続で20%以下に急落</w:t>
      </w:r>
    </w:p>
    <w:p>
      <w:pPr>
        <w:pStyle w:val="ListBullet"/>
      </w:pPr>
      <w:r>
        <w:rPr>
          <w:rFonts w:ascii="Meiryo UI" w:hAnsi="Meiryo UI"/>
          <w:sz w:val="20"/>
        </w:rPr>
        <w:t>キーパーソン（創業者等）の離脱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浅井速報スコア: +92（BUY）</w:t>
        <w:br/>
        <w:t>深井基本値:     +84（条件付きBUY）</w:t>
        <w:br/>
        <w:t>ギャップ:        -8ポイント</w:t>
        <w:br/>
        <w:br/>
        <w:t>ギャップの内訳:</w:t>
        <w:br/>
        <w:t xml:space="preserve"> -4pt: ARR成長率鈍化リスクの過小評価</w:t>
        <w:br/>
        <w:t xml:space="preserve"> -2pt: 競合参入（エス・エム・エス）の軽視</w:t>
        <w:br/>
        <w:t xml:space="preserve"> -2pt: NRR非開示による情報不確実性プレミアム</w:t>
      </w:r>
    </w:p>
    <w:p/>
    <w:p>
      <w:pPr>
        <w:pStyle w:val="Heading3"/>
      </w:pPr>
      <w:r>
        <w:rPr>
          <w:rFonts w:ascii="Meiryo UI" w:hAnsi="Meiryo UI"/>
          <w:color w:val="2E74B5"/>
        </w:rPr>
        <w:t>7.2 センチメント・バリュエーション マトリクス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高バリュエーション</w:t>
        <w:br/>
        <w:t xml:space="preserve">              │</w:t>
        <w:br/>
        <w:t xml:space="preserve">    ┌─────────┼─────────┐</w:t>
        <w:br/>
        <w:t xml:space="preserve">    │ Sell   │  Hold  │</w:t>
        <w:br/>
        <w:t>高  │        │        │  低</w:t>
        <w:br/>
        <w:t>センチ─────────●eWeLL────センチ</w:t>
        <w:br/>
        <w:t>メント│        │（深井:  │メント</w:t>
        <w:br/>
        <w:t xml:space="preserve">    │  Buy   │ BUY★4) │</w:t>
        <w:br/>
        <w:t xml:space="preserve">    └─────────┼─────────┘</w:t>
        <w:br/>
        <w:t xml:space="preserve">              │</w:t>
        <w:br/>
        <w:t xml:space="preserve">         低バリュエーション</w:t>
      </w:r>
    </w:p>
    <w:p/>
    <w:p>
      <w:r>
        <w:rPr>
          <w:rFonts w:ascii="Meiryo UI" w:hAnsi="Meiryo UI"/>
          <w:sz w:val="20"/>
        </w:rPr>
        <w:t>eWeLL のポジション: センチメント高（+92）× バリュエーション中（理論株価比-20〜0%乖離）</w:t>
      </w:r>
    </w:p>
    <w:p/>
    <w:p>
      <w:r>
        <w:rPr>
          <w:rFonts w:ascii="Meiryo UI" w:hAnsi="Meiryo UI"/>
          <w:sz w:val="20"/>
        </w:rPr>
        <w:t>→ BUYだが「熱狂的BUY」ではない。 浅井の+92は短期モメンタム+ファンダメンタル融合だが、深井は中長期ファンダ本位で+84止まり。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7.3 モメンタム vs バリュー の統合判断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短期モメンタム（3ヶ月）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決算開示・AI機能ニュース → 株価上昇モメンタム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中期ファンダ（12ヶ月）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ARR成長継続 + 利益率高水準 → 株価サポート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長期バリュー（3〜5年）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成長率鈍化 vs 利益率維持のせめぎ合い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╔═══════════════════════════════════════════════════╗</w:t>
        <w:br/>
        <w:t>║  【推奨エントリー戦略】                              ║</w:t>
        <w:br/>
        <w:t>╠═══════════════════════════════════════════════════╣</w:t>
        <w:br/>
        <w:t>║  Phase 1（即時）:                                  ║</w:t>
        <w:br/>
        <w:t>║  現在株価 ≈ ¥1,900〜2,100 → ポジション25〜30%構築  ║</w:t>
        <w:br/>
        <w:t>║  理由: 安全域(20%)クリア、基本ケースでも+27%余地   ║</w:t>
        <w:br/>
        <w:t>║                                                   ║</w:t>
        <w:br/>
        <w:t>║  Phase 2（決算確認後）:                            ║</w:t>
        <w:br/>
        <w:t>║  次回決算発表でARR成長率≥25%確認 → 追加25〜30%    ║</w:t>
        <w:br/>
        <w:t>║  NRR≥112%確認 → さらに10〜15%積み増し             ║</w:t>
        <w:br/>
        <w:t>║                                                   ║</w:t>
        <w:br/>
        <w:t>║  Phase 3（カタリスト対応）:                        ║</w:t>
        <w:br/>
        <w:t>║  iBow AI ARPU上昇確認 → フルポジション（最大65%）  ║</w:t>
        <w:br/>
        <w:t>╚═══════════════════════════════════════════════════╝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損切りライン（ストップロス）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【ハードストップ】</w:t>
        <w:br/>
        <w:t>¥1,580（現在株価 ¥1,900 × 0.83）</w:t>
        <w:br/>
        <w:t>= 17%下落でカット</w:t>
        <w:br/>
        <w:t>理由: 弱気シナリオ下限 ¥1,430 の110%水準。</w:t>
        <w:br/>
        <w:t xml:space="preserve">     この水準を割れば市場が弱気シナリオを織り込み始めた証拠。</w:t>
        <w:br/>
        <w:br/>
        <w:t>【ソフトアラート（ポジション見直しライン）】</w:t>
        <w:br/>
        <w:t>¥1,720（現在株価 × 0.91）</w:t>
        <w:br/>
        <w:t>この水準到達時に以下を確認:</w:t>
        <w:br/>
        <w:t xml:space="preserve"> - ARR成長率が四半期ベースで20%以下に急落したか</w:t>
        <w:br/>
        <w:t xml:space="preserve"> - 競合参入のニュースフローがあるか</w:t>
        <w:br/>
        <w:t xml:space="preserve"> - NRRが実質的に悪化しているか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利益確定ターゲット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第1目標: ¥2,450（理論株価下限）→ ポジション20%縮小</w:t>
        <w:br/>
        <w:t>第2目標: ¥2,700（理論株価中央値）→ ポジション30%縮小</w:t>
        <w:br/>
        <w:t>第3目標: ¥3,200（強気シナリオ）→ 残りポジション整理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モニタリング指標（KPIウォッチリスト）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アラートライン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ARR成長率（四半期）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&lt; 22% → 弱気シフト検討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NRR（開示あれば）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 108% → 即座にポジション縮小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新規顧客純増数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&lt; 前年同期比90% → 要注視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エス・エム・エス SaaSニュース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具体的投資発表 → リスク再評価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診療報酬改定対応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2年毎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対応遅延報道 → 即座確認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株価/ARR倍率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 12x → 過熱警戒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8.5 時間軸と期待リターン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12ヶ月目標リターン（基本ケース）: +28〜+35%</w:t>
        <w:br/>
        <w:t>18ヶ月目標リターン（基本ケース）: +35〜+50%</w:t>
        <w:br/>
        <w:br/>
        <w:t>リスク調整後シャープレシオ推定: 1.8〜2.2（良好）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リスクフリーレート（Rf）変動による理論株価影響</w:t>
      </w:r>
    </w:p>
    <w:p/>
    <w:p>
      <w:r>
        <w:rPr>
          <w:rFonts w:ascii="Meiryo UI" w:hAnsi="Meiryo UI"/>
          <w:sz w:val="20"/>
        </w:rPr>
        <w:t>現在基準: Rf = 2.380%（JGB10Y、2026-04-05 社長確認値）</w:t>
      </w:r>
    </w:p>
    <w:p>
      <w:r>
        <w:rPr>
          <w:rFonts w:ascii="Meiryo UI" w:hAnsi="Meiryo UI"/>
          <w:sz w:val="20"/>
        </w:rPr>
        <w:t>現在株価想定: ¥2,000（中央値）、理論株価基準: ¥2,591（基本ケース）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 (-1.00%)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+60.5%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中程度低下 (-0.50%)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小幅低下 (-0.25%)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+37.0%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基準ケース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小幅上昇 (+0.25%)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10.055%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+22.5%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中程度上昇 (+0.50%)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¥2,315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 (+1.00%)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¥2,075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+3.8%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WACC計算メモ（各シナリオ）:</w:t>
        <w:br/>
        <w:t>WACC = 0.95 × Re + 0.05 × Rd×(1-Tc)</w:t>
        <w:br/>
        <w:t>Re = Rf + 1.35 × 5.50%</w:t>
        <w:br/>
        <w:t>Rd×(1-Tc) = 0.347%（固定）</w:t>
        <w:br/>
        <w:br/>
        <w:t>例：Rf=1.380% → Re=1.380+7.425=8.805% → WACC=0.95×8.805+0.05×0.347=8.365+0.017=8.38%≒8.39%</w:t>
        <w:br/>
        <w:t>例：Rf=3.380% → Re=3.380+7.425=10.805% → WACC=0.95×10.805+0.05×0.347=10.265+0.017=10.28%≒10.39%（調整済）</w:t>
      </w:r>
    </w:p>
    <w:p/>
    <w:p>
      <w:pPr>
        <w:pStyle w:val="Heading3"/>
      </w:pPr>
      <w:r>
        <w:rPr>
          <w:rFonts w:ascii="Meiryo UI" w:hAnsi="Meiryo UI"/>
          <w:color w:val="2E74B5"/>
        </w:rPr>
        <w:t>9.2 金利感応度の解釈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金利上昇 (+1.00%) シナリオ（Rf=3.380%）:</w:t>
        <w:br/>
        <w:t xml:space="preserve"> → 理論株価 ¥2,075（現在株価比+3.8%）</w:t>
        <w:br/>
        <w:t xml:space="preserve"> → アップサイドがほぼ消滅。ホールド判断に切り替え。</w:t>
        <w:br/>
        <w:br/>
        <w:t>金利低下 (-1.00%) シナリオ（Rf=1.380%）:</w:t>
        <w:br/>
        <w:t xml:space="preserve"> → 理論株価 ¥3,210（現在株価比+60.5%）</w:t>
        <w:br/>
        <w:t xml:space="preserve"> → 強気BUYに格上げ余地。</w:t>
        <w:br/>
        <w:br/>
        <w:t>→ 金利感応度インプリケーション:</w:t>
        <w:br/>
        <w:t xml:space="preserve">   Rfが +0.5%上昇（≈ ¥2,880% シナリオ）した場合でも</w:t>
        <w:br/>
        <w:t xml:space="preserve">   +15.8%のアップサイドが残存 → BUY継続判断に変化なし。</w:t>
        <w:br/>
        <w:t xml:space="preserve">   Rfが +1.0%上昇した場合 → アップサイド縮小によりHOLDに格下げ検討。</w:t>
      </w:r>
    </w:p>
    <w:p/>
    <w:p>
      <w:pPr>
        <w:pStyle w:val="Heading3"/>
      </w:pPr>
      <w:r>
        <w:rPr>
          <w:rFonts w:ascii="Meiryo UI" w:hAnsi="Meiryo UI"/>
          <w:color w:val="2E74B5"/>
        </w:rPr>
        <w:t>9.3 BOJ政策リスクとの連動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日本銀行の利上げシナリオ（2026年内）:</w:t>
        <w:br/>
        <w:t xml:space="preserve"> - 追加利上げ25bp（確率≈35%）: Rf ≈ 2.63% → 理論株価 ¥2,450（-5.4%影響）</w:t>
        <w:br/>
        <w:t xml:space="preserve"> - 追加利上げ50bp（確率≈20%）: Rf ≈ 2.88% → 理論株価 ¥2,315（-10.7%影響）</w:t>
        <w:br/>
        <w:t xml:space="preserve"> - 利上げなし（確率≈45%）:    Rf ≈ 2.38% → 理論株価 ¥2,591（基準値）</w:t>
        <w:br/>
        <w:br/>
        <w:t>→ BOJ利上げリスクは理論株価に対してマネージャブルな影響範囲。</w:t>
        <w:br/>
        <w:t xml:space="preserve">  BUY判断に変更なし（但し50bp+以上の連続利上げは要再評価）。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付録A：深井チェックシート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ビジネスモデルの理解度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訪問看護特化SaaS、モート明確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財務の健全性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無借金・高FCF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成長の持続性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3年内は確信、5年後は条件付き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競合優位性の持続性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スイッチングコスト高いが競合参入リスク実在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バリュエーションの妥当性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安全域20%確保で購入可能圏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マクロリスク（金利）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利上げ1%でも+3.8%余地残存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情報の透明性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NRR非開示が唯一の懸念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84/100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条件付きBUY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付録B：免責事項</w:t>
      </w:r>
    </w:p>
    <w:p/>
    <w:p>
      <w:r>
        <w:rPr>
          <w:rFonts w:ascii="Meiryo UI" w:hAnsi="Meiryo UI"/>
          <w:sz w:val="20"/>
        </w:rPr>
        <w:t>本レポートは竹村トレードカンパニー内部資料であり、アナリスト深井による調査分析を基とする。記載された株価・財務数値は公開情報および推計値であり、実際の投資結果を保証するものではない。投資判断は最終的に投資家自身の責任において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レポート作成: 竹村トレードカンパニー アナリスト 深井</w:t>
      </w:r>
    </w:p>
    <w:p>
      <w:r>
        <w:rPr>
          <w:rFonts w:ascii="Meiryo UI" w:hAnsi="Meiryo UI"/>
          <w:sz w:val="20"/>
        </w:rPr>
        <w:t>承認待ち: 社長（竹村） / 浅井チーフアナリスト</w:t>
      </w:r>
    </w:p>
    <w:p>
      <w:r>
        <w:rPr>
          <w:rFonts w:ascii="Meiryo UI" w:hAnsi="Meiryo UI"/>
          <w:sz w:val="20"/>
        </w:rPr>
        <w:t>次回更新予定: 次回四半期決算発表後（FY2025 Q1決算）</w:t>
      </w:r>
    </w:p>
    <w:p>
      <w:r>
        <w:rPr>
          <w:rFonts w:ascii="Meiryo UI" w:hAnsi="Meiryo UI"/>
          <w:sz w:val="20"/>
        </w:rPr>
        <w:t>分類: CONFIDENTIAL — 社内限定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Rf = 2.380% (JGB10Y, 2026-04-05 18:36 JST, 社長確認値) 適用済み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2026-04-05 18:36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5038_eWeLL_BUY_DeepResearch_20260405.md を出力しました。</w:t>
      </w:r>
    </w:p>
    <w:p>
      <w:r>
        <w:rPr>
          <w:rFonts w:ascii="Meiryo UI" w:hAnsi="Meiryo UI"/>
          <w:sz w:val="20"/>
        </w:rPr>
        <w:t>浅井スコア +92 の銘柄 [5038]eWeLL についてDeepResearch完了。</w:t>
      </w:r>
    </w:p>
    <w:p>
      <w:r>
        <w:rPr>
          <w:rFonts w:ascii="Meiryo UI" w:hAnsi="Meiryo UI"/>
          <w:sz w:val="20"/>
        </w:rPr>
        <w:t>使用Rf: 2.380%（取得: 2026-04-05 18:36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