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rFonts w:ascii="Meiryo UI" w:hAnsi="Meiryo UI"/>
          <w:color w:val="2E74B5"/>
          <w:sz w:val="24"/>
        </w:rPr>
        <w:t>竹村トレードカンパニー</w:t>
      </w:r>
    </w:p>
    <w:p/>
    <w:p>
      <w:pPr>
        <w:jc w:val="center"/>
      </w:pPr>
      <w:r>
        <w:rPr>
          <w:rFonts w:ascii="Meiryo UI" w:hAnsi="Meiryo UI"/>
          <w:b/>
          <w:color w:val="1F3864"/>
          <w:sz w:val="40"/>
        </w:rPr>
        <w:t>深井 DeepResearchレポート — [5233] 太平洋セメント</w:t>
      </w:r>
    </w:p>
    <w:p/>
    <w:p/>
    <w:p>
      <w:pPr>
        <w:jc w:val="center"/>
      </w:pPr>
      <w:r>
        <w:rPr>
          <w:rFonts w:ascii="Meiryo UI" w:hAnsi="Meiryo UI"/>
          <w:sz w:val="24"/>
        </w:rPr>
        <w:t>アナリスト：深井</w:t>
      </w:r>
    </w:p>
    <w:p>
      <w:pPr>
        <w:jc w:val="center"/>
      </w:pPr>
      <w:r>
        <w:rPr>
          <w:rFonts w:ascii="Meiryo UI" w:hAnsi="Meiryo UI"/>
          <w:sz w:val="24"/>
        </w:rPr>
        <w:t>分析日：2026-04-09</w:t>
      </w:r>
    </w:p>
    <w:p>
      <w:r>
        <w:br w:type="page"/>
      </w:r>
    </w:p>
    <w:p>
      <w:pPr>
        <w:pStyle w:val="Heading1"/>
      </w:pPr>
      <w:r>
        <w:rPr>
          <w:rFonts w:ascii="Meiryo UI" w:hAnsi="Meiryo UI"/>
          <w:color w:val="1F3864"/>
        </w:rPr>
        <w:t>深井 DeepResearchレポート — [5233] 太平洋セメント</w:t>
      </w:r>
    </w:p>
    <w:p>
      <w:r>
        <w:rPr>
          <w:rFonts w:ascii="Meiryo UI" w:hAnsi="Meiryo UI"/>
          <w:sz w:val="20"/>
        </w:rPr>
        <w:t>作成日: 2026-04-09  |  アナリスト: 深井  |  分類: BUY</w:t>
      </w:r>
    </w:p>
    <w:p>
      <w:r>
        <w:rPr>
          <w:rFonts w:ascii="Meiryo UI" w:hAnsi="Meiryo UI"/>
          <w:sz w:val="20"/>
        </w:rPr>
        <w:t>浅井スコア: +55  |  ソース: TDnet + 公開情報 + 浅井マスターDB</w:t>
      </w:r>
    </w:p>
    <w:p/>
    <w:p>
      <w:r>
        <w:t>──────────────────────────────────────────────────</w:t>
      </w:r>
    </w:p>
    <w:p/>
    <w:p>
      <w:pPr>
        <w:pStyle w:val="Heading1"/>
      </w:pPr>
      <w:r>
        <w:rPr>
          <w:rFonts w:ascii="Meiryo UI" w:hAnsi="Meiryo UI"/>
          <w:color w:val="1F3864"/>
        </w:rPr>
        <w:t>太平洋セメント（5233.T）DeepResearch投資レポート</w:t>
      </w:r>
    </w:p>
    <w:p/>
    <w:p>
      <w:r>
        <w:rPr>
          <w:rFonts w:ascii="Meiryo UI" w:hAnsi="Meiryo UI"/>
          <w:sz w:val="20"/>
        </w:rPr>
        <w:t>作成者: 深井（竹村トレードカンパニー 財務諸表分析・DCFバリュエーション担当）</w:t>
      </w:r>
    </w:p>
    <w:p>
      <w:r>
        <w:rPr>
          <w:rFonts w:ascii="Meiryo UI" w:hAnsi="Meiryo UI"/>
          <w:sz w:val="20"/>
        </w:rPr>
        <w:t>分析日: 2026年4月9日 05:20 JST</w:t>
      </w:r>
    </w:p>
    <w:p>
      <w:r>
        <w:rPr>
          <w:rFonts w:ascii="Meiryo UI" w:hAnsi="Meiryo UI"/>
          <w:sz w:val="20"/>
        </w:rPr>
        <w:t>現在株価: ¥3,758（Yahoo Finance リアルタイム取得）</w:t>
      </w:r>
    </w:p>
    <w:p>
      <w:r>
        <w:rPr>
          <w:rFonts w:ascii="Meiryo UI" w:hAnsi="Meiryo UI"/>
          <w:sz w:val="20"/>
        </w:rPr>
        <w:t>浅井速報スコア: +55（BUY寄り中立）</w:t>
      </w:r>
    </w:p>
    <w:p/>
    <w:p>
      <w:r>
        <w:t>──────────────────────────────────────────────────</w:t>
      </w:r>
    </w:p>
    <w:p/>
    <w:p>
      <w:r>
        <w:rPr>
          <w:rFonts w:ascii="Meiryo UI" w:hAnsi="Meiryo UI"/>
          <w:sz w:val="20"/>
        </w:rPr>
        <w:t>&gt; ⚠️ データソース宣言:</w:t>
      </w:r>
    </w:p>
    <w:p>
      <w:r>
        <w:rPr>
          <w:rFonts w:ascii="Meiryo UI" w:hAnsi="Meiryo UI"/>
          <w:sz w:val="20"/>
        </w:rPr>
        <w:t>&gt; 本レポートで使用する全財務指標は冒頭指定のリアルタイム取得値を唯一の正解として使用する。</w:t>
      </w:r>
    </w:p>
    <w:p>
      <w:r>
        <w:rPr>
          <w:rFonts w:ascii="Meiryo UI" w:hAnsi="Meiryo UI"/>
          <w:sz w:val="20"/>
        </w:rPr>
        <w:t>&gt; BPS=¥5,719 / PBR=0.66倍 / ROE=3.7% / EPS=¥461 / PER=8.2倍 は学習データ・独自推計による上書きを一切行わない。</w:t>
      </w:r>
    </w:p>
    <w:p>
      <w:r>
        <w:rPr>
          <w:rFonts w:ascii="Meiryo UI" w:hAnsi="Meiryo UI"/>
          <w:sz w:val="20"/>
        </w:rPr>
        <w:t>&gt; Rf=2.411%（日本10年国債 R8.4.7）を唯一のリスクフリーレートとして使用する。</w:t>
      </w:r>
    </w:p>
    <w:p/>
    <w:p>
      <w:r>
        <w:t>──────────────────────────────────────────────────</w:t>
      </w:r>
    </w:p>
    <w:p/>
    <w:p>
      <w:pPr>
        <w:pStyle w:val="Heading2"/>
      </w:pPr>
      <w:r>
        <w:rPr>
          <w:rFonts w:ascii="Meiryo UI" w:hAnsi="Meiryo UI"/>
          <w:color w:val="2E74B5"/>
        </w:rPr>
        <w:t>目次</w:t>
      </w:r>
    </w:p>
    <w:p/>
    <w:p>
      <w:pPr>
        <w:pStyle w:val="ListNumber"/>
      </w:pPr>
      <w:r>
        <w:rPr>
          <w:rFonts w:ascii="Meiryo UI" w:hAnsi="Meiryo UI"/>
          <w:sz w:val="20"/>
        </w:rPr>
        <w:t>企業概要・事業分析</w:t>
      </w:r>
    </w:p>
    <w:p>
      <w:pPr>
        <w:pStyle w:val="ListNumber"/>
      </w:pPr>
      <w:r>
        <w:rPr>
          <w:rFonts w:ascii="Meiryo UI" w:hAnsi="Meiryo UI"/>
          <w:sz w:val="20"/>
        </w:rPr>
        <w:t>社長指示重点分析（①〜⑧ 全項目）</w:t>
      </w:r>
    </w:p>
    <w:p>
      <w:pPr>
        <w:pStyle w:val="ListNumber"/>
      </w:pPr>
      <w:r>
        <w:rPr>
          <w:rFonts w:ascii="Meiryo UI" w:hAnsi="Meiryo UI"/>
          <w:sz w:val="20"/>
        </w:rPr>
        <w:t>財務ハイライト</w:t>
      </w:r>
    </w:p>
    <w:p>
      <w:pPr>
        <w:pStyle w:val="ListNumber"/>
      </w:pPr>
      <w:r>
        <w:rPr>
          <w:rFonts w:ascii="Meiryo UI" w:hAnsi="Meiryo UI"/>
          <w:sz w:val="20"/>
        </w:rPr>
        <w:t>DCFバリュエーション（前提条件全明記）</w:t>
      </w:r>
    </w:p>
    <w:p>
      <w:pPr>
        <w:pStyle w:val="ListNumber"/>
      </w:pPr>
      <w:r>
        <w:rPr>
          <w:rFonts w:ascii="Meiryo UI" w:hAnsi="Meiryo UI"/>
          <w:sz w:val="20"/>
        </w:rPr>
        <w:t>理論株価と投資判断</w:t>
      </w:r>
    </w:p>
    <w:p>
      <w:pPr>
        <w:pStyle w:val="ListNumber"/>
      </w:pPr>
      <w:r>
        <w:rPr>
          <w:rFonts w:ascii="Meiryo UI" w:hAnsi="Meiryo UI"/>
          <w:sz w:val="20"/>
        </w:rPr>
        <w:t>メインシナリオ vs リスクシナリオ（3ケース）</w:t>
      </w:r>
    </w:p>
    <w:p>
      <w:pPr>
        <w:pStyle w:val="ListNumber"/>
      </w:pPr>
      <w:r>
        <w:rPr>
          <w:rFonts w:ascii="Meiryo UI" w:hAnsi="Meiryo UI"/>
          <w:sz w:val="20"/>
        </w:rPr>
        <w:t>浅井速報との統合評価</w:t>
      </w:r>
    </w:p>
    <w:p>
      <w:pPr>
        <w:pStyle w:val="ListNumber"/>
      </w:pPr>
      <w:r>
        <w:rPr>
          <w:rFonts w:ascii="Meiryo UI" w:hAnsi="Meiryo UI"/>
          <w:sz w:val="20"/>
        </w:rPr>
        <w:t>社長への推奨アクション</w:t>
      </w:r>
    </w:p>
    <w:p>
      <w:pPr>
        <w:pStyle w:val="ListNumber"/>
      </w:pPr>
      <w:r>
        <w:rPr>
          <w:rFonts w:ascii="Meiryo UI" w:hAnsi="Meiryo UI"/>
          <w:sz w:val="20"/>
        </w:rPr>
        <w:t>金利感応度分析（Sensitivity Analysis）</w:t>
      </w:r>
    </w:p>
    <w:p/>
    <w:p>
      <w:r>
        <w:t>──────────────────────────────────────────────────</w:t>
      </w:r>
    </w:p>
    <w:p/>
    <w:p>
      <w:pPr>
        <w:pStyle w:val="Heading1"/>
      </w:pPr>
      <w:r>
        <w:rPr>
          <w:rFonts w:ascii="Meiryo UI" w:hAnsi="Meiryo UI"/>
          <w:color w:val="1F3864"/>
        </w:rPr>
        <w:t>1. 企業概要・事業分析</w:t>
      </w:r>
    </w:p>
    <w:p/>
    <w:p>
      <w:pPr>
        <w:pStyle w:val="Heading2"/>
      </w:pPr>
      <w:r>
        <w:rPr>
          <w:rFonts w:ascii="Meiryo UI" w:hAnsi="Meiryo UI"/>
          <w:color w:val="2E74B5"/>
        </w:rPr>
        <w:t>1-1. 企業プロフィール</w:t>
      </w:r>
    </w:p>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2E74B5"/>
          </w:tcPr>
          <w:p>
            <w:r>
              <w:rPr>
                <w:rFonts w:ascii="Meiryo UI" w:hAnsi="Meiryo UI"/>
                <w:b/>
                <w:color w:val="FFFFFF"/>
                <w:sz w:val="18"/>
              </w:rPr>
              <w:t>項目</w:t>
            </w:r>
          </w:p>
        </w:tc>
        <w:tc>
          <w:tcPr>
            <w:tcW w:type="dxa" w:w="4703"/>
            <w:shd w:val="clear" w:color="auto" w:fill="2E74B5"/>
          </w:tcPr>
          <w:p>
            <w:r>
              <w:rPr>
                <w:rFonts w:ascii="Meiryo UI" w:hAnsi="Meiryo UI"/>
                <w:b/>
                <w:color w:val="FFFFFF"/>
                <w:sz w:val="18"/>
              </w:rPr>
              <w:t>内容</w:t>
            </w:r>
          </w:p>
        </w:tc>
      </w:tr>
      <w:tr>
        <w:tc>
          <w:tcPr>
            <w:tcW w:type="dxa" w:w="4703"/>
          </w:tcPr>
          <w:p>
            <w:r>
              <w:rPr>
                <w:rFonts w:ascii="Meiryo UI" w:hAnsi="Meiryo UI"/>
                <w:sz w:val="18"/>
              </w:rPr>
              <w:t>正式社名</w:t>
            </w:r>
          </w:p>
        </w:tc>
        <w:tc>
          <w:tcPr>
            <w:tcW w:type="dxa" w:w="4703"/>
          </w:tcPr>
          <w:p>
            <w:r>
              <w:rPr>
                <w:rFonts w:ascii="Meiryo UI" w:hAnsi="Meiryo UI"/>
                <w:sz w:val="18"/>
              </w:rPr>
              <w:t>太平洋セメント株式会社</w:t>
            </w:r>
          </w:p>
        </w:tc>
      </w:tr>
      <w:tr>
        <w:tc>
          <w:tcPr>
            <w:tcW w:type="dxa" w:w="4703"/>
            <w:shd w:val="clear" w:color="auto" w:fill="DDEBF7"/>
          </w:tcPr>
          <w:p>
            <w:r>
              <w:rPr>
                <w:rFonts w:ascii="Meiryo UI" w:hAnsi="Meiryo UI"/>
                <w:sz w:val="18"/>
              </w:rPr>
              <w:t>ティッカー</w:t>
            </w:r>
          </w:p>
        </w:tc>
        <w:tc>
          <w:tcPr>
            <w:tcW w:type="dxa" w:w="4703"/>
            <w:shd w:val="clear" w:color="auto" w:fill="DDEBF7"/>
          </w:tcPr>
          <w:p>
            <w:r>
              <w:rPr>
                <w:rFonts w:ascii="Meiryo UI" w:hAnsi="Meiryo UI"/>
                <w:sz w:val="18"/>
              </w:rPr>
              <w:t>5233.T（東証プライム）</w:t>
            </w:r>
          </w:p>
        </w:tc>
      </w:tr>
      <w:tr>
        <w:tc>
          <w:tcPr>
            <w:tcW w:type="dxa" w:w="4703"/>
          </w:tcPr>
          <w:p>
            <w:r>
              <w:rPr>
                <w:rFonts w:ascii="Meiryo UI" w:hAnsi="Meiryo UI"/>
                <w:sz w:val="18"/>
              </w:rPr>
              <w:t>本社</w:t>
            </w:r>
          </w:p>
        </w:tc>
        <w:tc>
          <w:tcPr>
            <w:tcW w:type="dxa" w:w="4703"/>
          </w:tcPr>
          <w:p>
            <w:r>
              <w:rPr>
                <w:rFonts w:ascii="Meiryo UI" w:hAnsi="Meiryo UI"/>
                <w:sz w:val="18"/>
              </w:rPr>
              <w:t>東京都文京区</w:t>
            </w:r>
          </w:p>
        </w:tc>
      </w:tr>
      <w:tr>
        <w:tc>
          <w:tcPr>
            <w:tcW w:type="dxa" w:w="4703"/>
            <w:shd w:val="clear" w:color="auto" w:fill="DDEBF7"/>
          </w:tcPr>
          <w:p>
            <w:r>
              <w:rPr>
                <w:rFonts w:ascii="Meiryo UI" w:hAnsi="Meiryo UI"/>
                <w:sz w:val="18"/>
              </w:rPr>
              <w:t>設立</w:t>
            </w:r>
          </w:p>
        </w:tc>
        <w:tc>
          <w:tcPr>
            <w:tcW w:type="dxa" w:w="4703"/>
            <w:shd w:val="clear" w:color="auto" w:fill="DDEBF7"/>
          </w:tcPr>
          <w:p>
            <w:r>
              <w:rPr>
                <w:rFonts w:ascii="Meiryo UI" w:hAnsi="Meiryo UI"/>
                <w:sz w:val="18"/>
              </w:rPr>
              <w:t>1998年（旧・秩父小野田セメント + 日本セメント合併）</w:t>
            </w:r>
          </w:p>
        </w:tc>
      </w:tr>
      <w:tr>
        <w:tc>
          <w:tcPr>
            <w:tcW w:type="dxa" w:w="4703"/>
          </w:tcPr>
          <w:p>
            <w:r>
              <w:rPr>
                <w:rFonts w:ascii="Meiryo UI" w:hAnsi="Meiryo UI"/>
                <w:sz w:val="18"/>
              </w:rPr>
              <w:t>事業内容</w:t>
            </w:r>
          </w:p>
        </w:tc>
        <w:tc>
          <w:tcPr>
            <w:tcW w:type="dxa" w:w="4703"/>
          </w:tcPr>
          <w:p>
            <w:r>
              <w:rPr>
                <w:rFonts w:ascii="Meiryo UI" w:hAnsi="Meiryo UI"/>
                <w:sz w:val="18"/>
              </w:rPr>
              <w:t>セメント製造・販売、骨材・コンクリート、廃棄物処理、海外セメント事業</w:t>
            </w:r>
          </w:p>
        </w:tc>
      </w:tr>
      <w:tr>
        <w:tc>
          <w:tcPr>
            <w:tcW w:type="dxa" w:w="4703"/>
            <w:shd w:val="clear" w:color="auto" w:fill="DDEBF7"/>
          </w:tcPr>
          <w:p>
            <w:r>
              <w:rPr>
                <w:rFonts w:ascii="Meiryo UI" w:hAnsi="Meiryo UI"/>
                <w:sz w:val="18"/>
              </w:rPr>
              <w:t>連結従業員数</w:t>
            </w:r>
          </w:p>
        </w:tc>
        <w:tc>
          <w:tcPr>
            <w:tcW w:type="dxa" w:w="4703"/>
            <w:shd w:val="clear" w:color="auto" w:fill="DDEBF7"/>
          </w:tcPr>
          <w:p>
            <w:r>
              <w:rPr>
                <w:rFonts w:ascii="Meiryo UI" w:hAnsi="Meiryo UI"/>
                <w:sz w:val="18"/>
              </w:rPr>
              <w:t>約8,500名（グループ計）</w:t>
            </w:r>
          </w:p>
        </w:tc>
      </w:tr>
      <w:tr>
        <w:tc>
          <w:tcPr>
            <w:tcW w:type="dxa" w:w="4703"/>
          </w:tcPr>
          <w:p>
            <w:r>
              <w:rPr>
                <w:rFonts w:ascii="Meiryo UI" w:hAnsi="Meiryo UI"/>
                <w:sz w:val="18"/>
              </w:rPr>
              <w:t>決算期</w:t>
            </w:r>
          </w:p>
        </w:tc>
        <w:tc>
          <w:tcPr>
            <w:tcW w:type="dxa" w:w="4703"/>
          </w:tcPr>
          <w:p>
            <w:r>
              <w:rPr>
                <w:rFonts w:ascii="Meiryo UI" w:hAnsi="Meiryo UI"/>
                <w:sz w:val="18"/>
              </w:rPr>
              <w:t>3月期</w:t>
            </w:r>
          </w:p>
        </w:tc>
      </w:tr>
    </w:tbl>
    <w:p/>
    <w:p>
      <w:pPr>
        <w:pStyle w:val="Heading2"/>
      </w:pPr>
      <w:r>
        <w:rPr>
          <w:rFonts w:ascii="Meiryo UI" w:hAnsi="Meiryo UI"/>
          <w:color w:val="2E74B5"/>
        </w:rPr>
        <w:t>1-2. セグメント構成（推定）</w:t>
      </w:r>
    </w:p>
    <w:p/>
    <w:p>
      <w:pPr>
        <w:shd w:val="clear" w:color="auto" w:fill="F2F2F2"/>
      </w:pPr>
      <w:r>
        <w:rPr>
          <w:rFonts w:ascii="Courier New" w:hAnsi="Courier New"/>
          <w:sz w:val="16"/>
        </w:rPr>
        <w:t>【売上構成比推定】</w:t>
        <w:br/>
        <w:t>─────────────────────────────────</w:t>
        <w:br/>
        <w:t>国内セメント・生コン        約55%</w:t>
        <w:br/>
        <w:t>骨材・コンクリート製品      約15%</w:t>
        <w:br/>
        <w:t>廃棄物処理（環境事業）      約12%</w:t>
        <w:br/>
        <w:t>海外事業（Giant Cement等）   約15%</w:t>
        <w:br/>
        <w:t>その他                       約3%</w:t>
        <w:br/>
        <w:t>─────────────────────────────────</w:t>
      </w:r>
    </w:p>
    <w:p/>
    <w:p>
      <w:pPr>
        <w:pStyle w:val="Heading3"/>
      </w:pPr>
      <w:r>
        <w:rPr>
          <w:rFonts w:ascii="Meiryo UI" w:hAnsi="Meiryo UI"/>
          <w:color w:val="2E74B5"/>
        </w:rPr>
        <w:t>セグメント詳細</w:t>
      </w:r>
    </w:p>
    <w:p/>
    <w:p>
      <w:r>
        <w:rPr>
          <w:rFonts w:ascii="Meiryo UI" w:hAnsi="Meiryo UI"/>
          <w:sz w:val="20"/>
        </w:rPr>
        <w:t>① 国内セメント事業（コア事業）</w:t>
      </w:r>
    </w:p>
    <w:p>
      <w:pPr>
        <w:pStyle w:val="ListBullet"/>
      </w:pPr>
      <w:r>
        <w:rPr>
          <w:rFonts w:ascii="Meiryo UI" w:hAnsi="Meiryo UI"/>
          <w:sz w:val="20"/>
        </w:rPr>
        <w:t>国内シェア：約26〜28%（首位・宇部三菱と並ぶ最大手）</w:t>
      </w:r>
    </w:p>
    <w:p>
      <w:pPr>
        <w:pStyle w:val="ListBullet"/>
      </w:pPr>
      <w:r>
        <w:rPr>
          <w:rFonts w:ascii="Meiryo UI" w:hAnsi="Meiryo UI"/>
          <w:sz w:val="20"/>
        </w:rPr>
        <w:t>主要製品：普通ポルトランドセメント、高炉スラグセメント、特殊セメント</w:t>
      </w:r>
    </w:p>
    <w:p>
      <w:pPr>
        <w:pStyle w:val="ListBullet"/>
      </w:pPr>
      <w:r>
        <w:rPr>
          <w:rFonts w:ascii="Meiryo UI" w:hAnsi="Meiryo UI"/>
          <w:sz w:val="20"/>
        </w:rPr>
        <w:t>販売先：建設会社、生コンクリート会社、土木ゼネコン</w:t>
      </w:r>
    </w:p>
    <w:p>
      <w:pPr>
        <w:pStyle w:val="ListBullet"/>
      </w:pPr>
      <w:r>
        <w:rPr>
          <w:rFonts w:ascii="Meiryo UI" w:hAnsi="Meiryo UI"/>
          <w:sz w:val="20"/>
        </w:rPr>
        <w:t>需要サイクル：公共インフラ投資 + 民間建設投資の合算に依存</w:t>
      </w:r>
    </w:p>
    <w:p/>
    <w:p>
      <w:r>
        <w:rPr>
          <w:rFonts w:ascii="Meiryo UI" w:hAnsi="Meiryo UI"/>
          <w:sz w:val="20"/>
        </w:rPr>
        <w:t>② 海外事業（Giant Cement Holdings, Inc.）</w:t>
      </w:r>
    </w:p>
    <w:p>
      <w:pPr>
        <w:pStyle w:val="ListBullet"/>
      </w:pPr>
      <w:r>
        <w:rPr>
          <w:rFonts w:ascii="Meiryo UI" w:hAnsi="Meiryo UI"/>
          <w:sz w:val="20"/>
        </w:rPr>
        <w:t>米国東海岸に複数製造拠点を保有（サウスカロライナ州・ペンシルベニア州等）</w:t>
      </w:r>
    </w:p>
    <w:p>
      <w:pPr>
        <w:pStyle w:val="ListBullet"/>
      </w:pPr>
      <w:r>
        <w:rPr>
          <w:rFonts w:ascii="Meiryo UI" w:hAnsi="Meiryo UI"/>
          <w:sz w:val="20"/>
        </w:rPr>
        <w:t>米国セメント市場：人口増加 + インフラ投資で構造的成長市場</w:t>
      </w:r>
    </w:p>
    <w:p>
      <w:pPr>
        <w:pStyle w:val="ListBullet"/>
      </w:pPr>
      <w:r>
        <w:rPr>
          <w:rFonts w:ascii="Meiryo UI" w:hAnsi="Meiryo UI"/>
          <w:sz w:val="20"/>
        </w:rPr>
        <w:t>米国内クリンカー生産能力：年間約280万t相当</w:t>
      </w:r>
    </w:p>
    <w:p/>
    <w:p>
      <w:r>
        <w:rPr>
          <w:rFonts w:ascii="Meiryo UI" w:hAnsi="Meiryo UI"/>
          <w:sz w:val="20"/>
        </w:rPr>
        <w:t>③ 廃棄物処理・環境事業</w:t>
      </w:r>
    </w:p>
    <w:p>
      <w:pPr>
        <w:pStyle w:val="ListBullet"/>
      </w:pPr>
      <w:r>
        <w:rPr>
          <w:rFonts w:ascii="Meiryo UI" w:hAnsi="Meiryo UI"/>
          <w:sz w:val="20"/>
        </w:rPr>
        <w:t>セメントキルン（約1,400〜1,500℃）を活用した廃棄物の燃料・原料化</w:t>
      </w:r>
    </w:p>
    <w:p>
      <w:pPr>
        <w:pStyle w:val="ListBullet"/>
      </w:pPr>
      <w:r>
        <w:rPr>
          <w:rFonts w:ascii="Meiryo UI" w:hAnsi="Meiryo UI"/>
          <w:sz w:val="20"/>
        </w:rPr>
        <w:t>受入廃棄物：産業廃棄物、廃プラ、廃油、汚泥、建設副産物</w:t>
      </w:r>
    </w:p>
    <w:p>
      <w:pPr>
        <w:pStyle w:val="ListBullet"/>
      </w:pPr>
      <w:r>
        <w:rPr>
          <w:rFonts w:ascii="Meiryo UI" w:hAnsi="Meiryo UI"/>
          <w:sz w:val="20"/>
        </w:rPr>
        <w:t>年間受入量：約400〜500万t（推定）</w:t>
      </w:r>
    </w:p>
    <w:p>
      <w:pPr>
        <w:pStyle w:val="ListBullet"/>
      </w:pPr>
      <w:r>
        <w:rPr>
          <w:rFonts w:ascii="Meiryo UI" w:hAnsi="Meiryo UI"/>
          <w:sz w:val="20"/>
        </w:rPr>
        <w:t>戦略的優位：廃棄物処理費収入がエネルギーコストを一部相殺</w:t>
      </w:r>
    </w:p>
    <w:p/>
    <w:p>
      <w:pPr>
        <w:pStyle w:val="Heading2"/>
      </w:pPr>
      <w:r>
        <w:rPr>
          <w:rFonts w:ascii="Meiryo UI" w:hAnsi="Meiryo UI"/>
          <w:color w:val="2E74B5"/>
        </w:rPr>
        <w:t>1-3. 競合優位性</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優位性</w:t>
            </w:r>
          </w:p>
        </w:tc>
        <w:tc>
          <w:tcPr>
            <w:tcW w:type="dxa" w:w="3135"/>
            <w:shd w:val="clear" w:color="auto" w:fill="2E74B5"/>
          </w:tcPr>
          <w:p>
            <w:r>
              <w:rPr>
                <w:rFonts w:ascii="Meiryo UI" w:hAnsi="Meiryo UI"/>
                <w:b/>
                <w:color w:val="FFFFFF"/>
                <w:sz w:val="18"/>
              </w:rPr>
              <w:t>内容</w:t>
            </w:r>
          </w:p>
        </w:tc>
        <w:tc>
          <w:tcPr>
            <w:tcW w:type="dxa" w:w="3135"/>
            <w:shd w:val="clear" w:color="auto" w:fill="2E74B5"/>
          </w:tcPr>
          <w:p>
            <w:r>
              <w:rPr>
                <w:rFonts w:ascii="Meiryo UI" w:hAnsi="Meiryo UI"/>
                <w:b/>
                <w:color w:val="FFFFFF"/>
                <w:sz w:val="18"/>
              </w:rPr>
              <w:t>評価</w:t>
            </w:r>
          </w:p>
        </w:tc>
      </w:tr>
      <w:tr>
        <w:tc>
          <w:tcPr>
            <w:tcW w:type="dxa" w:w="3135"/>
          </w:tcPr>
          <w:p>
            <w:r>
              <w:rPr>
                <w:rFonts w:ascii="Meiryo UI" w:hAnsi="Meiryo UI"/>
                <w:sz w:val="18"/>
              </w:rPr>
              <w:t>石灰石鉱山の自社保有</w:t>
            </w:r>
          </w:p>
        </w:tc>
        <w:tc>
          <w:tcPr>
            <w:tcW w:type="dxa" w:w="3135"/>
          </w:tcPr>
          <w:p>
            <w:r>
              <w:rPr>
                <w:rFonts w:ascii="Meiryo UI" w:hAnsi="Meiryo UI"/>
                <w:sz w:val="18"/>
              </w:rPr>
              <w:t>岩手（大船渡）・栃木（藤原）・九州（豊浦）等</w:t>
            </w:r>
          </w:p>
        </w:tc>
        <w:tc>
          <w:tcPr>
            <w:tcW w:type="dxa" w:w="3135"/>
          </w:tcPr>
          <w:p>
            <w:r>
              <w:rPr>
                <w:rFonts w:ascii="Meiryo UI" w:hAnsi="Meiryo UI"/>
                <w:sz w:val="18"/>
              </w:rPr>
              <w:t>★★★★★</w:t>
            </w:r>
          </w:p>
        </w:tc>
      </w:tr>
      <w:tr>
        <w:tc>
          <w:tcPr>
            <w:tcW w:type="dxa" w:w="3135"/>
            <w:shd w:val="clear" w:color="auto" w:fill="DDEBF7"/>
          </w:tcPr>
          <w:p>
            <w:r>
              <w:rPr>
                <w:rFonts w:ascii="Meiryo UI" w:hAnsi="Meiryo UI"/>
                <w:sz w:val="18"/>
              </w:rPr>
              <w:t>廃棄物処理による燃料費ヘッジ</w:t>
            </w:r>
          </w:p>
        </w:tc>
        <w:tc>
          <w:tcPr>
            <w:tcW w:type="dxa" w:w="3135"/>
            <w:shd w:val="clear" w:color="auto" w:fill="DDEBF7"/>
          </w:tcPr>
          <w:p>
            <w:r>
              <w:rPr>
                <w:rFonts w:ascii="Meiryo UI" w:hAnsi="Meiryo UI"/>
                <w:sz w:val="18"/>
              </w:rPr>
              <w:t>化石燃料依存低減</w:t>
            </w:r>
          </w:p>
        </w:tc>
        <w:tc>
          <w:tcPr>
            <w:tcW w:type="dxa" w:w="3135"/>
            <w:shd w:val="clear" w:color="auto" w:fill="DDEBF7"/>
          </w:tcPr>
          <w:p>
            <w:r>
              <w:rPr>
                <w:rFonts w:ascii="Meiryo UI" w:hAnsi="Meiryo UI"/>
                <w:sz w:val="18"/>
              </w:rPr>
              <w:t>★★★★☆</w:t>
            </w:r>
          </w:p>
        </w:tc>
      </w:tr>
      <w:tr>
        <w:tc>
          <w:tcPr>
            <w:tcW w:type="dxa" w:w="3135"/>
          </w:tcPr>
          <w:p>
            <w:r>
              <w:rPr>
                <w:rFonts w:ascii="Meiryo UI" w:hAnsi="Meiryo UI"/>
                <w:sz w:val="18"/>
              </w:rPr>
              <w:t>国内生産シェア1位</w:t>
            </w:r>
          </w:p>
        </w:tc>
        <w:tc>
          <w:tcPr>
            <w:tcW w:type="dxa" w:w="3135"/>
          </w:tcPr>
          <w:p>
            <w:r>
              <w:rPr>
                <w:rFonts w:ascii="Meiryo UI" w:hAnsi="Meiryo UI"/>
                <w:sz w:val="18"/>
              </w:rPr>
              <w:t>価格交渉力・規模の経済</w:t>
            </w:r>
          </w:p>
        </w:tc>
        <w:tc>
          <w:tcPr>
            <w:tcW w:type="dxa" w:w="3135"/>
          </w:tcPr>
          <w:p>
            <w:r>
              <w:rPr>
                <w:rFonts w:ascii="Meiryo UI" w:hAnsi="Meiryo UI"/>
                <w:sz w:val="18"/>
              </w:rPr>
              <w:t>★★★★☆</w:t>
            </w:r>
          </w:p>
        </w:tc>
      </w:tr>
      <w:tr>
        <w:tc>
          <w:tcPr>
            <w:tcW w:type="dxa" w:w="3135"/>
            <w:shd w:val="clear" w:color="auto" w:fill="DDEBF7"/>
          </w:tcPr>
          <w:p>
            <w:r>
              <w:rPr>
                <w:rFonts w:ascii="Meiryo UI" w:hAnsi="Meiryo UI"/>
                <w:sz w:val="18"/>
              </w:rPr>
              <w:t>米国事業の地理的分散</w:t>
            </w:r>
          </w:p>
        </w:tc>
        <w:tc>
          <w:tcPr>
            <w:tcW w:type="dxa" w:w="3135"/>
            <w:shd w:val="clear" w:color="auto" w:fill="DDEBF7"/>
          </w:tcPr>
          <w:p>
            <w:r>
              <w:rPr>
                <w:rFonts w:ascii="Meiryo UI" w:hAnsi="Meiryo UI"/>
                <w:sz w:val="18"/>
              </w:rPr>
              <w:t>日本需要低迷時の収益補完</w:t>
            </w:r>
          </w:p>
        </w:tc>
        <w:tc>
          <w:tcPr>
            <w:tcW w:type="dxa" w:w="3135"/>
            <w:shd w:val="clear" w:color="auto" w:fill="DDEBF7"/>
          </w:tcPr>
          <w:p>
            <w:r>
              <w:rPr>
                <w:rFonts w:ascii="Meiryo UI" w:hAnsi="Meiryo UI"/>
                <w:sz w:val="18"/>
              </w:rPr>
              <w:t>★★★☆☆</w:t>
            </w:r>
          </w:p>
        </w:tc>
      </w:tr>
      <w:tr>
        <w:tc>
          <w:tcPr>
            <w:tcW w:type="dxa" w:w="3135"/>
          </w:tcPr>
          <w:p>
            <w:r>
              <w:rPr>
                <w:rFonts w:ascii="Meiryo UI" w:hAnsi="Meiryo UI"/>
                <w:sz w:val="18"/>
              </w:rPr>
              <w:t>環境規制対応技術</w:t>
            </w:r>
          </w:p>
        </w:tc>
        <w:tc>
          <w:tcPr>
            <w:tcW w:type="dxa" w:w="3135"/>
          </w:tcPr>
          <w:p>
            <w:r>
              <w:rPr>
                <w:rFonts w:ascii="Meiryo UI" w:hAnsi="Meiryo UI"/>
                <w:sz w:val="18"/>
              </w:rPr>
              <w:t>CO2削減・廃棄物活用</w:t>
            </w:r>
          </w:p>
        </w:tc>
        <w:tc>
          <w:tcPr>
            <w:tcW w:type="dxa" w:w="3135"/>
          </w:tcPr>
          <w:p>
            <w:r>
              <w:rPr>
                <w:rFonts w:ascii="Meiryo UI" w:hAnsi="Meiryo UI"/>
                <w:sz w:val="18"/>
              </w:rPr>
              <w:t>★★★☆☆</w:t>
            </w:r>
          </w:p>
        </w:tc>
      </w:tr>
    </w:tbl>
    <w:p/>
    <w:p>
      <w:pPr>
        <w:pStyle w:val="Heading2"/>
      </w:pPr>
      <w:r>
        <w:rPr>
          <w:rFonts w:ascii="Meiryo UI" w:hAnsi="Meiryo UI"/>
          <w:color w:val="2E74B5"/>
        </w:rPr>
        <w:t>1-4. 直近カタリスト（2026年4月時点）</w:t>
      </w:r>
    </w:p>
    <w:p/>
    <w:p>
      <w:r>
        <w:rPr>
          <w:rFonts w:ascii="Meiryo UI" w:hAnsi="Meiryo UI"/>
          <w:sz w:val="20"/>
        </w:rPr>
        <w:t>ポジティブカタリスト:</w:t>
      </w:r>
    </w:p>
    <w:p>
      <w:pPr>
        <w:pStyle w:val="ListBullet"/>
      </w:pPr>
      <w:r>
        <w:rPr>
          <w:rFonts w:ascii="Meiryo UI" w:hAnsi="Meiryo UI"/>
          <w:sz w:val="20"/>
        </w:rPr>
        <w:t>東京地区生コン出荷量 2026年3月 前年同月比 +0.8%（底打ちシグナル）</w:t>
      </w:r>
    </w:p>
    <w:p>
      <w:pPr>
        <w:pStyle w:val="ListBullet"/>
      </w:pPr>
      <w:r>
        <w:rPr>
          <w:rFonts w:ascii="Meiryo UI" w:hAnsi="Meiryo UI"/>
          <w:sz w:val="20"/>
        </w:rPr>
        <w:t>能登復興関連需要の本格化（2026〜2027年）</w:t>
      </w:r>
    </w:p>
    <w:p>
      <w:pPr>
        <w:pStyle w:val="ListBullet"/>
      </w:pPr>
      <w:r>
        <w:rPr>
          <w:rFonts w:ascii="Meiryo UI" w:hAnsi="Meiryo UI"/>
          <w:sz w:val="20"/>
        </w:rPr>
        <w:t>首都圏大型再開発（虎ノ門・麻布台・品川）の工事消化フェーズ</w:t>
      </w:r>
    </w:p>
    <w:p>
      <w:pPr>
        <w:pStyle w:val="ListBullet"/>
      </w:pPr>
      <w:r>
        <w:rPr>
          <w:rFonts w:ascii="Meiryo UI" w:hAnsi="Meiryo UI"/>
          <w:sz w:val="20"/>
        </w:rPr>
        <w:t>米国IIJA（インフラ投資法）関連需要の継続</w:t>
      </w:r>
    </w:p>
    <w:p>
      <w:pPr>
        <w:pStyle w:val="ListBullet"/>
      </w:pPr>
      <w:r>
        <w:rPr>
          <w:rFonts w:ascii="Meiryo UI" w:hAnsi="Meiryo UI"/>
          <w:sz w:val="20"/>
        </w:rPr>
        <w:t>廃棄物処理収入の安定的増加</w:t>
      </w:r>
    </w:p>
    <w:p/>
    <w:p>
      <w:r>
        <w:rPr>
          <w:rFonts w:ascii="Meiryo UI" w:hAnsi="Meiryo UI"/>
          <w:sz w:val="20"/>
        </w:rPr>
        <w:t>ネガティブカタリスト:</w:t>
      </w:r>
    </w:p>
    <w:p>
      <w:pPr>
        <w:pStyle w:val="ListBullet"/>
      </w:pPr>
      <w:r>
        <w:rPr>
          <w:rFonts w:ascii="Meiryo UI" w:hAnsi="Meiryo UI"/>
          <w:sz w:val="20"/>
        </w:rPr>
        <w:t>FY2025通期生コン出荷量 -14.2%（深い谷）</w:t>
      </w:r>
    </w:p>
    <w:p>
      <w:pPr>
        <w:pStyle w:val="ListBullet"/>
      </w:pPr>
      <w:r>
        <w:rPr>
          <w:rFonts w:ascii="Meiryo UI" w:hAnsi="Meiryo UI"/>
          <w:sz w:val="20"/>
        </w:rPr>
        <w:t>LPG・プロパン 4月積み +38%急騰</w:t>
      </w:r>
    </w:p>
    <w:p>
      <w:pPr>
        <w:pStyle w:val="ListBullet"/>
      </w:pPr>
      <w:r>
        <w:rPr>
          <w:rFonts w:ascii="Meiryo UI" w:hAnsi="Meiryo UI"/>
          <w:sz w:val="20"/>
        </w:rPr>
        <w:t>自社株買い約1年不実施（社長確認済み）</w:t>
      </w:r>
    </w:p>
    <w:p>
      <w:pPr>
        <w:pStyle w:val="ListBullet"/>
      </w:pPr>
      <w:r>
        <w:rPr>
          <w:rFonts w:ascii="Meiryo UI" w:hAnsi="Meiryo UI"/>
          <w:sz w:val="20"/>
        </w:rPr>
        <w:t>ROE 3.7%→東証要求8%への距離感</w:t>
      </w:r>
    </w:p>
    <w:p>
      <w:pPr>
        <w:pStyle w:val="ListBullet"/>
      </w:pPr>
      <w:r>
        <w:rPr>
          <w:rFonts w:ascii="Meiryo UI" w:hAnsi="Meiryo UI"/>
          <w:sz w:val="20"/>
        </w:rPr>
        <w:t>米中貿易摩擦激化による米国建設投資への間接影響</w:t>
      </w:r>
    </w:p>
    <w:p/>
    <w:p>
      <w:r>
        <w:t>──────────────────────────────────────────────────</w:t>
      </w:r>
    </w:p>
    <w:p/>
    <w:p>
      <w:pPr>
        <w:pStyle w:val="Heading1"/>
      </w:pPr>
      <w:r>
        <w:rPr>
          <w:rFonts w:ascii="Meiryo UI" w:hAnsi="Meiryo UI"/>
          <w:color w:val="1F3864"/>
        </w:rPr>
        <w:t>2. 社長指示重点分析</w:t>
      </w:r>
    </w:p>
    <w:p/>
    <w:p>
      <w:pPr>
        <w:pStyle w:val="Heading2"/>
      </w:pPr>
      <w:r>
        <w:rPr>
          <w:rFonts w:ascii="Meiryo UI" w:hAnsi="Meiryo UI"/>
          <w:color w:val="2E74B5"/>
        </w:rPr>
        <w:t>① PBR0.66倍の構造的原因分析（最重要）</w:t>
      </w:r>
    </w:p>
    <w:p/>
    <w:p>
      <w:pPr>
        <w:pStyle w:val="Heading3"/>
      </w:pPr>
      <w:r>
        <w:rPr>
          <w:rFonts w:ascii="Meiryo UI" w:hAnsi="Meiryo UI"/>
          <w:color w:val="2E74B5"/>
        </w:rPr>
        <w:t>1-1. PBR割れの多因子分解</w:t>
      </w:r>
    </w:p>
    <w:p/>
    <w:p>
      <w:r>
        <w:rPr>
          <w:rFonts w:ascii="Meiryo UI" w:hAnsi="Meiryo UI"/>
          <w:sz w:val="20"/>
        </w:rPr>
        <w:t>現在のPBR = 0.66倍（BPS ¥5,719、株価 ¥3,758）</w:t>
      </w:r>
    </w:p>
    <w:p/>
    <w:p>
      <w:r>
        <w:rPr>
          <w:rFonts w:ascii="Meiryo UI" w:hAnsi="Meiryo UI"/>
          <w:sz w:val="20"/>
        </w:rPr>
        <w:t>PBRはROEと株主資本コスト（Re）の比率で理論的に決まる：</w:t>
      </w:r>
    </w:p>
    <w:p/>
    <w:p>
      <w:pPr>
        <w:shd w:val="clear" w:color="auto" w:fill="F2F2F2"/>
      </w:pPr>
      <w:r>
        <w:rPr>
          <w:rFonts w:ascii="Courier New" w:hAnsi="Courier New"/>
          <w:sz w:val="16"/>
        </w:rPr>
        <w:t>PBR = ROE / Re × (持続的成長を前提にした調整係数)</w:t>
        <w:br/>
        <w:br/>
        <w:t>簡易式: PBR ≈ (ROE - g) / (Re - g)</w:t>
        <w:br/>
        <w:br/>
        <w:t>現状:</w:t>
        <w:br/>
        <w:t xml:space="preserve">  ROE = 3.7%</w:t>
        <w:br/>
        <w:t xml:space="preserve">  Re  ≈ 8.0〜9.5%（後述WACC算出参照）</w:t>
        <w:br/>
        <w:t xml:space="preserve">  g   ≈ 1.5%（長期成長率 名目GDP成長率ベース）</w:t>
        <w:br/>
        <w:br/>
        <w:t xml:space="preserve">  理論PBR = (3.7% - 1.5%) / (9.0% - 1.5%)</w:t>
        <w:br/>
        <w:t xml:space="preserve">           = 2.2% / 7.5%</w:t>
        <w:br/>
        <w:t xml:space="preserve">           = 0.293倍</w:t>
        <w:br/>
        <w:br/>
        <w:t>→ 理論PBRは0.29倍程度になるはずだが、実際は0.66倍</w:t>
      </w:r>
    </w:p>
    <w:p/>
    <w:p>
      <w:r>
        <w:rPr>
          <w:rFonts w:ascii="Meiryo UI" w:hAnsi="Meiryo UI"/>
          <w:sz w:val="20"/>
        </w:rPr>
        <w:t>&gt; 深井解釈: 市場は0.29倍の「ROEだけで見た理論値」より高い0.66倍をつけている。</w:t>
      </w:r>
    </w:p>
    <w:p>
      <w:r>
        <w:rPr>
          <w:rFonts w:ascii="Meiryo UI" w:hAnsi="Meiryo UI"/>
          <w:sz w:val="20"/>
        </w:rPr>
        <w:t>&gt; これは①石灰石鉱山・不動産含み益（NAV上乗せ）、②将来ROE改善への期待、③廃棄物処理事業の隠れた収益性、を市場が一定程度織込んでいることを意味する。</w:t>
      </w:r>
    </w:p>
    <w:p>
      <w:r>
        <w:rPr>
          <w:rFonts w:ascii="Meiryo UI" w:hAnsi="Meiryo UI"/>
          <w:sz w:val="20"/>
        </w:rPr>
        <w:t>&gt; つまりPBR0.66倍は「純粋な低ROEの市場評価（0.29倍）+ 資産含み益プレミアム（+0.37倍分）」の合成値だ。</w:t>
      </w:r>
    </w:p>
    <w:p/>
    <w:p>
      <w:pPr>
        <w:pStyle w:val="Heading3"/>
      </w:pPr>
      <w:r>
        <w:rPr>
          <w:rFonts w:ascii="Meiryo UI" w:hAnsi="Meiryo UI"/>
          <w:color w:val="2E74B5"/>
        </w:rPr>
        <w:t>PBR0.66倍を引き起こしている要因の重み付け分析</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要因</w:t>
            </w:r>
          </w:p>
        </w:tc>
        <w:tc>
          <w:tcPr>
            <w:tcW w:type="dxa" w:w="2351"/>
            <w:shd w:val="clear" w:color="auto" w:fill="2E74B5"/>
          </w:tcPr>
          <w:p>
            <w:r>
              <w:rPr>
                <w:rFonts w:ascii="Meiryo UI" w:hAnsi="Meiryo UI"/>
                <w:b/>
                <w:color w:val="FFFFFF"/>
                <w:sz w:val="18"/>
              </w:rPr>
              <w:t>内容</w:t>
            </w:r>
          </w:p>
        </w:tc>
        <w:tc>
          <w:tcPr>
            <w:tcW w:type="dxa" w:w="2351"/>
            <w:shd w:val="clear" w:color="auto" w:fill="2E74B5"/>
          </w:tcPr>
          <w:p>
            <w:r>
              <w:rPr>
                <w:rFonts w:ascii="Meiryo UI" w:hAnsi="Meiryo UI"/>
                <w:b/>
                <w:color w:val="FFFFFF"/>
                <w:sz w:val="18"/>
              </w:rPr>
              <w:t>PBR引き下げ寄与度</w:t>
            </w:r>
          </w:p>
        </w:tc>
        <w:tc>
          <w:tcPr>
            <w:tcW w:type="dxa" w:w="2351"/>
            <w:shd w:val="clear" w:color="auto" w:fill="2E74B5"/>
          </w:tcPr>
          <w:p>
            <w:r>
              <w:rPr>
                <w:rFonts w:ascii="Meiryo UI" w:hAnsi="Meiryo UI"/>
                <w:b/>
                <w:color w:val="FFFFFF"/>
                <w:sz w:val="18"/>
              </w:rPr>
              <w:t>評価</w:t>
            </w:r>
          </w:p>
        </w:tc>
      </w:tr>
      <w:tr>
        <w:tc>
          <w:tcPr>
            <w:tcW w:type="dxa" w:w="2351"/>
          </w:tcPr>
          <w:p>
            <w:r>
              <w:rPr>
                <w:rFonts w:ascii="Meiryo UI" w:hAnsi="Meiryo UI"/>
                <w:sz w:val="18"/>
              </w:rPr>
              <w:t>①ROE低位（3.7%）</w:t>
            </w:r>
          </w:p>
        </w:tc>
        <w:tc>
          <w:tcPr>
            <w:tcW w:type="dxa" w:w="2351"/>
          </w:tcPr>
          <w:p>
            <w:r>
              <w:rPr>
                <w:rFonts w:ascii="Meiryo UI" w:hAnsi="Meiryo UI"/>
                <w:sz w:val="18"/>
              </w:rPr>
              <w:t>資本コスト割れ（Re≈9%）が最大要因</w:t>
            </w:r>
          </w:p>
        </w:tc>
        <w:tc>
          <w:tcPr>
            <w:tcW w:type="dxa" w:w="2351"/>
          </w:tcPr>
          <w:p>
            <w:r>
              <w:rPr>
                <w:rFonts w:ascii="Meiryo UI" w:hAnsi="Meiryo UI"/>
                <w:sz w:val="18"/>
              </w:rPr>
              <w:t>★★★★★ 最大</w:t>
            </w:r>
          </w:p>
        </w:tc>
        <w:tc>
          <w:tcPr>
            <w:tcW w:type="dxa" w:w="2351"/>
          </w:tcPr>
          <w:p>
            <w:r>
              <w:rPr>
                <w:rFonts w:ascii="Meiryo UI" w:hAnsi="Meiryo UI"/>
                <w:sz w:val="18"/>
              </w:rPr>
              <w:t>構造的問題</w:t>
            </w:r>
          </w:p>
        </w:tc>
      </w:tr>
      <w:tr>
        <w:tc>
          <w:tcPr>
            <w:tcW w:type="dxa" w:w="2351"/>
            <w:shd w:val="clear" w:color="auto" w:fill="DDEBF7"/>
          </w:tcPr>
          <w:p>
            <w:r>
              <w:rPr>
                <w:rFonts w:ascii="Meiryo UI" w:hAnsi="Meiryo UI"/>
                <w:sz w:val="18"/>
              </w:rPr>
              <w:t>②資産重さ（Asset Heavy）</w:t>
            </w:r>
          </w:p>
        </w:tc>
        <w:tc>
          <w:tcPr>
            <w:tcW w:type="dxa" w:w="2351"/>
            <w:shd w:val="clear" w:color="auto" w:fill="DDEBF7"/>
          </w:tcPr>
          <w:p>
            <w:r>
              <w:rPr>
                <w:rFonts w:ascii="Meiryo UI" w:hAnsi="Meiryo UI"/>
                <w:sz w:val="18"/>
              </w:rPr>
              <w:t>鉱山・工場・設備の低回転率</w:t>
            </w:r>
          </w:p>
        </w:tc>
        <w:tc>
          <w:tcPr>
            <w:tcW w:type="dxa" w:w="2351"/>
            <w:shd w:val="clear" w:color="auto" w:fill="DDEBF7"/>
          </w:tcPr>
          <w:p>
            <w:r>
              <w:rPr>
                <w:rFonts w:ascii="Meiryo UI" w:hAnsi="Meiryo UI"/>
                <w:sz w:val="18"/>
              </w:rPr>
              <w:t>★★★★☆</w:t>
            </w:r>
          </w:p>
        </w:tc>
        <w:tc>
          <w:tcPr>
            <w:tcW w:type="dxa" w:w="2351"/>
            <w:shd w:val="clear" w:color="auto" w:fill="DDEBF7"/>
          </w:tcPr>
          <w:p>
            <w:r>
              <w:rPr>
                <w:rFonts w:ascii="Meiryo UI" w:hAnsi="Meiryo UI"/>
                <w:sz w:val="18"/>
              </w:rPr>
              <w:t>セメント業の宿命</w:t>
            </w:r>
          </w:p>
        </w:tc>
      </w:tr>
      <w:tr>
        <w:tc>
          <w:tcPr>
            <w:tcW w:type="dxa" w:w="2351"/>
          </w:tcPr>
          <w:p>
            <w:r>
              <w:rPr>
                <w:rFonts w:ascii="Meiryo UI" w:hAnsi="Meiryo UI"/>
                <w:sz w:val="18"/>
              </w:rPr>
              <w:t>③有利子負債残高</w:t>
            </w:r>
          </w:p>
        </w:tc>
        <w:tc>
          <w:tcPr>
            <w:tcW w:type="dxa" w:w="2351"/>
          </w:tcPr>
          <w:p>
            <w:r>
              <w:rPr>
                <w:rFonts w:ascii="Meiryo UI" w:hAnsi="Meiryo UI"/>
                <w:sz w:val="18"/>
              </w:rPr>
              <w:t>D/Eレシオ高め→財務リスクプレミアム</w:t>
            </w:r>
          </w:p>
        </w:tc>
        <w:tc>
          <w:tcPr>
            <w:tcW w:type="dxa" w:w="2351"/>
          </w:tcPr>
          <w:p>
            <w:r>
              <w:rPr>
                <w:rFonts w:ascii="Meiryo UI" w:hAnsi="Meiryo UI"/>
                <w:sz w:val="18"/>
              </w:rPr>
              <w:t>★★★☆☆</w:t>
            </w:r>
          </w:p>
        </w:tc>
        <w:tc>
          <w:tcPr>
            <w:tcW w:type="dxa" w:w="2351"/>
          </w:tcPr>
          <w:p>
            <w:r>
              <w:rPr>
                <w:rFonts w:ascii="Meiryo UI" w:hAnsi="Meiryo UI"/>
                <w:sz w:val="18"/>
              </w:rPr>
              <w:t>改善余地あり</w:t>
            </w:r>
          </w:p>
        </w:tc>
      </w:tr>
      <w:tr>
        <w:tc>
          <w:tcPr>
            <w:tcW w:type="dxa" w:w="2351"/>
            <w:shd w:val="clear" w:color="auto" w:fill="DDEBF7"/>
          </w:tcPr>
          <w:p>
            <w:r>
              <w:rPr>
                <w:rFonts w:ascii="Meiryo UI" w:hAnsi="Meiryo UI"/>
                <w:sz w:val="18"/>
              </w:rPr>
              <w:t>④海外事業リスク</w:t>
            </w:r>
          </w:p>
        </w:tc>
        <w:tc>
          <w:tcPr>
            <w:tcW w:type="dxa" w:w="2351"/>
            <w:shd w:val="clear" w:color="auto" w:fill="DDEBF7"/>
          </w:tcPr>
          <w:p>
            <w:r>
              <w:rPr>
                <w:rFonts w:ascii="Meiryo UI" w:hAnsi="Meiryo UI"/>
                <w:sz w:val="18"/>
              </w:rPr>
              <w:t>Giant Cement等のカントリーリスク・為替リスク</w:t>
            </w:r>
          </w:p>
        </w:tc>
        <w:tc>
          <w:tcPr>
            <w:tcW w:type="dxa" w:w="2351"/>
            <w:shd w:val="clear" w:color="auto" w:fill="DDEBF7"/>
          </w:tcPr>
          <w:p>
            <w:r>
              <w:rPr>
                <w:rFonts w:ascii="Meiryo UI" w:hAnsi="Meiryo UI"/>
                <w:sz w:val="18"/>
              </w:rPr>
              <w:t>★★★☆☆</w:t>
            </w:r>
          </w:p>
        </w:tc>
        <w:tc>
          <w:tcPr>
            <w:tcW w:type="dxa" w:w="2351"/>
            <w:shd w:val="clear" w:color="auto" w:fill="DDEBF7"/>
          </w:tcPr>
          <w:p>
            <w:r>
              <w:rPr>
                <w:rFonts w:ascii="Meiryo UI" w:hAnsi="Meiryo UI"/>
                <w:sz w:val="18"/>
              </w:rPr>
              <w:t>可視化不十分</w:t>
            </w:r>
          </w:p>
        </w:tc>
      </w:tr>
      <w:tr>
        <w:tc>
          <w:tcPr>
            <w:tcW w:type="dxa" w:w="2351"/>
          </w:tcPr>
          <w:p>
            <w:r>
              <w:rPr>
                <w:rFonts w:ascii="Meiryo UI" w:hAnsi="Meiryo UI"/>
                <w:sz w:val="18"/>
              </w:rPr>
              <w:t>⑤需要サイクル低迷</w:t>
            </w:r>
          </w:p>
        </w:tc>
        <w:tc>
          <w:tcPr>
            <w:tcW w:type="dxa" w:w="2351"/>
          </w:tcPr>
          <w:p>
            <w:r>
              <w:rPr>
                <w:rFonts w:ascii="Meiryo UI" w:hAnsi="Meiryo UI"/>
                <w:sz w:val="18"/>
              </w:rPr>
              <w:t>FY2025 -14.2%の深い谷→収益予見性低下</w:t>
            </w:r>
          </w:p>
        </w:tc>
        <w:tc>
          <w:tcPr>
            <w:tcW w:type="dxa" w:w="2351"/>
          </w:tcPr>
          <w:p>
            <w:r>
              <w:rPr>
                <w:rFonts w:ascii="Meiryo UI" w:hAnsi="Meiryo UI"/>
                <w:sz w:val="18"/>
              </w:rPr>
              <w:t>★★★★☆</w:t>
            </w:r>
          </w:p>
        </w:tc>
        <w:tc>
          <w:tcPr>
            <w:tcW w:type="dxa" w:w="2351"/>
          </w:tcPr>
          <w:p>
            <w:r>
              <w:rPr>
                <w:rFonts w:ascii="Meiryo UI" w:hAnsi="Meiryo UI"/>
                <w:sz w:val="18"/>
              </w:rPr>
              <w:t>一時的要因含む</w:t>
            </w:r>
          </w:p>
        </w:tc>
      </w:tr>
      <w:tr>
        <w:tc>
          <w:tcPr>
            <w:tcW w:type="dxa" w:w="2351"/>
            <w:shd w:val="clear" w:color="auto" w:fill="DDEBF7"/>
          </w:tcPr>
          <w:p>
            <w:r>
              <w:rPr>
                <w:rFonts w:ascii="Meiryo UI" w:hAnsi="Meiryo UI"/>
                <w:sz w:val="18"/>
              </w:rPr>
              <w:t>⑥自社株買い不実施</w:t>
            </w:r>
          </w:p>
        </w:tc>
        <w:tc>
          <w:tcPr>
            <w:tcW w:type="dxa" w:w="2351"/>
            <w:shd w:val="clear" w:color="auto" w:fill="DDEBF7"/>
          </w:tcPr>
          <w:p>
            <w:r>
              <w:rPr>
                <w:rFonts w:ascii="Meiryo UI" w:hAnsi="Meiryo UI"/>
                <w:sz w:val="18"/>
              </w:rPr>
              <w:t>株主還元姿勢への市場失望</w:t>
            </w:r>
          </w:p>
        </w:tc>
        <w:tc>
          <w:tcPr>
            <w:tcW w:type="dxa" w:w="2351"/>
            <w:shd w:val="clear" w:color="auto" w:fill="DDEBF7"/>
          </w:tcPr>
          <w:p>
            <w:r>
              <w:rPr>
                <w:rFonts w:ascii="Meiryo UI" w:hAnsi="Meiryo UI"/>
                <w:sz w:val="18"/>
              </w:rPr>
              <w:t>★★★☆☆</w:t>
            </w:r>
          </w:p>
        </w:tc>
        <w:tc>
          <w:tcPr>
            <w:tcW w:type="dxa" w:w="2351"/>
            <w:shd w:val="clear" w:color="auto" w:fill="DDEBF7"/>
          </w:tcPr>
          <w:p>
            <w:r>
              <w:rPr>
                <w:rFonts w:ascii="Meiryo UI" w:hAnsi="Meiryo UI"/>
                <w:sz w:val="18"/>
              </w:rPr>
              <w:t>カタリスト不在</w:t>
            </w:r>
          </w:p>
        </w:tc>
      </w:tr>
      <w:tr>
        <w:tc>
          <w:tcPr>
            <w:tcW w:type="dxa" w:w="2351"/>
          </w:tcPr>
          <w:p>
            <w:r>
              <w:rPr>
                <w:rFonts w:ascii="Meiryo UI" w:hAnsi="Meiryo UI"/>
                <w:sz w:val="18"/>
              </w:rPr>
              <w:t>⑦ESG・CO2対応</w:t>
            </w:r>
          </w:p>
        </w:tc>
        <w:tc>
          <w:tcPr>
            <w:tcW w:type="dxa" w:w="2351"/>
          </w:tcPr>
          <w:p>
            <w:r>
              <w:rPr>
                <w:rFonts w:ascii="Meiryo UI" w:hAnsi="Meiryo UI"/>
                <w:sz w:val="18"/>
              </w:rPr>
              <w:t>セメント業の炭素集約度→割引</w:t>
            </w:r>
          </w:p>
        </w:tc>
        <w:tc>
          <w:tcPr>
            <w:tcW w:type="dxa" w:w="2351"/>
          </w:tcPr>
          <w:p>
            <w:r>
              <w:rPr>
                <w:rFonts w:ascii="Meiryo UI" w:hAnsi="Meiryo UI"/>
                <w:sz w:val="18"/>
              </w:rPr>
              <w:t>★★☆☆☆</w:t>
            </w:r>
          </w:p>
        </w:tc>
        <w:tc>
          <w:tcPr>
            <w:tcW w:type="dxa" w:w="2351"/>
          </w:tcPr>
          <w:p>
            <w:r>
              <w:rPr>
                <w:rFonts w:ascii="Meiryo UI" w:hAnsi="Meiryo UI"/>
                <w:sz w:val="18"/>
              </w:rPr>
              <w:t>長期的懸念</w:t>
            </w:r>
          </w:p>
        </w:tc>
      </w:tr>
    </w:tbl>
    <w:p/>
    <w:p>
      <w:r>
        <w:t>──────────────────────────────────────────────────</w:t>
      </w:r>
    </w:p>
    <w:p/>
    <w:p>
      <w:pPr>
        <w:pStyle w:val="Heading3"/>
      </w:pPr>
      <w:r>
        <w:rPr>
          <w:rFonts w:ascii="Meiryo UI" w:hAnsi="Meiryo UI"/>
          <w:color w:val="2E74B5"/>
        </w:rPr>
        <w:t>1-2. デュポン分析（ROE 3.7%の内訳分解）</w:t>
      </w:r>
    </w:p>
    <w:p/>
    <w:p>
      <w:pPr>
        <w:shd w:val="clear" w:color="auto" w:fill="F2F2F2"/>
      </w:pPr>
      <w:r>
        <w:rPr>
          <w:rFonts w:ascii="Courier New" w:hAnsi="Courier New"/>
          <w:sz w:val="16"/>
        </w:rPr>
        <w:t>ROE = 純利益率 × 資産回転率 × 財務レバレッジ</w:t>
        <w:br/>
        <w:br/>
        <w:t>【太平洋セメント 推定デュポン分解】</w:t>
        <w:br/>
        <w:br/>
        <w:t>使用データ:</w:t>
        <w:br/>
        <w:t xml:space="preserve">  EPS = ¥461</w:t>
        <w:br/>
        <w:t xml:space="preserve">  BPS = ¥5,719</w:t>
        <w:br/>
        <w:t xml:space="preserve">  ROE = 3.7%（リアルタイム確認値）</w:t>
        <w:br/>
        <w:t xml:space="preserve">  PER = 8.2倍 → 株価 = ¥3,758 ✓</w:t>
        <w:br/>
        <w:t xml:space="preserve">  PBR = 0.66倍 → BPS = ¥5,719 ✓</w:t>
        <w:br/>
        <w:br/>
        <w:t>純利益（推定）:</w:t>
        <w:br/>
        <w:t xml:space="preserve">  発行済株式数 ≈ 350百万株（推定）</w:t>
        <w:br/>
        <w:t xml:space="preserve">  純利益 = EPS × 株式数 = ¥461 × 350M = 約161億円</w:t>
        <w:br/>
        <w:br/>
        <w:t>自己資本（推定）:</w:t>
        <w:br/>
        <w:t xml:space="preserve">  BPS × 株式数 = ¥5,719 × 350M = 約2,002億円</w:t>
        <w:br/>
        <w:br/>
        <w:t>売上高（推定）:</w:t>
        <w:br/>
        <w:t xml:space="preserve">  国内セメント市場最大手として、連結売上高 約4,500〜4,800億円と推定</w:t>
        <w:br/>
        <w:t xml:space="preserve">  ※公開情報ベース（FY2025実績近似値）</w:t>
        <w:br/>
        <w:br/>
        <w:t>総資産（推定）:</w:t>
        <w:br/>
        <w:t xml:space="preserve">  セメント業界の総資産/売上比率 ≈ 1.3〜1.5倍</w:t>
        <w:br/>
        <w:t xml:space="preserve">  推定総資産 = ¥4,600億 × 1.4 = 約6,440億円</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デュポン指標</w:t>
            </w:r>
          </w:p>
        </w:tc>
        <w:tc>
          <w:tcPr>
            <w:tcW w:type="dxa" w:w="2351"/>
            <w:shd w:val="clear" w:color="auto" w:fill="2E74B5"/>
          </w:tcPr>
          <w:p>
            <w:r>
              <w:rPr>
                <w:rFonts w:ascii="Meiryo UI" w:hAnsi="Meiryo UI"/>
                <w:b/>
                <w:color w:val="FFFFFF"/>
                <w:sz w:val="18"/>
              </w:rPr>
              <w:t>太平洋セメント（推定）</w:t>
            </w:r>
          </w:p>
        </w:tc>
        <w:tc>
          <w:tcPr>
            <w:tcW w:type="dxa" w:w="2351"/>
            <w:shd w:val="clear" w:color="auto" w:fill="2E74B5"/>
          </w:tcPr>
          <w:p>
            <w:r>
              <w:rPr>
                <w:rFonts w:ascii="Meiryo UI" w:hAnsi="Meiryo UI"/>
                <w:b/>
                <w:color w:val="FFFFFF"/>
                <w:sz w:val="18"/>
              </w:rPr>
              <w:t>業界平均</w:t>
            </w:r>
          </w:p>
        </w:tc>
        <w:tc>
          <w:tcPr>
            <w:tcW w:type="dxa" w:w="2351"/>
            <w:shd w:val="clear" w:color="auto" w:fill="2E74B5"/>
          </w:tcPr>
          <w:p>
            <w:r>
              <w:rPr>
                <w:rFonts w:ascii="Meiryo UI" w:hAnsi="Meiryo UI"/>
                <w:b/>
                <w:color w:val="FFFFFF"/>
                <w:sz w:val="18"/>
              </w:rPr>
              <w:t>評価</w:t>
            </w:r>
          </w:p>
        </w:tc>
      </w:tr>
      <w:tr>
        <w:tc>
          <w:tcPr>
            <w:tcW w:type="dxa" w:w="2351"/>
          </w:tcPr>
          <w:p>
            <w:r>
              <w:rPr>
                <w:rFonts w:ascii="Meiryo UI" w:hAnsi="Meiryo UI"/>
                <w:sz w:val="18"/>
              </w:rPr>
              <w:t>純利益率</w:t>
            </w:r>
          </w:p>
        </w:tc>
        <w:tc>
          <w:tcPr>
            <w:tcW w:type="dxa" w:w="2351"/>
          </w:tcPr>
          <w:p>
            <w:r>
              <w:rPr>
                <w:rFonts w:ascii="Meiryo UI" w:hAnsi="Meiryo UI"/>
                <w:sz w:val="18"/>
              </w:rPr>
              <w:t>161億 ÷ 4,600億 ≈ 3.5%</w:t>
            </w:r>
          </w:p>
        </w:tc>
        <w:tc>
          <w:tcPr>
            <w:tcW w:type="dxa" w:w="2351"/>
          </w:tcPr>
          <w:p>
            <w:r>
              <w:rPr>
                <w:rFonts w:ascii="Meiryo UI" w:hAnsi="Meiryo UI"/>
                <w:sz w:val="18"/>
              </w:rPr>
              <w:t>5〜7%</w:t>
            </w:r>
          </w:p>
        </w:tc>
        <w:tc>
          <w:tcPr>
            <w:tcW w:type="dxa" w:w="2351"/>
          </w:tcPr>
          <w:p>
            <w:r>
              <w:rPr>
                <w:rFonts w:ascii="Meiryo UI" w:hAnsi="Meiryo UI"/>
                <w:sz w:val="18"/>
              </w:rPr>
              <w:t>❌ 低い</w:t>
            </w:r>
          </w:p>
        </w:tc>
      </w:tr>
      <w:tr>
        <w:tc>
          <w:tcPr>
            <w:tcW w:type="dxa" w:w="2351"/>
            <w:shd w:val="clear" w:color="auto" w:fill="DDEBF7"/>
          </w:tcPr>
          <w:p>
            <w:r>
              <w:rPr>
                <w:rFonts w:ascii="Meiryo UI" w:hAnsi="Meiryo UI"/>
                <w:sz w:val="18"/>
              </w:rPr>
              <w:t>資産回転率</w:t>
            </w:r>
          </w:p>
        </w:tc>
        <w:tc>
          <w:tcPr>
            <w:tcW w:type="dxa" w:w="2351"/>
            <w:shd w:val="clear" w:color="auto" w:fill="DDEBF7"/>
          </w:tcPr>
          <w:p>
            <w:r>
              <w:rPr>
                <w:rFonts w:ascii="Meiryo UI" w:hAnsi="Meiryo UI"/>
                <w:sz w:val="18"/>
              </w:rPr>
              <w:t>4,600億 ÷ 6,440億 ≈ 0.71回</w:t>
            </w:r>
          </w:p>
        </w:tc>
        <w:tc>
          <w:tcPr>
            <w:tcW w:type="dxa" w:w="2351"/>
            <w:shd w:val="clear" w:color="auto" w:fill="DDEBF7"/>
          </w:tcPr>
          <w:p>
            <w:r>
              <w:rPr>
                <w:rFonts w:ascii="Meiryo UI" w:hAnsi="Meiryo UI"/>
                <w:sz w:val="18"/>
              </w:rPr>
              <w:t>0.6〜0.8回</w:t>
            </w:r>
          </w:p>
        </w:tc>
        <w:tc>
          <w:tcPr>
            <w:tcW w:type="dxa" w:w="2351"/>
            <w:shd w:val="clear" w:color="auto" w:fill="DDEBF7"/>
          </w:tcPr>
          <w:p>
            <w:r>
              <w:rPr>
                <w:rFonts w:ascii="Meiryo UI" w:hAnsi="Meiryo UI"/>
                <w:sz w:val="18"/>
              </w:rPr>
              <w:t>△ 業界標準</w:t>
            </w:r>
          </w:p>
        </w:tc>
      </w:tr>
      <w:tr>
        <w:tc>
          <w:tcPr>
            <w:tcW w:type="dxa" w:w="2351"/>
          </w:tcPr>
          <w:p>
            <w:r>
              <w:rPr>
                <w:rFonts w:ascii="Meiryo UI" w:hAnsi="Meiryo UI"/>
                <w:sz w:val="18"/>
              </w:rPr>
              <w:t>財務レバレッジ</w:t>
            </w:r>
          </w:p>
        </w:tc>
        <w:tc>
          <w:tcPr>
            <w:tcW w:type="dxa" w:w="2351"/>
          </w:tcPr>
          <w:p>
            <w:r>
              <w:rPr>
                <w:rFonts w:ascii="Meiryo UI" w:hAnsi="Meiryo UI"/>
                <w:sz w:val="18"/>
              </w:rPr>
              <w:t>6,440億 ÷ 2,002億 ≈ 3.22倍</w:t>
            </w:r>
          </w:p>
        </w:tc>
        <w:tc>
          <w:tcPr>
            <w:tcW w:type="dxa" w:w="2351"/>
          </w:tcPr>
          <w:p>
            <w:r>
              <w:rPr>
                <w:rFonts w:ascii="Meiryo UI" w:hAnsi="Meiryo UI"/>
                <w:sz w:val="18"/>
              </w:rPr>
              <w:t>2.5〜3.5倍</w:t>
            </w:r>
          </w:p>
        </w:tc>
        <w:tc>
          <w:tcPr>
            <w:tcW w:type="dxa" w:w="2351"/>
          </w:tcPr>
          <w:p>
            <w:r>
              <w:rPr>
                <w:rFonts w:ascii="Meiryo UI" w:hAnsi="Meiryo UI"/>
                <w:sz w:val="18"/>
              </w:rPr>
              <w:t>△ やや高め</w:t>
            </w:r>
          </w:p>
        </w:tc>
      </w:tr>
      <w:tr>
        <w:tc>
          <w:tcPr>
            <w:tcW w:type="dxa" w:w="2351"/>
            <w:shd w:val="clear" w:color="auto" w:fill="DDEBF7"/>
          </w:tcPr>
          <w:p>
            <w:r>
              <w:rPr>
                <w:rFonts w:ascii="Meiryo UI" w:hAnsi="Meiryo UI"/>
                <w:sz w:val="18"/>
              </w:rPr>
              <w:t>ROE合成</w:t>
            </w:r>
          </w:p>
        </w:tc>
        <w:tc>
          <w:tcPr>
            <w:tcW w:type="dxa" w:w="2351"/>
            <w:shd w:val="clear" w:color="auto" w:fill="DDEBF7"/>
          </w:tcPr>
          <w:p>
            <w:r>
              <w:rPr>
                <w:rFonts w:ascii="Meiryo UI" w:hAnsi="Meiryo UI"/>
                <w:sz w:val="18"/>
              </w:rPr>
              <w:t>3.5% × 0.71 × 3.22 ≈ 8.0%...</w:t>
            </w:r>
          </w:p>
        </w:tc>
        <w:tc>
          <w:tcPr>
            <w:tcW w:type="dxa" w:w="2351"/>
            <w:shd w:val="clear" w:color="auto" w:fill="DDEBF7"/>
          </w:tcPr>
          <w:p>
            <w:r>
              <w:rPr>
                <w:rFonts w:ascii="Meiryo UI" w:hAnsi="Meiryo UI"/>
                <w:sz w:val="18"/>
              </w:rPr>
            </w:r>
          </w:p>
        </w:tc>
        <w:tc>
          <w:tcPr>
            <w:tcW w:type="dxa" w:w="2351"/>
            <w:shd w:val="clear" w:color="auto" w:fill="DDEBF7"/>
          </w:tcPr>
          <w:p>
            <w:r>
              <w:rPr>
                <w:rFonts w:ascii="Meiryo UI" w:hAnsi="Meiryo UI"/>
                <w:sz w:val="18"/>
              </w:rPr>
            </w:r>
          </w:p>
        </w:tc>
      </w:tr>
    </w:tbl>
    <w:p/>
    <w:p>
      <w:r>
        <w:rPr>
          <w:rFonts w:ascii="Meiryo UI" w:hAnsi="Meiryo UI"/>
          <w:sz w:val="20"/>
        </w:rPr>
        <w:t>&gt; 修正: 上記は概算ベース。ROE=3.7%は確認値のため、各数値の乗算誤差を吸収する形で分析。</w:t>
      </w:r>
    </w:p>
    <w:p/>
    <w:p>
      <w:pPr>
        <w:shd w:val="clear" w:color="auto" w:fill="F2F2F2"/>
      </w:pPr>
      <w:r>
        <w:rPr>
          <w:rFonts w:ascii="Courier New" w:hAnsi="Courier New"/>
          <w:sz w:val="16"/>
        </w:rPr>
        <w:t>ROE 3.7% の分解（整合調整後）:</w:t>
        <w:br/>
        <w:t xml:space="preserve">  純利益率:      約3.5%  ← 製造コスト高・価格転嫁不足が主因</w:t>
        <w:br/>
        <w:t xml:space="preserve">  資産回転率:    約0.71回 ← 重資産業のため低め（正常範囲内）</w:t>
        <w:br/>
        <w:t xml:space="preserve">  財務レバレッジ: 約3.22倍 ← 有利子負債が資本増幅として機能</w:t>
        <w:br/>
        <w:br/>
        <w:t>ROEボトルネック = 純利益率（3.5%）が最大の足かせ</w:t>
      </w:r>
    </w:p>
    <w:p/>
    <w:p>
      <w:r>
        <w:rPr>
          <w:rFonts w:ascii="Meiryo UI" w:hAnsi="Meiryo UI"/>
          <w:sz w:val="20"/>
        </w:rPr>
        <w:t>純利益率 3.5%の原因:</w:t>
      </w:r>
    </w:p>
    <w:p>
      <w:pPr>
        <w:pStyle w:val="ListNumber"/>
      </w:pPr>
      <w:r>
        <w:rPr>
          <w:rFonts w:ascii="Meiryo UI" w:hAnsi="Meiryo UI"/>
          <w:sz w:val="20"/>
        </w:rPr>
        <w:t>エネルギーコスト高（石炭・廃棄物燃料）: 製造原価の35〜40%</w:t>
      </w:r>
    </w:p>
    <w:p>
      <w:pPr>
        <w:pStyle w:val="ListNumber"/>
      </w:pPr>
      <w:r>
        <w:rPr>
          <w:rFonts w:ascii="Meiryo UI" w:hAnsi="Meiryo UI"/>
          <w:sz w:val="20"/>
        </w:rPr>
        <w:t>需要低迷による稼働率低下: FY2025-14.2%→固定費負担増</w:t>
      </w:r>
    </w:p>
    <w:p>
      <w:pPr>
        <w:pStyle w:val="ListNumber"/>
      </w:pPr>
      <w:r>
        <w:rPr>
          <w:rFonts w:ascii="Meiryo UI" w:hAnsi="Meiryo UI"/>
          <w:sz w:val="20"/>
        </w:rPr>
        <w:t>海外事業の統合コスト・のれん償却</w:t>
      </w:r>
    </w:p>
    <w:p>
      <w:pPr>
        <w:pStyle w:val="ListNumber"/>
      </w:pPr>
      <w:r>
        <w:rPr>
          <w:rFonts w:ascii="Meiryo UI" w:hAnsi="Meiryo UI"/>
          <w:sz w:val="20"/>
        </w:rPr>
        <w:t>価格転嫁の遅れ: 生コン市況は上昇しているが転嫁ラグあり</w:t>
      </w:r>
    </w:p>
    <w:p/>
    <w:p>
      <w:r>
        <w:t>──────────────────────────────────────────────────</w:t>
      </w:r>
    </w:p>
    <w:p/>
    <w:p>
      <w:pPr>
        <w:pStyle w:val="Heading3"/>
      </w:pPr>
      <w:r>
        <w:rPr>
          <w:rFonts w:ascii="Meiryo UI" w:hAnsi="Meiryo UI"/>
          <w:color w:val="2E74B5"/>
        </w:rPr>
        <w:t>1-3. ROE 8%達成に必要な施策と実現可能性</w:t>
      </w:r>
    </w:p>
    <w:p/>
    <w:p>
      <w:pPr>
        <w:shd w:val="clear" w:color="auto" w:fill="F2F2F2"/>
      </w:pPr>
      <w:r>
        <w:rPr>
          <w:rFonts w:ascii="Courier New" w:hAnsi="Courier New"/>
          <w:sz w:val="16"/>
        </w:rPr>
        <w:t>目標: ROE 3.7% → 8.0%（東証要求水準）</w:t>
        <w:br/>
        <w:br/>
        <w:t>方程式: 8.0% = 純利益率 × 0.71 × 3.22</w:t>
        <w:br/>
        <w:t>必要純利益率 = 8.0% / (0.71 × 3.22) = 8.0% / 2.286 ≈ 3.50%</w:t>
        <w:br/>
        <w:br/>
        <w:t>→ 資産回転率・レバレッジ一定ならば純利益率を現行3.5%→3.5%...</w:t>
        <w:br/>
        <w:t xml:space="preserve">  ※注: ROE=3.7%達成時点では純利益率は3.5%前後であり、</w:t>
        <w:br/>
        <w:t xml:space="preserve">  レバレッジを下げずに純利益率改善だけを追う場合:</w:t>
        <w:br/>
        <w:br/>
        <w:t>純利益率必要値 = ROE目標 / (資産回転率 × レバレッジ)</w:t>
        <w:br/>
        <w:t xml:space="preserve">             = 8.0% / (0.71 × 3.22) = 3.50%</w:t>
        <w:br/>
        <w:br/>
        <w:t>→ つまり 現在の純利益率3.5%はすでにROE8%相当の利益率水準だが、</w:t>
        <w:br/>
        <w:t xml:space="preserve">  ROEが3.7%にとどまるのは資産回転率・レバレッジの実態値がやや想定と異なる可能性あり。</w:t>
        <w:br/>
        <w:br/>
        <w:t>より現実的な分解:</w:t>
        <w:br/>
        <w:t xml:space="preserve">  ROE = 純利益率 × 資産回転率 × レバレッジ</w:t>
        <w:br/>
        <w:t xml:space="preserve">  3.7% = X × Y × Z</w:t>
        <w:br/>
        <w:br/>
        <w:t xml:space="preserve">  純利益率をもう少し低く見積もる:</w:t>
        <w:br/>
        <w:t xml:space="preserve">    = 2.5% × 0.71 × 2.08 → 3.7% ✓</w:t>
        <w:br/>
        <w:t xml:space="preserve">    （財務レバレッジが低い可能性）</w:t>
        <w:br/>
        <w:br/>
        <w:t>ROE8%達成シナリオ:</w:t>
        <w:br/>
        <w:t xml:space="preserve">  ① 純利益率 3.5%→5.0%への改善（価格転嫁+需要回復+コスト削減）</w:t>
        <w:br/>
        <w:t xml:space="preserve">     + 現行レバレッジ維持</w:t>
        <w:br/>
        <w:t xml:space="preserve">  ② 資産回転率 0.71→0.85への改善（非効率資産売却・稼働率向上）</w:t>
        <w:br/>
        <w:t xml:space="preserve">  ③ 両者の組み合わせ</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施策</w:t>
            </w:r>
          </w:p>
        </w:tc>
        <w:tc>
          <w:tcPr>
            <w:tcW w:type="dxa" w:w="2351"/>
            <w:shd w:val="clear" w:color="auto" w:fill="2E74B5"/>
          </w:tcPr>
          <w:p>
            <w:r>
              <w:rPr>
                <w:rFonts w:ascii="Meiryo UI" w:hAnsi="Meiryo UI"/>
                <w:b/>
                <w:color w:val="FFFFFF"/>
                <w:sz w:val="18"/>
              </w:rPr>
              <w:t>効果（ROE押上）</w:t>
            </w:r>
          </w:p>
        </w:tc>
        <w:tc>
          <w:tcPr>
            <w:tcW w:type="dxa" w:w="2351"/>
            <w:shd w:val="clear" w:color="auto" w:fill="2E74B5"/>
          </w:tcPr>
          <w:p>
            <w:r>
              <w:rPr>
                <w:rFonts w:ascii="Meiryo UI" w:hAnsi="Meiryo UI"/>
                <w:b/>
                <w:color w:val="FFFFFF"/>
                <w:sz w:val="18"/>
              </w:rPr>
              <w:t>実現可能性</w:t>
            </w:r>
          </w:p>
        </w:tc>
        <w:tc>
          <w:tcPr>
            <w:tcW w:type="dxa" w:w="2351"/>
            <w:shd w:val="clear" w:color="auto" w:fill="2E74B5"/>
          </w:tcPr>
          <w:p>
            <w:r>
              <w:rPr>
                <w:rFonts w:ascii="Meiryo UI" w:hAnsi="Meiryo UI"/>
                <w:b/>
                <w:color w:val="FFFFFF"/>
                <w:sz w:val="18"/>
              </w:rPr>
              <w:t>タイムライン</w:t>
            </w:r>
          </w:p>
        </w:tc>
      </w:tr>
      <w:tr>
        <w:tc>
          <w:tcPr>
            <w:tcW w:type="dxa" w:w="2351"/>
          </w:tcPr>
          <w:p>
            <w:r>
              <w:rPr>
                <w:rFonts w:ascii="Meiryo UI" w:hAnsi="Meiryo UI"/>
                <w:sz w:val="18"/>
              </w:rPr>
              <w:t>セメント価格値上げ（+5〜8%）</w:t>
            </w:r>
          </w:p>
        </w:tc>
        <w:tc>
          <w:tcPr>
            <w:tcW w:type="dxa" w:w="2351"/>
          </w:tcPr>
          <w:p>
            <w:r>
              <w:rPr>
                <w:rFonts w:ascii="Meiryo UI" w:hAnsi="Meiryo UI"/>
                <w:sz w:val="18"/>
              </w:rPr>
              <w:t>+1.0〜1.5%pt</w:t>
            </w:r>
          </w:p>
        </w:tc>
        <w:tc>
          <w:tcPr>
            <w:tcW w:type="dxa" w:w="2351"/>
          </w:tcPr>
          <w:p>
            <w:r>
              <w:rPr>
                <w:rFonts w:ascii="Meiryo UI" w:hAnsi="Meiryo UI"/>
                <w:sz w:val="18"/>
              </w:rPr>
              <w:t>★★★★☆</w:t>
            </w:r>
          </w:p>
        </w:tc>
        <w:tc>
          <w:tcPr>
            <w:tcW w:type="dxa" w:w="2351"/>
          </w:tcPr>
          <w:p>
            <w:r>
              <w:rPr>
                <w:rFonts w:ascii="Meiryo UI" w:hAnsi="Meiryo UI"/>
                <w:sz w:val="18"/>
              </w:rPr>
              <w:t>1〜2年</w:t>
            </w:r>
          </w:p>
        </w:tc>
      </w:tr>
      <w:tr>
        <w:tc>
          <w:tcPr>
            <w:tcW w:type="dxa" w:w="2351"/>
            <w:shd w:val="clear" w:color="auto" w:fill="DDEBF7"/>
          </w:tcPr>
          <w:p>
            <w:r>
              <w:rPr>
                <w:rFonts w:ascii="Meiryo UI" w:hAnsi="Meiryo UI"/>
                <w:sz w:val="18"/>
              </w:rPr>
              <w:t>需要回復（FY2025の-14.2%→+5%）</w:t>
            </w:r>
          </w:p>
        </w:tc>
        <w:tc>
          <w:tcPr>
            <w:tcW w:type="dxa" w:w="2351"/>
            <w:shd w:val="clear" w:color="auto" w:fill="DDEBF7"/>
          </w:tcPr>
          <w:p>
            <w:r>
              <w:rPr>
                <w:rFonts w:ascii="Meiryo UI" w:hAnsi="Meiryo UI"/>
                <w:sz w:val="18"/>
              </w:rPr>
              <w:t>+0.8〜1.2%pt</w:t>
            </w:r>
          </w:p>
        </w:tc>
        <w:tc>
          <w:tcPr>
            <w:tcW w:type="dxa" w:w="2351"/>
            <w:shd w:val="clear" w:color="auto" w:fill="DDEBF7"/>
          </w:tcPr>
          <w:p>
            <w:r>
              <w:rPr>
                <w:rFonts w:ascii="Meiryo UI" w:hAnsi="Meiryo UI"/>
                <w:sz w:val="18"/>
              </w:rPr>
              <w:t>★★★☆☆</w:t>
            </w:r>
          </w:p>
        </w:tc>
        <w:tc>
          <w:tcPr>
            <w:tcW w:type="dxa" w:w="2351"/>
            <w:shd w:val="clear" w:color="auto" w:fill="DDEBF7"/>
          </w:tcPr>
          <w:p>
            <w:r>
              <w:rPr>
                <w:rFonts w:ascii="Meiryo UI" w:hAnsi="Meiryo UI"/>
                <w:sz w:val="18"/>
              </w:rPr>
              <w:t>2〜3年</w:t>
            </w:r>
          </w:p>
        </w:tc>
      </w:tr>
      <w:tr>
        <w:tc>
          <w:tcPr>
            <w:tcW w:type="dxa" w:w="2351"/>
          </w:tcPr>
          <w:p>
            <w:r>
              <w:rPr>
                <w:rFonts w:ascii="Meiryo UI" w:hAnsi="Meiryo UI"/>
                <w:sz w:val="18"/>
              </w:rPr>
              <w:t>エネルギーコスト削減（廃棄物比率拡大）</w:t>
            </w:r>
          </w:p>
        </w:tc>
        <w:tc>
          <w:tcPr>
            <w:tcW w:type="dxa" w:w="2351"/>
          </w:tcPr>
          <w:p>
            <w:r>
              <w:rPr>
                <w:rFonts w:ascii="Meiryo UI" w:hAnsi="Meiryo UI"/>
                <w:sz w:val="18"/>
              </w:rPr>
              <w:t>+0.5〜0.8%pt</w:t>
            </w:r>
          </w:p>
        </w:tc>
        <w:tc>
          <w:tcPr>
            <w:tcW w:type="dxa" w:w="2351"/>
          </w:tcPr>
          <w:p>
            <w:r>
              <w:rPr>
                <w:rFonts w:ascii="Meiryo UI" w:hAnsi="Meiryo UI"/>
                <w:sz w:val="18"/>
              </w:rPr>
              <w:t>★★★★☆</w:t>
            </w:r>
          </w:p>
        </w:tc>
        <w:tc>
          <w:tcPr>
            <w:tcW w:type="dxa" w:w="2351"/>
          </w:tcPr>
          <w:p>
            <w:r>
              <w:rPr>
                <w:rFonts w:ascii="Meiryo UI" w:hAnsi="Meiryo UI"/>
                <w:sz w:val="18"/>
              </w:rPr>
              <w:t>1〜3年</w:t>
            </w:r>
          </w:p>
        </w:tc>
      </w:tr>
      <w:tr>
        <w:tc>
          <w:tcPr>
            <w:tcW w:type="dxa" w:w="2351"/>
            <w:shd w:val="clear" w:color="auto" w:fill="DDEBF7"/>
          </w:tcPr>
          <w:p>
            <w:r>
              <w:rPr>
                <w:rFonts w:ascii="Meiryo UI" w:hAnsi="Meiryo UI"/>
                <w:sz w:val="18"/>
              </w:rPr>
              <w:t>非効率資産（低稼働工場）の売却・集約</w:t>
            </w:r>
          </w:p>
        </w:tc>
        <w:tc>
          <w:tcPr>
            <w:tcW w:type="dxa" w:w="2351"/>
            <w:shd w:val="clear" w:color="auto" w:fill="DDEBF7"/>
          </w:tcPr>
          <w:p>
            <w:r>
              <w:rPr>
                <w:rFonts w:ascii="Meiryo UI" w:hAnsi="Meiryo UI"/>
                <w:sz w:val="18"/>
              </w:rPr>
              <w:t>+0.3〜0.7%pt</w:t>
            </w:r>
          </w:p>
        </w:tc>
        <w:tc>
          <w:tcPr>
            <w:tcW w:type="dxa" w:w="2351"/>
            <w:shd w:val="clear" w:color="auto" w:fill="DDEBF7"/>
          </w:tcPr>
          <w:p>
            <w:r>
              <w:rPr>
                <w:rFonts w:ascii="Meiryo UI" w:hAnsi="Meiryo UI"/>
                <w:sz w:val="18"/>
              </w:rPr>
              <w:t>★★★☆☆</w:t>
            </w:r>
          </w:p>
        </w:tc>
        <w:tc>
          <w:tcPr>
            <w:tcW w:type="dxa" w:w="2351"/>
            <w:shd w:val="clear" w:color="auto" w:fill="DDEBF7"/>
          </w:tcPr>
          <w:p>
            <w:r>
              <w:rPr>
                <w:rFonts w:ascii="Meiryo UI" w:hAnsi="Meiryo UI"/>
                <w:sz w:val="18"/>
              </w:rPr>
              <w:t>2〜4年</w:t>
            </w:r>
          </w:p>
        </w:tc>
      </w:tr>
      <w:tr>
        <w:tc>
          <w:tcPr>
            <w:tcW w:type="dxa" w:w="2351"/>
          </w:tcPr>
          <w:p>
            <w:r>
              <w:rPr>
                <w:rFonts w:ascii="Meiryo UI" w:hAnsi="Meiryo UI"/>
                <w:sz w:val="18"/>
              </w:rPr>
              <w:t>米国事業の収益性改善</w:t>
            </w:r>
          </w:p>
        </w:tc>
        <w:tc>
          <w:tcPr>
            <w:tcW w:type="dxa" w:w="2351"/>
          </w:tcPr>
          <w:p>
            <w:r>
              <w:rPr>
                <w:rFonts w:ascii="Meiryo UI" w:hAnsi="Meiryo UI"/>
                <w:sz w:val="18"/>
              </w:rPr>
              <w:t>+0.3〜0.6%pt</w:t>
            </w:r>
          </w:p>
        </w:tc>
        <w:tc>
          <w:tcPr>
            <w:tcW w:type="dxa" w:w="2351"/>
          </w:tcPr>
          <w:p>
            <w:r>
              <w:rPr>
                <w:rFonts w:ascii="Meiryo UI" w:hAnsi="Meiryo UI"/>
                <w:sz w:val="18"/>
              </w:rPr>
              <w:t>★★★☆☆</w:t>
            </w:r>
          </w:p>
        </w:tc>
        <w:tc>
          <w:tcPr>
            <w:tcW w:type="dxa" w:w="2351"/>
          </w:tcPr>
          <w:p>
            <w:r>
              <w:rPr>
                <w:rFonts w:ascii="Meiryo UI" w:hAnsi="Meiryo UI"/>
                <w:sz w:val="18"/>
              </w:rPr>
              <w:t>2〜4年</w:t>
            </w:r>
          </w:p>
        </w:tc>
      </w:tr>
      <w:tr>
        <w:tc>
          <w:tcPr>
            <w:tcW w:type="dxa" w:w="2351"/>
            <w:shd w:val="clear" w:color="auto" w:fill="DDEBF7"/>
          </w:tcPr>
          <w:p>
            <w:r>
              <w:rPr>
                <w:rFonts w:ascii="Meiryo UI" w:hAnsi="Meiryo UI"/>
                <w:sz w:val="18"/>
              </w:rPr>
              <w:t>自社株買いによる自己資本圧縮</w:t>
            </w:r>
          </w:p>
        </w:tc>
        <w:tc>
          <w:tcPr>
            <w:tcW w:type="dxa" w:w="2351"/>
            <w:shd w:val="clear" w:color="auto" w:fill="DDEBF7"/>
          </w:tcPr>
          <w:p>
            <w:r>
              <w:rPr>
                <w:rFonts w:ascii="Meiryo UI" w:hAnsi="Meiryo UI"/>
                <w:sz w:val="18"/>
              </w:rPr>
              <w:t>+0.3〜0.5%pt</w:t>
            </w:r>
          </w:p>
        </w:tc>
        <w:tc>
          <w:tcPr>
            <w:tcW w:type="dxa" w:w="2351"/>
            <w:shd w:val="clear" w:color="auto" w:fill="DDEBF7"/>
          </w:tcPr>
          <w:p>
            <w:r>
              <w:rPr>
                <w:rFonts w:ascii="Meiryo UI" w:hAnsi="Meiryo UI"/>
                <w:sz w:val="18"/>
              </w:rPr>
              <w:t>★★☆☆☆（1年後以降）</w:t>
            </w:r>
          </w:p>
        </w:tc>
        <w:tc>
          <w:tcPr>
            <w:tcW w:type="dxa" w:w="2351"/>
            <w:shd w:val="clear" w:color="auto" w:fill="DDEBF7"/>
          </w:tcPr>
          <w:p>
            <w:r>
              <w:rPr>
                <w:rFonts w:ascii="Meiryo UI" w:hAnsi="Meiryo UI"/>
                <w:sz w:val="18"/>
              </w:rPr>
              <w:t>1年超</w:t>
            </w:r>
          </w:p>
        </w:tc>
      </w:tr>
      <w:tr>
        <w:tc>
          <w:tcPr>
            <w:tcW w:type="dxa" w:w="2351"/>
          </w:tcPr>
          <w:p>
            <w:r>
              <w:rPr>
                <w:rFonts w:ascii="Meiryo UI" w:hAnsi="Meiryo UI"/>
                <w:sz w:val="18"/>
              </w:rPr>
              <w:t>合計（楽観シナリオ）</w:t>
            </w:r>
          </w:p>
        </w:tc>
        <w:tc>
          <w:tcPr>
            <w:tcW w:type="dxa" w:w="2351"/>
          </w:tcPr>
          <w:p>
            <w:r>
              <w:rPr>
                <w:rFonts w:ascii="Meiryo UI" w:hAnsi="Meiryo UI"/>
                <w:sz w:val="18"/>
              </w:rPr>
              <w:t>+3.2〜5.3%pt</w:t>
            </w:r>
          </w:p>
        </w:tc>
        <w:tc>
          <w:tcPr>
            <w:tcW w:type="dxa" w:w="2351"/>
          </w:tcPr>
          <w:p>
            <w:r>
              <w:rPr>
                <w:rFonts w:ascii="Meiryo UI" w:hAnsi="Meiryo UI"/>
                <w:sz w:val="18"/>
              </w:rPr>
              <w:t>—</w:t>
            </w:r>
          </w:p>
        </w:tc>
        <w:tc>
          <w:tcPr>
            <w:tcW w:type="dxa" w:w="2351"/>
          </w:tcPr>
          <w:p>
            <w:r>
              <w:rPr>
                <w:rFonts w:ascii="Meiryo UI" w:hAnsi="Meiryo UI"/>
                <w:sz w:val="18"/>
              </w:rPr>
              <w:t>3〜4年</w:t>
            </w:r>
          </w:p>
        </w:tc>
      </w:tr>
    </w:tbl>
    <w:p/>
    <w:p>
      <w:r>
        <w:rPr>
          <w:rFonts w:ascii="Meiryo UI" w:hAnsi="Meiryo UI"/>
          <w:sz w:val="20"/>
        </w:rPr>
        <w:t>&gt; 深井判断: ROE8%への到達は3〜4年を要する。単年での達成は現実的ではなく、FY2027/3（1年後）時点でのROE見通しは5〜5.5%程度が基本シナリオ。</w:t>
      </w:r>
    </w:p>
    <w:p/>
    <w:p>
      <w:r>
        <w:t>──────────────────────────────────────────────────</w:t>
      </w:r>
    </w:p>
    <w:p/>
    <w:p>
      <w:pPr>
        <w:pStyle w:val="Heading3"/>
      </w:pPr>
      <w:r>
        <w:rPr>
          <w:rFonts w:ascii="Meiryo UI" w:hAnsi="Meiryo UI"/>
          <w:color w:val="2E74B5"/>
        </w:rPr>
        <w:t>1-4. 「低ROEの罠（Value Trap）」vs「本物のバリュー」判定</w:t>
      </w:r>
    </w:p>
    <w:p/>
    <w:p>
      <w:pPr>
        <w:shd w:val="clear" w:color="auto" w:fill="F2F2F2"/>
      </w:pPr>
      <w:r>
        <w:rPr>
          <w:rFonts w:ascii="Courier New" w:hAnsi="Courier New"/>
          <w:sz w:val="16"/>
        </w:rPr>
        <w:t>【判定マトリクス】</w:t>
        <w:br/>
        <w:br/>
        <w:t xml:space="preserve">              | ROE改善の見通し | 資産含み益 | カタリスト | 判定</w:t>
        <w:br/>
        <w:t>────────────────────────────────────────────────────────</w:t>
        <w:br/>
        <w:t>Value Trap   |    なし         |    なし    |    なし    | 売り</w:t>
        <w:br/>
        <w:t>グレーゾーン  |    弱い         |    あり    |    弱い    | 中立</w:t>
        <w:br/>
        <w:t>本物バリュー  |    明確         |    大きい  |    複数    | 買い</w:t>
        <w:br/>
        <w:t>────────────────────────────────────────────────────────</w:t>
        <w:br/>
        <w:t>太平洋セメント|   △ 弱い〜中程度|  ◎ 大きい |  △ 限定的  | グレーゾーン〜本物バリュー境界</w:t>
      </w:r>
    </w:p>
    <w:p/>
    <w:p>
      <w:r>
        <w:rPr>
          <w:rFonts w:ascii="Meiryo UI" w:hAnsi="Meiryo UI"/>
          <w:sz w:val="20"/>
        </w:rPr>
        <w:t>【深井の最終判定: グレーゾーン寄りの「条件付き本物バリュー」】</w:t>
      </w:r>
    </w:p>
    <w:p/>
    <w:p>
      <w:r>
        <w:rPr>
          <w:rFonts w:ascii="Meiryo UI" w:hAnsi="Meiryo UI"/>
          <w:sz w:val="20"/>
        </w:rPr>
        <w:t>本物バリューとみなせる根拠:</w:t>
      </w:r>
    </w:p>
    <w:p>
      <w:pPr>
        <w:pStyle w:val="ListNumber"/>
      </w:pPr>
      <w:r>
        <w:rPr>
          <w:rFonts w:ascii="Meiryo UI" w:hAnsi="Meiryo UI"/>
          <w:sz w:val="20"/>
        </w:rPr>
        <w:t>石灰石鉱山の埋蔵量価値（後述③で詳述）が帳簿価額を大幅に上回る</w:t>
      </w:r>
    </w:p>
    <w:p>
      <w:pPr>
        <w:pStyle w:val="ListNumber"/>
      </w:pPr>
      <w:r>
        <w:rPr>
          <w:rFonts w:ascii="Meiryo UI" w:hAnsi="Meiryo UI"/>
          <w:sz w:val="20"/>
        </w:rPr>
        <w:t>PBR0.66倍＝純資産を34%ディスカウントして買える水準</w:t>
      </w:r>
    </w:p>
    <w:p>
      <w:pPr>
        <w:pStyle w:val="ListNumber"/>
      </w:pPr>
      <w:r>
        <w:rPr>
          <w:rFonts w:ascii="Meiryo UI" w:hAnsi="Meiryo UI"/>
          <w:sz w:val="20"/>
        </w:rPr>
        <w:t>生コン需要の底打ち（+0.8%）は2〜3年サイクルの底に近い可能性</w:t>
      </w:r>
    </w:p>
    <w:p>
      <w:pPr>
        <w:pStyle w:val="ListNumber"/>
      </w:pPr>
      <w:r>
        <w:rPr>
          <w:rFonts w:ascii="Meiryo UI" w:hAnsi="Meiryo UI"/>
          <w:sz w:val="20"/>
        </w:rPr>
        <w:t>廃棄物処理事業のキャッシュ創出能力は簿価以上</w:t>
      </w:r>
    </w:p>
    <w:p/>
    <w:p>
      <w:r>
        <w:rPr>
          <w:rFonts w:ascii="Meiryo UI" w:hAnsi="Meiryo UI"/>
          <w:sz w:val="20"/>
        </w:rPr>
        <w:t>Value Trapとの境界線にある懸念:</w:t>
      </w:r>
    </w:p>
    <w:p>
      <w:pPr>
        <w:pStyle w:val="ListNumber"/>
      </w:pPr>
      <w:r>
        <w:rPr>
          <w:rFonts w:ascii="Meiryo UI" w:hAnsi="Meiryo UI"/>
          <w:sz w:val="20"/>
        </w:rPr>
        <w:t>ROE3.7%→8%への道筋が不明確（需要回復依存度高）</w:t>
      </w:r>
    </w:p>
    <w:p>
      <w:pPr>
        <w:pStyle w:val="ListNumber"/>
      </w:pPr>
      <w:r>
        <w:rPr>
          <w:rFonts w:ascii="Meiryo UI" w:hAnsi="Meiryo UI"/>
          <w:sz w:val="20"/>
        </w:rPr>
        <w:t>自社株買い不実施により株価カタリスト1年不在</w:t>
      </w:r>
    </w:p>
    <w:p>
      <w:pPr>
        <w:pStyle w:val="ListNumber"/>
      </w:pPr>
      <w:r>
        <w:rPr>
          <w:rFonts w:ascii="Meiryo UI" w:hAnsi="Meiryo UI"/>
          <w:sz w:val="20"/>
        </w:rPr>
        <w:t>セメント需要の構造的減少（人口減・着工数減）は長期リスク</w:t>
      </w:r>
    </w:p>
    <w:p>
      <w:pPr>
        <w:pStyle w:val="ListNumber"/>
      </w:pPr>
      <w:r>
        <w:rPr>
          <w:rFonts w:ascii="Meiryo UI" w:hAnsi="Meiryo UI"/>
          <w:sz w:val="20"/>
        </w:rPr>
        <w:t>エネルギーコスト増（LPG+38%）の短期的収益圧迫</w:t>
      </w:r>
    </w:p>
    <w:p/>
    <w:p>
      <w:r>
        <w:rPr>
          <w:rFonts w:ascii="Meiryo UI" w:hAnsi="Meiryo UI"/>
          <w:sz w:val="20"/>
        </w:rPr>
        <w:t>&gt; 結論: 太平洋セメントは「純粋なValue Trapではなく、石灰石鉱山NAVと需要底打ちを根拠とした条件付き割安株（Conditional Value Buy）」と判定。ただし、ROE改善の具体的シグナルが確認できるまでは積極的な「強い買い」は推奨しない。</w:t>
      </w:r>
    </w:p>
    <w:p/>
    <w:p>
      <w:r>
        <w:t>──────────────────────────────────────────────────</w:t>
      </w:r>
    </w:p>
    <w:p/>
    <w:p>
      <w:pPr>
        <w:pStyle w:val="Heading2"/>
      </w:pPr>
      <w:r>
        <w:rPr>
          <w:rFonts w:ascii="Meiryo UI" w:hAnsi="Meiryo UI"/>
          <w:color w:val="2E74B5"/>
        </w:rPr>
        <w:t>② 自社株買いなし1年の影響評価</w:t>
      </w:r>
    </w:p>
    <w:p/>
    <w:p>
      <w:pPr>
        <w:pStyle w:val="Heading3"/>
      </w:pPr>
      <w:r>
        <w:rPr>
          <w:rFonts w:ascii="Meiryo UI" w:hAnsi="Meiryo UI"/>
          <w:color w:val="2E74B5"/>
        </w:rPr>
        <w:t>2-1. 自社株買い不実施の理由推定</w:t>
      </w:r>
    </w:p>
    <w:p/>
    <w:p>
      <w:pPr>
        <w:shd w:val="clear" w:color="auto" w:fill="F2F2F2"/>
      </w:pPr>
      <w:r>
        <w:rPr>
          <w:rFonts w:ascii="Courier New" w:hAnsi="Courier New"/>
          <w:sz w:val="16"/>
        </w:rPr>
        <w:t>【推定優先順位】</w:t>
        <w:br/>
        <w:br/>
        <w:t>1位: 設備投資・CAPEX優先（確率55%）</w:t>
        <w:br/>
        <w:t xml:space="preserve">   - セメントキルンの更新・環境設備投資</w:t>
        <w:br/>
        <w:t xml:space="preserve">   - 廃棄物処理施設の拡充</w:t>
        <w:br/>
        <w:t xml:space="preserve">   - 米国Giant Cementの設備更新</w:t>
        <w:br/>
        <w:t xml:space="preserve">   - FY2025〜2027の設備投資計画が積極的な可能性</w:t>
        <w:br/>
        <w:br/>
        <w:t>2位: 有利子負債の削減優先（確率30%）</w:t>
        <w:br/>
        <w:t xml:space="preserve">   - FY2025の業績悪化（-14.2%）で自由キャッシュフローが減少</w:t>
        <w:br/>
        <w:t xml:space="preserve">   - 財務格付け維持のための優先返済</w:t>
        <w:br/>
        <w:t xml:space="preserve">   - ネット有利子負債比率の正常化</w:t>
        <w:br/>
        <w:br/>
        <w:t>3位: FCF不足（確率15%）</w:t>
        <w:br/>
        <w:t xml:space="preserve">   - FY2025の深い業績低迷がFCFを圧迫</w:t>
        <w:br/>
        <w:t xml:space="preserve">   - 自社株買いの原資確保が困難</w:t>
      </w:r>
    </w:p>
    <w:p/>
    <w:p>
      <w:pPr>
        <w:pStyle w:val="Heading3"/>
      </w:pPr>
      <w:r>
        <w:rPr>
          <w:rFonts w:ascii="Meiryo UI" w:hAnsi="Meiryo UI"/>
          <w:color w:val="2E74B5"/>
        </w:rPr>
        <w:t>2-2. 自社株買い再開の条件とタイムライン</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条件</w:t>
            </w:r>
          </w:p>
        </w:tc>
        <w:tc>
          <w:tcPr>
            <w:tcW w:type="dxa" w:w="2351"/>
            <w:shd w:val="clear" w:color="auto" w:fill="2E74B5"/>
          </w:tcPr>
          <w:p>
            <w:r>
              <w:rPr>
                <w:rFonts w:ascii="Meiryo UI" w:hAnsi="Meiryo UI"/>
                <w:b/>
                <w:color w:val="FFFFFF"/>
                <w:sz w:val="18"/>
              </w:rPr>
              <w:t>現状</w:t>
            </w:r>
          </w:p>
        </w:tc>
        <w:tc>
          <w:tcPr>
            <w:tcW w:type="dxa" w:w="2351"/>
            <w:shd w:val="clear" w:color="auto" w:fill="2E74B5"/>
          </w:tcPr>
          <w:p>
            <w:r>
              <w:rPr>
                <w:rFonts w:ascii="Meiryo UI" w:hAnsi="Meiryo UI"/>
                <w:b/>
                <w:color w:val="FFFFFF"/>
                <w:sz w:val="18"/>
              </w:rPr>
              <w:t>達成目安</w:t>
            </w:r>
          </w:p>
        </w:tc>
        <w:tc>
          <w:tcPr>
            <w:tcW w:type="dxa" w:w="2351"/>
            <w:shd w:val="clear" w:color="auto" w:fill="2E74B5"/>
          </w:tcPr>
          <w:p>
            <w:r>
              <w:rPr>
                <w:rFonts w:ascii="Meiryo UI" w:hAnsi="Meiryo UI"/>
                <w:b/>
                <w:color w:val="FFFFFF"/>
                <w:sz w:val="18"/>
              </w:rPr>
              <w:t>達成確率</w:t>
            </w:r>
          </w:p>
        </w:tc>
      </w:tr>
      <w:tr>
        <w:tc>
          <w:tcPr>
            <w:tcW w:type="dxa" w:w="2351"/>
          </w:tcPr>
          <w:p>
            <w:r>
              <w:rPr>
                <w:rFonts w:ascii="Meiryo UI" w:hAnsi="Meiryo UI"/>
                <w:sz w:val="18"/>
              </w:rPr>
              <w:t>ROE5%以上の回復</w:t>
            </w:r>
          </w:p>
        </w:tc>
        <w:tc>
          <w:tcPr>
            <w:tcW w:type="dxa" w:w="2351"/>
          </w:tcPr>
          <w:p>
            <w:r>
              <w:rPr>
                <w:rFonts w:ascii="Meiryo UI" w:hAnsi="Meiryo UI"/>
                <w:sz w:val="18"/>
              </w:rPr>
              <w:t>3.7%</w:t>
            </w:r>
          </w:p>
        </w:tc>
        <w:tc>
          <w:tcPr>
            <w:tcW w:type="dxa" w:w="2351"/>
          </w:tcPr>
          <w:p>
            <w:r>
              <w:rPr>
                <w:rFonts w:ascii="Meiryo UI" w:hAnsi="Meiryo UI"/>
                <w:sz w:val="18"/>
              </w:rPr>
              <w:t>FY2027/3（約1年後）</w:t>
            </w:r>
          </w:p>
        </w:tc>
        <w:tc>
          <w:tcPr>
            <w:tcW w:type="dxa" w:w="2351"/>
          </w:tcPr>
          <w:p>
            <w:r>
              <w:rPr>
                <w:rFonts w:ascii="Meiryo UI" w:hAnsi="Meiryo UI"/>
                <w:sz w:val="18"/>
              </w:rPr>
              <w:t>55%</w:t>
            </w:r>
          </w:p>
        </w:tc>
      </w:tr>
      <w:tr>
        <w:tc>
          <w:tcPr>
            <w:tcW w:type="dxa" w:w="2351"/>
            <w:shd w:val="clear" w:color="auto" w:fill="DDEBF7"/>
          </w:tcPr>
          <w:p>
            <w:r>
              <w:rPr>
                <w:rFonts w:ascii="Meiryo UI" w:hAnsi="Meiryo UI"/>
                <w:sz w:val="18"/>
              </w:rPr>
              <w:t>ネット有利子負債比率の改善</w:t>
            </w:r>
          </w:p>
        </w:tc>
        <w:tc>
          <w:tcPr>
            <w:tcW w:type="dxa" w:w="2351"/>
            <w:shd w:val="clear" w:color="auto" w:fill="DDEBF7"/>
          </w:tcPr>
          <w:p>
            <w:r>
              <w:rPr>
                <w:rFonts w:ascii="Meiryo UI" w:hAnsi="Meiryo UI"/>
                <w:sz w:val="18"/>
              </w:rPr>
              <w:t>推定D/E &gt; 1.0倍</w:t>
            </w:r>
          </w:p>
        </w:tc>
        <w:tc>
          <w:tcPr>
            <w:tcW w:type="dxa" w:w="2351"/>
            <w:shd w:val="clear" w:color="auto" w:fill="DDEBF7"/>
          </w:tcPr>
          <w:p>
            <w:r>
              <w:rPr>
                <w:rFonts w:ascii="Meiryo UI" w:hAnsi="Meiryo UI"/>
                <w:sz w:val="18"/>
              </w:rPr>
              <w:t>D/E ≈ 0.8倍</w:t>
            </w:r>
          </w:p>
        </w:tc>
        <w:tc>
          <w:tcPr>
            <w:tcW w:type="dxa" w:w="2351"/>
            <w:shd w:val="clear" w:color="auto" w:fill="DDEBF7"/>
          </w:tcPr>
          <w:p>
            <w:r>
              <w:rPr>
                <w:rFonts w:ascii="Meiryo UI" w:hAnsi="Meiryo UI"/>
                <w:sz w:val="18"/>
              </w:rPr>
              <w:t>60%</w:t>
            </w:r>
          </w:p>
        </w:tc>
      </w:tr>
      <w:tr>
        <w:tc>
          <w:tcPr>
            <w:tcW w:type="dxa" w:w="2351"/>
          </w:tcPr>
          <w:p>
            <w:r>
              <w:rPr>
                <w:rFonts w:ascii="Meiryo UI" w:hAnsi="Meiryo UI"/>
                <w:sz w:val="18"/>
              </w:rPr>
              <w:t>国内需要回復（前年比+3%以上）</w:t>
            </w:r>
          </w:p>
        </w:tc>
        <w:tc>
          <w:tcPr>
            <w:tcW w:type="dxa" w:w="2351"/>
          </w:tcPr>
          <w:p>
            <w:r>
              <w:rPr>
                <w:rFonts w:ascii="Meiryo UI" w:hAnsi="Meiryo UI"/>
                <w:sz w:val="18"/>
              </w:rPr>
              <w:t>+0.8%（底打ち）</w:t>
            </w:r>
          </w:p>
        </w:tc>
        <w:tc>
          <w:tcPr>
            <w:tcW w:type="dxa" w:w="2351"/>
          </w:tcPr>
          <w:p>
            <w:r>
              <w:rPr>
                <w:rFonts w:ascii="Meiryo UI" w:hAnsi="Meiryo UI"/>
                <w:sz w:val="18"/>
              </w:rPr>
              <w:t>FY2026後半〜FY2027</w:t>
            </w:r>
          </w:p>
        </w:tc>
        <w:tc>
          <w:tcPr>
            <w:tcW w:type="dxa" w:w="2351"/>
          </w:tcPr>
          <w:p>
            <w:r>
              <w:rPr>
                <w:rFonts w:ascii="Meiryo UI" w:hAnsi="Meiryo UI"/>
                <w:sz w:val="18"/>
              </w:rPr>
              <w:t>50%</w:t>
            </w:r>
          </w:p>
        </w:tc>
      </w:tr>
      <w:tr>
        <w:tc>
          <w:tcPr>
            <w:tcW w:type="dxa" w:w="2351"/>
            <w:shd w:val="clear" w:color="auto" w:fill="DDEBF7"/>
          </w:tcPr>
          <w:p>
            <w:r>
              <w:rPr>
                <w:rFonts w:ascii="Meiryo UI" w:hAnsi="Meiryo UI"/>
                <w:sz w:val="18"/>
              </w:rPr>
              <w:t>フリーキャッシュフロー黒字確保</w:t>
            </w:r>
          </w:p>
        </w:tc>
        <w:tc>
          <w:tcPr>
            <w:tcW w:type="dxa" w:w="2351"/>
            <w:shd w:val="clear" w:color="auto" w:fill="DDEBF7"/>
          </w:tcPr>
          <w:p>
            <w:r>
              <w:rPr>
                <w:rFonts w:ascii="Meiryo UI" w:hAnsi="Meiryo UI"/>
                <w:sz w:val="18"/>
              </w:rPr>
              <w:t>限定的</w:t>
            </w:r>
          </w:p>
        </w:tc>
        <w:tc>
          <w:tcPr>
            <w:tcW w:type="dxa" w:w="2351"/>
            <w:shd w:val="clear" w:color="auto" w:fill="DDEBF7"/>
          </w:tcPr>
          <w:p>
            <w:r>
              <w:rPr>
                <w:rFonts w:ascii="Meiryo UI" w:hAnsi="Meiryo UI"/>
                <w:sz w:val="18"/>
              </w:rPr>
              <w:t>FY2027/3期</w:t>
            </w:r>
          </w:p>
        </w:tc>
        <w:tc>
          <w:tcPr>
            <w:tcW w:type="dxa" w:w="2351"/>
            <w:shd w:val="clear" w:color="auto" w:fill="DDEBF7"/>
          </w:tcPr>
          <w:p>
            <w:r>
              <w:rPr>
                <w:rFonts w:ascii="Meiryo UI" w:hAnsi="Meiryo UI"/>
                <w:sz w:val="18"/>
              </w:rPr>
              <w:t>65%</w:t>
            </w:r>
          </w:p>
        </w:tc>
      </w:tr>
      <w:tr>
        <w:tc>
          <w:tcPr>
            <w:tcW w:type="dxa" w:w="2351"/>
          </w:tcPr>
          <w:p>
            <w:r>
              <w:rPr>
                <w:rFonts w:ascii="Meiryo UI" w:hAnsi="Meiryo UI"/>
                <w:sz w:val="18"/>
              </w:rPr>
              <w:t>全条件充足（自社株買い再開）</w:t>
            </w:r>
          </w:p>
        </w:tc>
        <w:tc>
          <w:tcPr>
            <w:tcW w:type="dxa" w:w="2351"/>
          </w:tcPr>
          <w:p>
            <w:r>
              <w:rPr>
                <w:rFonts w:ascii="Meiryo UI" w:hAnsi="Meiryo UI"/>
                <w:sz w:val="18"/>
              </w:rPr>
              <w:t>—</w:t>
            </w:r>
          </w:p>
        </w:tc>
        <w:tc>
          <w:tcPr>
            <w:tcW w:type="dxa" w:w="2351"/>
          </w:tcPr>
          <w:p>
            <w:r>
              <w:rPr>
                <w:rFonts w:ascii="Meiryo UI" w:hAnsi="Meiryo UI"/>
                <w:sz w:val="18"/>
              </w:rPr>
              <w:t>FY2027/3〜FY2028/3</w:t>
            </w:r>
          </w:p>
        </w:tc>
        <w:tc>
          <w:tcPr>
            <w:tcW w:type="dxa" w:w="2351"/>
          </w:tcPr>
          <w:p>
            <w:r>
              <w:rPr>
                <w:rFonts w:ascii="Meiryo UI" w:hAnsi="Meiryo UI"/>
                <w:sz w:val="18"/>
              </w:rPr>
              <w:t>40%</w:t>
            </w:r>
          </w:p>
        </w:tc>
      </w:tr>
    </w:tbl>
    <w:p/>
    <w:p>
      <w:r>
        <w:rPr>
          <w:rFonts w:ascii="Meiryo UI" w:hAnsi="Meiryo UI"/>
          <w:sz w:val="20"/>
        </w:rPr>
        <w:t>&gt; タイムライン: 自社株買い再開は社長発言通り「約1年」後＝2027年4月以降が有力。ただし業績次第で延期リスクもある。</w:t>
      </w:r>
    </w:p>
    <w:p/>
    <w:p>
      <w:pPr>
        <w:pStyle w:val="Heading3"/>
      </w:pPr>
      <w:r>
        <w:rPr>
          <w:rFonts w:ascii="Meiryo UI" w:hAnsi="Meiryo UI"/>
          <w:color w:val="2E74B5"/>
        </w:rPr>
        <w:t>2-3. 自社株買いなし期間中の株価サポート要因</w:t>
      </w:r>
    </w:p>
    <w:p/>
    <w:p>
      <w:r>
        <w:rPr>
          <w:rFonts w:ascii="Meiryo UI" w:hAnsi="Meiryo UI"/>
          <w:sz w:val="20"/>
        </w:rPr>
        <w:t>① 配当利回りによる下値サポート:</w:t>
      </w:r>
    </w:p>
    <w:p/>
    <w:p>
      <w:pPr>
        <w:shd w:val="clear" w:color="auto" w:fill="F2F2F2"/>
      </w:pPr>
      <w:r>
        <w:rPr>
          <w:rFonts w:ascii="Courier New" w:hAnsi="Courier New"/>
          <w:sz w:val="16"/>
        </w:rPr>
        <w:t>配当試算（公開情報ベース）:</w:t>
        <w:br/>
        <w:t xml:space="preserve">  EPS = ¥461</w:t>
        <w:br/>
        <w:t xml:space="preserve">  配当性向 ≈ 25〜30%（セメント業界水準）</w:t>
        <w:br/>
        <w:t xml:space="preserve">  推定DPS = ¥461 × 27.5% ≈ ¥127/株</w:t>
        <w:br/>
        <w:br/>
        <w:t>配当利回り @ ¥3,758:</w:t>
        <w:br/>
        <w:t xml:space="preserve">  = ¥127 / ¥3,758 = 3.38%</w:t>
        <w:br/>
        <w:br/>
        <w:t>→ 日経平均配当利回り（約2.0〜2.5%）を上回る水準</w:t>
        <w:br/>
        <w:t>→ 配当利回り3.5〜4.0%相当の株価水準が事実上の下値メド</w:t>
        <w:br/>
        <w:t xml:space="preserve">  = ¥127 / 3.5% = ¥3,629</w:t>
        <w:br/>
        <w:t xml:space="preserve">  = ¥127 / 4.0% = ¥3,175</w:t>
      </w:r>
    </w:p>
    <w:p/>
    <w:p>
      <w:r>
        <w:rPr>
          <w:rFonts w:ascii="Meiryo UI" w:hAnsi="Meiryo UI"/>
          <w:sz w:val="20"/>
        </w:rPr>
        <w:t>② PBR下限（解散価値）サポート:</w:t>
      </w:r>
    </w:p>
    <w:p/>
    <w:p>
      <w:pPr>
        <w:shd w:val="clear" w:color="auto" w:fill="F2F2F2"/>
      </w:pPr>
      <w:r>
        <w:rPr>
          <w:rFonts w:ascii="Courier New" w:hAnsi="Courier New"/>
          <w:sz w:val="16"/>
        </w:rPr>
        <w:t>理論的清算価値:</w:t>
        <w:br/>
        <w:t xml:space="preserve">  BPS = ¥5,719 × 清算率（50〜60%）</w:t>
        <w:br/>
        <w:t xml:space="preserve">  = ¥2,860〜¥3,431</w:t>
        <w:br/>
        <w:br/>
        <w:t>→ PBR0.5倍水準（¥2,860）が歴史的底値メドとなりやすい</w:t>
        <w:br/>
        <w:t>→ 現在PBR0.66倍は「清算価値+プレミアム」の水準</w:t>
        <w:br/>
        <w:br/>
        <w:t>総合的株価下値サポート:</w:t>
        <w:br/>
        <w:t xml:space="preserve">  配当利回り4%メド: ¥3,175</w:t>
        <w:br/>
        <w:t xml:space="preserve">  PBR0.5倍:        ¥2,860</w:t>
        <w:br/>
        <w:t xml:space="preserve">  現在値:           ¥3,758</w:t>
        <w:br/>
        <w:t xml:space="preserve">  → 下値バッファ: 約-15〜-24%の範囲</w:t>
      </w:r>
    </w:p>
    <w:p/>
    <w:p>
      <w:pPr>
        <w:pStyle w:val="Heading3"/>
      </w:pPr>
      <w:r>
        <w:rPr>
          <w:rFonts w:ascii="Meiryo UI" w:hAnsi="Meiryo UI"/>
          <w:color w:val="2E74B5"/>
        </w:rPr>
        <w:t>2-4. 1年後の自社株買い再開時の株価インパクト試算</w:t>
      </w:r>
    </w:p>
    <w:p/>
    <w:p>
      <w:pPr>
        <w:shd w:val="clear" w:color="auto" w:fill="F2F2F2"/>
      </w:pPr>
      <w:r>
        <w:rPr>
          <w:rFonts w:ascii="Courier New" w:hAnsi="Courier New"/>
          <w:sz w:val="16"/>
        </w:rPr>
        <w:t>自社株買い規模の想定:</w:t>
        <w:br/>
        <w:t xml:space="preserve">  過去の実績（推定）: 年間 50〜100億円規模</w:t>
        <w:br/>
        <w:t xml:space="preserve">  現在の時価総額: ¥3,758 × 350M株 = 約1,315億円</w:t>
        <w:br/>
        <w:t xml:space="preserve">  自社株買い規模: 50〜100億円 = 時価総額の3.8〜7.6%</w:t>
        <w:br/>
        <w:br/>
        <w:t>EPS押上効果:</w:t>
        <w:br/>
        <w:t xml:space="preserve">  50億円の自社株買い → 株式数減少率 ≈ 3.8%</w:t>
        <w:br/>
        <w:t xml:space="preserve">  → EPS押上: ¥461 × 1.038 = ¥478/株（+3.8%）</w:t>
        <w:br/>
        <w:br/>
        <w:t>株価インパクト試算:</w:t>
        <w:br/>
        <w:t xml:space="preserve">  即時インパクト（アナウンスメント効果）: +5〜10%</w:t>
        <w:br/>
        <w:t xml:space="preserve">  EPS改善によるPER適正化: +3〜5%</w:t>
        <w:br/>
        <w:t xml:space="preserve">  総合株価インパクト: +8〜15%</w:t>
        <w:br/>
        <w:t xml:space="preserve">  株価試算: ¥3,758 × 1.10 ≈ ¥4,134（+10%シナリオ）</w:t>
      </w:r>
    </w:p>
    <w:p/>
    <w:p>
      <w:r>
        <w:rPr>
          <w:rFonts w:ascii="Meiryo UI" w:hAnsi="Meiryo UI"/>
          <w:sz w:val="20"/>
        </w:rPr>
        <w:t>&gt; 深井コメント: 自社株買い再開は1年後の最も確実な株価カタリスト。再開アナウンス前に仕込むことが戦略的に有利だが、「1年間のカタリスト不在」は株価の上値を抑制し続ける。</w:t>
      </w:r>
    </w:p>
    <w:p/>
    <w:p>
      <w:r>
        <w:t>──────────────────────────────────────────────────</w:t>
      </w:r>
    </w:p>
    <w:p/>
    <w:p>
      <w:pPr>
        <w:pStyle w:val="Heading2"/>
      </w:pPr>
      <w:r>
        <w:rPr>
          <w:rFonts w:ascii="Meiryo UI" w:hAnsi="Meiryo UI"/>
          <w:color w:val="2E74B5"/>
        </w:rPr>
        <w:t>③ 石灰石鉱山・工場の不動産含み益NAV算出（社長ルール必須）</w:t>
      </w:r>
    </w:p>
    <w:p/>
    <w:p>
      <w:pPr>
        <w:pStyle w:val="Heading3"/>
      </w:pPr>
      <w:r>
        <w:rPr>
          <w:rFonts w:ascii="Meiryo UI" w:hAnsi="Meiryo UI"/>
          <w:color w:val="2E74B5"/>
        </w:rPr>
        <w:t>3-1. 石灰石鉱山の推定NAV</w:t>
      </w:r>
    </w:p>
    <w:p/>
    <w:p>
      <w:r>
        <w:rPr>
          <w:rFonts w:ascii="Meiryo UI" w:hAnsi="Meiryo UI"/>
          <w:sz w:val="20"/>
        </w:rPr>
        <w:t>太平洋セメントの主要鉱山:</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鉱山名</w:t>
            </w:r>
          </w:p>
        </w:tc>
        <w:tc>
          <w:tcPr>
            <w:tcW w:type="dxa" w:w="3135"/>
            <w:shd w:val="clear" w:color="auto" w:fill="2E74B5"/>
          </w:tcPr>
          <w:p>
            <w:r>
              <w:rPr>
                <w:rFonts w:ascii="Meiryo UI" w:hAnsi="Meiryo UI"/>
                <w:b/>
                <w:color w:val="FFFFFF"/>
                <w:sz w:val="18"/>
              </w:rPr>
              <w:t>所在地</w:t>
            </w:r>
          </w:p>
        </w:tc>
        <w:tc>
          <w:tcPr>
            <w:tcW w:type="dxa" w:w="3135"/>
            <w:shd w:val="clear" w:color="auto" w:fill="2E74B5"/>
          </w:tcPr>
          <w:p>
            <w:r>
              <w:rPr>
                <w:rFonts w:ascii="Meiryo UI" w:hAnsi="Meiryo UI"/>
                <w:b/>
                <w:color w:val="FFFFFF"/>
                <w:sz w:val="18"/>
              </w:rPr>
              <w:t>特徴</w:t>
            </w:r>
          </w:p>
        </w:tc>
      </w:tr>
      <w:tr>
        <w:tc>
          <w:tcPr>
            <w:tcW w:type="dxa" w:w="3135"/>
          </w:tcPr>
          <w:p>
            <w:r>
              <w:rPr>
                <w:rFonts w:ascii="Meiryo UI" w:hAnsi="Meiryo UI"/>
                <w:sz w:val="18"/>
              </w:rPr>
              <w:t>大船渡鉱山</w:t>
            </w:r>
          </w:p>
        </w:tc>
        <w:tc>
          <w:tcPr>
            <w:tcW w:type="dxa" w:w="3135"/>
          </w:tcPr>
          <w:p>
            <w:r>
              <w:rPr>
                <w:rFonts w:ascii="Meiryo UI" w:hAnsi="Meiryo UI"/>
                <w:sz w:val="18"/>
              </w:rPr>
              <w:t>岩手県大船渡市</w:t>
            </w:r>
          </w:p>
        </w:tc>
        <w:tc>
          <w:tcPr>
            <w:tcW w:type="dxa" w:w="3135"/>
          </w:tcPr>
          <w:p>
            <w:r>
              <w:rPr>
                <w:rFonts w:ascii="Meiryo UI" w:hAnsi="Meiryo UI"/>
                <w:sz w:val="18"/>
              </w:rPr>
              <w:t>国内最大規模の一つ、CaCO3品位90%以上</w:t>
            </w:r>
          </w:p>
        </w:tc>
      </w:tr>
      <w:tr>
        <w:tc>
          <w:tcPr>
            <w:tcW w:type="dxa" w:w="3135"/>
            <w:shd w:val="clear" w:color="auto" w:fill="DDEBF7"/>
          </w:tcPr>
          <w:p>
            <w:r>
              <w:rPr>
                <w:rFonts w:ascii="Meiryo UI" w:hAnsi="Meiryo UI"/>
                <w:sz w:val="18"/>
              </w:rPr>
              <w:t>藤原鉱山</w:t>
            </w:r>
          </w:p>
        </w:tc>
        <w:tc>
          <w:tcPr>
            <w:tcW w:type="dxa" w:w="3135"/>
            <w:shd w:val="clear" w:color="auto" w:fill="DDEBF7"/>
          </w:tcPr>
          <w:p>
            <w:r>
              <w:rPr>
                <w:rFonts w:ascii="Meiryo UI" w:hAnsi="Meiryo UI"/>
                <w:sz w:val="18"/>
              </w:rPr>
              <w:t>栃木県日光市</w:t>
            </w:r>
          </w:p>
        </w:tc>
        <w:tc>
          <w:tcPr>
            <w:tcW w:type="dxa" w:w="3135"/>
            <w:shd w:val="clear" w:color="auto" w:fill="DDEBF7"/>
          </w:tcPr>
          <w:p>
            <w:r>
              <w:rPr>
                <w:rFonts w:ascii="Meiryo UI" w:hAnsi="Meiryo UI"/>
                <w:sz w:val="18"/>
              </w:rPr>
              <w:t>高品位石灰石、関東圏への供給拠点</w:t>
            </w:r>
          </w:p>
        </w:tc>
      </w:tr>
      <w:tr>
        <w:tc>
          <w:tcPr>
            <w:tcW w:type="dxa" w:w="3135"/>
          </w:tcPr>
          <w:p>
            <w:r>
              <w:rPr>
                <w:rFonts w:ascii="Meiryo UI" w:hAnsi="Meiryo UI"/>
                <w:sz w:val="18"/>
              </w:rPr>
              <w:t>豊浦鉱山</w:t>
            </w:r>
          </w:p>
        </w:tc>
        <w:tc>
          <w:tcPr>
            <w:tcW w:type="dxa" w:w="3135"/>
          </w:tcPr>
          <w:p>
            <w:r>
              <w:rPr>
                <w:rFonts w:ascii="Meiryo UI" w:hAnsi="Meiryo UI"/>
                <w:sz w:val="18"/>
              </w:rPr>
              <w:t>山口県下関市</w:t>
            </w:r>
          </w:p>
        </w:tc>
        <w:tc>
          <w:tcPr>
            <w:tcW w:type="dxa" w:w="3135"/>
          </w:tcPr>
          <w:p>
            <w:r>
              <w:rPr>
                <w:rFonts w:ascii="Meiryo UI" w:hAnsi="Meiryo UI"/>
                <w:sz w:val="18"/>
              </w:rPr>
              <w:t>九州・西日本の供給拠点</w:t>
            </w:r>
          </w:p>
        </w:tc>
      </w:tr>
      <w:tr>
        <w:tc>
          <w:tcPr>
            <w:tcW w:type="dxa" w:w="3135"/>
            <w:shd w:val="clear" w:color="auto" w:fill="DDEBF7"/>
          </w:tcPr>
          <w:p>
            <w:r>
              <w:rPr>
                <w:rFonts w:ascii="Meiryo UI" w:hAnsi="Meiryo UI"/>
                <w:sz w:val="18"/>
              </w:rPr>
              <w:t>秩父鉱山</w:t>
            </w:r>
          </w:p>
        </w:tc>
        <w:tc>
          <w:tcPr>
            <w:tcW w:type="dxa" w:w="3135"/>
            <w:shd w:val="clear" w:color="auto" w:fill="DDEBF7"/>
          </w:tcPr>
          <w:p>
            <w:r>
              <w:rPr>
                <w:rFonts w:ascii="Meiryo UI" w:hAnsi="Meiryo UI"/>
                <w:sz w:val="18"/>
              </w:rPr>
              <w:t>埼玉県秩父市</w:t>
            </w:r>
          </w:p>
        </w:tc>
        <w:tc>
          <w:tcPr>
            <w:tcW w:type="dxa" w:w="3135"/>
            <w:shd w:val="clear" w:color="auto" w:fill="DDEBF7"/>
          </w:tcPr>
          <w:p>
            <w:r>
              <w:rPr>
                <w:rFonts w:ascii="Meiryo UI" w:hAnsi="Meiryo UI"/>
                <w:sz w:val="18"/>
              </w:rPr>
              <w:t>歴史的鉱山、首都圏近接</w:t>
            </w:r>
          </w:p>
        </w:tc>
      </w:tr>
      <w:tr>
        <w:tc>
          <w:tcPr>
            <w:tcW w:type="dxa" w:w="3135"/>
          </w:tcPr>
          <w:p>
            <w:r>
              <w:rPr>
                <w:rFonts w:ascii="Meiryo UI" w:hAnsi="Meiryo UI"/>
                <w:sz w:val="18"/>
              </w:rPr>
              <w:t>その他複数鉱山</w:t>
            </w:r>
          </w:p>
        </w:tc>
        <w:tc>
          <w:tcPr>
            <w:tcW w:type="dxa" w:w="3135"/>
          </w:tcPr>
          <w:p>
            <w:r>
              <w:rPr>
                <w:rFonts w:ascii="Meiryo UI" w:hAnsi="Meiryo UI"/>
                <w:sz w:val="18"/>
              </w:rPr>
              <w:t>全国</w:t>
            </w:r>
          </w:p>
        </w:tc>
        <w:tc>
          <w:tcPr>
            <w:tcW w:type="dxa" w:w="3135"/>
          </w:tcPr>
          <w:p>
            <w:r>
              <w:rPr>
                <w:rFonts w:ascii="Meiryo UI" w:hAnsi="Meiryo UI"/>
                <w:sz w:val="18"/>
              </w:rPr>
              <w:t>合計6〜8鉱山体制</w:t>
            </w:r>
          </w:p>
        </w:tc>
      </w:tr>
    </w:tbl>
    <w:p/>
    <w:p>
      <w:r>
        <w:rPr>
          <w:rFonts w:ascii="Meiryo UI" w:hAnsi="Meiryo UI"/>
          <w:sz w:val="20"/>
        </w:rPr>
        <w:t>埋蔵量・価値試算:</w:t>
      </w:r>
    </w:p>
    <w:p/>
    <w:p>
      <w:pPr>
        <w:shd w:val="clear" w:color="auto" w:fill="F2F2F2"/>
      </w:pPr>
      <w:r>
        <w:rPr>
          <w:rFonts w:ascii="Courier New" w:hAnsi="Courier New"/>
          <w:sz w:val="16"/>
        </w:rPr>
        <w:t>【推定埋蔵量】</w:t>
        <w:br/>
        <w:t xml:space="preserve">  国内主要鉱山合計: 約20〜30億トン（推定可採埋蔵量）</w:t>
        <w:br/>
        <w:t xml:space="preserve">  ※大手セメント各社の鉱山保有規模から類推</w:t>
        <w:br/>
        <w:br/>
        <w:t>【石灰石の市場価値】</w:t>
        <w:br/>
        <w:t xml:space="preserve">  石灰石市価: 約1,500〜2,500円/トン（工業用・建設用）</w:t>
        <w:br/>
        <w:t xml:space="preserve">  採掘コスト: 約300〜500円/トン</w:t>
        <w:br/>
        <w:t xml:space="preserve">  ネット価値: 約1,200〜2,000円/トン</w:t>
        <w:br/>
        <w:br/>
        <w:t>【鉱山NAV試算（ベースケース）】</w:t>
        <w:br/>
        <w:t xml:space="preserve">  可採埋蔵量: 25億トン（中央値）</w:t>
        <w:br/>
        <w:t xml:space="preserve">  今後の年間採掘量: 約2,500万トン（推定）</w:t>
        <w:br/>
        <w:t xml:space="preserve">  採掘残存年数: 25億 ÷ 2,500万 = 100年</w:t>
        <w:br/>
        <w:t xml:space="preserve">  </w:t>
        <w:br/>
        <w:t xml:space="preserve">  DCF法による現在価値（割引率8%、採掘ペース一定）:</w:t>
        <w:br/>
        <w:t xml:space="preserve">  </w:t>
        <w:br/>
        <w:t xml:space="preserve">  年間FCF ≈ 2,500万t × (1,700円 - 400円) = 約325億円/年</w:t>
        <w:br/>
        <w:t xml:space="preserve">  永続価値PV（100年、r=8%） ≈ 325億 × [(1-(1.08)^-100)/0.08]</w:t>
        <w:br/>
        <w:t xml:space="preserve">                            ≈ 325億 × 12.49</w:t>
        <w:br/>
        <w:t xml:space="preserve">                            ≈ 4,059億円</w:t>
        <w:br/>
        <w:br/>
        <w:t xml:space="preserve">  保守的割引（採掘リスク・環境規制コスト差引き50%）:</w:t>
        <w:br/>
        <w:t xml:space="preserve">  鉱山NAV = 4,059億 × 50% = 約2,030億円</w:t>
        <w:br/>
        <w:br/>
        <w:t>【簿価との乖離】</w:t>
        <w:br/>
        <w:t xml:space="preserve">  推定鉱山関連簿価: 約300〜500億円（有形固定資産中の土地・鉱業権）</w:t>
        <w:br/>
        <w:t xml:space="preserve">  鉱山含み益 = 2,030億 - 400億（簿価中央値）= 約1,630億円</w:t>
      </w:r>
    </w:p>
    <w:p/>
    <w:p>
      <w:pPr>
        <w:pStyle w:val="Heading3"/>
      </w:pPr>
      <w:r>
        <w:rPr>
          <w:rFonts w:ascii="Meiryo UI" w:hAnsi="Meiryo UI"/>
          <w:color w:val="2E74B5"/>
        </w:rPr>
        <w:t>3-2. セメント工場・流通拠点の不動産価値</w:t>
      </w:r>
    </w:p>
    <w:p/>
    <w:p>
      <w:pPr>
        <w:shd w:val="clear" w:color="auto" w:fill="F2F2F2"/>
      </w:pPr>
      <w:r>
        <w:rPr>
          <w:rFonts w:ascii="Courier New" w:hAnsi="Courier New"/>
          <w:sz w:val="16"/>
        </w:rPr>
        <w:t>【主要工場・拠点】</w:t>
        <w:br/>
        <w:t xml:space="preserve">  製造拠点: 国内7〜8工場（大船渡・藤原・熊谷・敦賀・九州・四国等）</w:t>
        <w:br/>
        <w:t xml:space="preserve">  流通拠点: サービスステーション 約100拠点以上（全国）</w:t>
        <w:br/>
        <w:t xml:space="preserve">  その他:   研究所・本社用地</w:t>
        <w:br/>
        <w:br/>
        <w:t>【土地時価 vs 簿価試算】</w:t>
        <w:br/>
        <w:t xml:space="preserve">  工場用地（製造拠点）:</w:t>
        <w:br/>
        <w:t xml:space="preserve">    平均面積: 20〜50万m²/拠点 × 8拠点</w:t>
        <w:br/>
        <w:t xml:space="preserve">    取得単価（低評価): 10,000〜50,000円/m²（地方・工業地帯）</w:t>
        <w:br/>
        <w:t xml:space="preserve">    時価単価: 30,000〜80,000円/m²（インフラ整備・再開発圧力）</w:t>
        <w:br/>
        <w:t xml:space="preserve">    </w:t>
        <w:br/>
        <w:t xml:space="preserve">    簿価推定: 約300億円（取得コストベース）</w:t>
        <w:br/>
        <w:t xml:space="preserve">    時価推定: 約600〜900億円</w:t>
        <w:br/>
        <w:t xml:space="preserve">    含み益: 約300〜600億円</w:t>
        <w:br/>
        <w:br/>
        <w:t xml:space="preserve">  流通・ SS拠点（100拠点）:</w:t>
        <w:br/>
        <w:t xml:space="preserve">    平均面積: 5,000m²/拠点</w:t>
        <w:br/>
        <w:t xml:space="preserve">    全体時価: 5,000m² × 100 × 50,000円/m² = 250億円</w:t>
        <w:br/>
        <w:t xml:space="preserve">    簿価: 約100〜150億円</w:t>
        <w:br/>
        <w:t xml:space="preserve">    含み益: 約100〜150億円</w:t>
        <w:br/>
        <w:br/>
        <w:t xml:space="preserve">  工場・拠点 不動産含み益合計: 約400〜750億円</w:t>
      </w:r>
    </w:p>
    <w:p/>
    <w:p>
      <w:pPr>
        <w:pStyle w:val="Heading3"/>
      </w:pPr>
      <w:r>
        <w:rPr>
          <w:rFonts w:ascii="Meiryo UI" w:hAnsi="Meiryo UI"/>
          <w:color w:val="2E74B5"/>
        </w:rPr>
        <w:t>3-3. 廃棄物処理事業の資産価値</w:t>
      </w:r>
    </w:p>
    <w:p/>
    <w:p>
      <w:pPr>
        <w:shd w:val="clear" w:color="auto" w:fill="F2F2F2"/>
      </w:pPr>
      <w:r>
        <w:rPr>
          <w:rFonts w:ascii="Courier New" w:hAnsi="Courier New"/>
          <w:sz w:val="16"/>
        </w:rPr>
        <w:t>【廃棄物処理事業 DCF価値試算】</w:t>
        <w:br/>
        <w:br/>
        <w:t xml:space="preserve">  年間受入量: 約450万トン（推定）</w:t>
        <w:br/>
        <w:t xml:space="preserve">  廃棄物処理単価: 約8,000〜15,000円/トン（産廃の種類により異なる）</w:t>
        <w:br/>
        <w:t xml:space="preserve">  推定年間収入: 450万t × 10,000円/t = 約450億円</w:t>
        <w:br/>
        <w:t xml:space="preserve">  </w:t>
        <w:br/>
        <w:t xml:space="preserve">  廃棄物処理の限界コスト:</w:t>
        <w:br/>
        <w:t xml:space="preserve">    （既存キルン設備を流用するため固定費は別途計上）</w:t>
        <w:br/>
        <w:t xml:space="preserve">    変動コスト: 約3,000〜5,000円/トン</w:t>
        <w:br/>
        <w:t xml:space="preserve">    EBIT: 450億 - (4,000 × 450万) = 450億 - 180億 = 270億円</w:t>
        <w:br/>
        <w:t xml:space="preserve">    </w:t>
        <w:br/>
        <w:t xml:space="preserve">  廃棄物処理事業PV（r=8%、g=2%、永続）:</w:t>
        <w:br/>
        <w:t xml:space="preserve">    = 270億 × (1+0.02) / (0.08 - 0.02)</w:t>
        <w:br/>
        <w:t xml:space="preserve">    = 275.4億 / 0.06</w:t>
        <w:br/>
        <w:t xml:space="preserve">    = 約4,590億円</w:t>
        <w:br/>
        <w:t xml:space="preserve">    </w:t>
        <w:br/>
        <w:t xml:space="preserve">  ※ 過大評価回避のため50%ディスカウント適用:</w:t>
        <w:br/>
        <w:t xml:space="preserve">    = 4,590億 × 50% = 約2,295億円</w:t>
        <w:br/>
        <w:t xml:space="preserve">    </w:t>
        <w:br/>
        <w:t xml:space="preserve">  ※ 廃棄物処理事業の簿価貢献分（セメント事業含む）を差引き調整:</w:t>
        <w:br/>
        <w:t xml:space="preserve">    追加価値（ソフトアセット含む）≈ 約500〜800億円</w:t>
      </w:r>
    </w:p>
    <w:p/>
    <w:p>
      <w:pPr>
        <w:pStyle w:val="Heading3"/>
      </w:pPr>
      <w:r>
        <w:rPr>
          <w:rFonts w:ascii="Meiryo UI" w:hAnsi="Meiryo UI"/>
          <w:color w:val="2E74B5"/>
        </w:rPr>
        <w:t>3-4. 含み益加算後のNAV/株算出</w:t>
      </w:r>
    </w:p>
    <w:p/>
    <w:p>
      <w:pPr>
        <w:shd w:val="clear" w:color="auto" w:fill="F2F2F2"/>
      </w:pPr>
      <w:r>
        <w:rPr>
          <w:rFonts w:ascii="Courier New" w:hAnsi="Courier New"/>
          <w:sz w:val="16"/>
        </w:rPr>
        <w:t>【NAV合計試算】</w:t>
        <w:br/>
        <w:br/>
        <w:t>項目                        |  保守値   |  中央値   |  楽観値</w:t>
        <w:br/>
        <w:t>━━━━━━━━━━━━━━━━━━━━━━━━━━━━━━━━━━━━━━━━━━━━━━━</w:t>
        <w:br/>
        <w:t>①帳簿純資産（BPS×株式数）   | 2,002億円 | 2,002億円 | 2,002億円</w:t>
        <w:br/>
        <w:t>②石灰石鉱山含み益           |   810億円 | 1,630億円 | 2,450億円</w:t>
        <w:br/>
        <w:t>③工場・流通拠点 不動産含み益  |   400億円 |   580億円 |   750億円</w:t>
        <w:br/>
        <w:t>④廃棄物処理事業 超過価値     |   300億円 |   550億円 |   800億円</w:t>
        <w:br/>
        <w:t>⑤米国Giant Cement価値調整   |   200億円 |   400億円 |   600億円</w:t>
        <w:br/>
        <w:t>━━━━━━━━━━━━━━━━━━━━━━━━━━━━━━━━━━━━━━━━━━━━━━━</w:t>
        <w:br/>
        <w:t>NAV合計                     | 3,712億円 | 5,162億円 | 6,602億円</w:t>
        <w:br/>
        <w:t>━━━━━━━━━━━━━━━━━━━━━━━━━━━━━━━━━━━━━━━━━━━━━━━</w:t>
        <w:br/>
        <w:t>株式数（推定）               | 350百万株 | 350百万株 | 350百万株</w:t>
        <w:br/>
        <w:t>━━━━━━━━━━━━━━━━━━━━━━━━━━━━━━━━━━━━━━━━━━━━━━━</w:t>
        <w:br/>
        <w:t>NAV/株                      |  ¥10,606  |  ¥14,749  |  ¥18,863</w:t>
        <w:br/>
        <w:t>━━━━━━━━━━━━━━━━━━━━━━━━━━━━━━━━━━━━━━━━━━━━━━━</w:t>
        <w:br/>
        <w:t>現在株価 ¥3,758に対するNAV割引率| -64.6%  |  -74.5%  |  -80.1%</w:t>
        <w:br/>
        <w:t>BPS¥5,719に対するNAV割引率   | -64.6%   |  -61.3%  |  -80.1%</w:t>
      </w:r>
    </w:p>
    <w:p/>
    <w:p>
      <w:r>
        <w:rPr>
          <w:rFonts w:ascii="Meiryo UI" w:hAnsi="Meiryo UI"/>
          <w:sz w:val="20"/>
        </w:rPr>
        <w:t>【NAV分析の結論】</w:t>
      </w:r>
    </w:p>
    <w:p/>
    <w:p>
      <w:r>
        <w:rPr>
          <w:rFonts w:ascii="Meiryo UI" w:hAnsi="Meiryo UI"/>
          <w:sz w:val="20"/>
        </w:rPr>
        <w:t>&gt; 深井判断: NAV中央値ベース（¥14,749/株）に対し、現在株価¥3,758は74.5%ディスカウントで取引されている。これはPBR0.66倍が示す「簿価割れ」をはるかに超える「資産超割安」水準だ。ただし、石灰石鉱山のNAVは流動性ゼロ（すぐに現金化できない）であり、株式市場では通常50〜70%ディスカウントが適用される。</w:t>
      </w:r>
    </w:p>
    <w:p>
      <w:r>
        <w:rPr>
          <w:rFonts w:ascii="Meiryo UI" w:hAnsi="Meiryo UI"/>
          <w:sz w:val="20"/>
        </w:rPr>
        <w:t>&gt;</w:t>
      </w:r>
    </w:p>
    <w:p>
      <w:r>
        <w:rPr>
          <w:rFonts w:ascii="Meiryo UI" w:hAnsi="Meiryo UI"/>
          <w:sz w:val="20"/>
        </w:rPr>
        <w:t>&gt; 「PBR0.66倍の割安の本質」= 鉱山・不動産含み益（NAV）の市場未認識。これは本物のバリューの根拠となりうる。</w:t>
      </w:r>
    </w:p>
    <w:p/>
    <w:p>
      <w:r>
        <w:t>──────────────────────────────────────────────────</w:t>
      </w:r>
    </w:p>
    <w:p/>
    <w:p>
      <w:pPr>
        <w:pStyle w:val="Heading2"/>
      </w:pPr>
      <w:r>
        <w:rPr>
          <w:rFonts w:ascii="Meiryo UI" w:hAnsi="Meiryo UI"/>
          <w:color w:val="2E74B5"/>
        </w:rPr>
        <w:t>④ 東京生コン+0.8%から読む需要回復シナリオ</w:t>
      </w:r>
    </w:p>
    <w:p/>
    <w:p>
      <w:pPr>
        <w:pStyle w:val="Heading3"/>
      </w:pPr>
      <w:r>
        <w:rPr>
          <w:rFonts w:ascii="Meiryo UI" w:hAnsi="Meiryo UI"/>
          <w:color w:val="2E74B5"/>
        </w:rPr>
        <w:t>4-1. 生コン需要回復予測</w:t>
      </w:r>
    </w:p>
    <w:p/>
    <w:p>
      <w:pPr>
        <w:shd w:val="clear" w:color="auto" w:fill="F2F2F2"/>
      </w:pPr>
      <w:r>
        <w:rPr>
          <w:rFonts w:ascii="Courier New" w:hAnsi="Courier New"/>
          <w:sz w:val="16"/>
        </w:rPr>
        <w:t>【需要回復シナリオ試算】</w:t>
        <w:br/>
        <w:br/>
        <w:t>ベースライン（FY2025実績）:</w:t>
        <w:br/>
        <w:t xml:space="preserve">  国内セメント出荷量: FY2025 前年比 -14.2%</w:t>
        <w:br/>
        <w:t xml:space="preserve">  東京地区3月: 前年同月比 +0.8%（底打ちシグナル）</w:t>
        <w:br/>
        <w:br/>
        <w:t>回復シナリオ（FY2026通期）:</w:t>
        <w:br/>
        <w:t xml:space="preserve">  前提: 東京の底打ちが全国に波及、2Q以降でプラス転換</w:t>
        <w:br/>
        <w:br/>
        <w:t xml:space="preserve">  ベースケース（+3%回復）:</w:t>
        <w:br/>
        <w:t xml:space="preserve">    国内セメント関連売上: ¥4,600億 × (1 + 0.03) × セメント寄与率55%</w:t>
        <w:br/>
        <w:t xml:space="preserve">    = ¥2,530億 × 1.03 = ¥2,606億</w:t>
        <w:br/>
        <w:t xml:space="preserve">    増分: +¥76億</w:t>
        <w:br/>
        <w:br/>
        <w:t xml:space="preserve">  強気ケース（+5%回復）:</w:t>
        <w:br/>
        <w:t xml:space="preserve">    = ¥2,530億 × 1.05 = ¥2,657億</w:t>
        <w:br/>
        <w:t xml:space="preserve">    増分: +¥127億</w:t>
        <w:br/>
        <w:br/>
        <w:t xml:space="preserve">  弱気ケース（+1%微回復）:</w:t>
        <w:br/>
        <w:t xml:space="preserve">    = ¥2,530億 × 1.01 = ¥2,555億</w:t>
        <w:br/>
        <w:t xml:space="preserve">    増分: +¥25億</w:t>
      </w:r>
    </w:p>
    <w:p/>
    <w:p>
      <w:pPr>
        <w:pStyle w:val="Heading3"/>
      </w:pPr>
      <w:r>
        <w:rPr>
          <w:rFonts w:ascii="Meiryo UI" w:hAnsi="Meiryo UI"/>
          <w:color w:val="2E74B5"/>
        </w:rPr>
        <w:t>4-2. 工事消化フェーズの持続時間</w:t>
      </w:r>
    </w:p>
    <w:p/>
    <w:p>
      <w:pPr>
        <w:shd w:val="clear" w:color="auto" w:fill="F2F2F2"/>
      </w:pPr>
      <w:r>
        <w:rPr>
          <w:rFonts w:ascii="Courier New" w:hAnsi="Courier New"/>
          <w:sz w:val="16"/>
        </w:rPr>
        <w:t>【受注残消化フェーズ分析】</w:t>
        <w:br/>
        <w:br/>
        <w:t>主要建設プロジェクトの状況（2026年4月時点）:</w:t>
        <w:br/>
        <w:t xml:space="preserve">  首都圏大型再開発:</w:t>
        <w:br/>
        <w:t xml:space="preserve">    - 麻布台ヒルズ（2023年11月開業 → 周辺インフラ工事継続中）</w:t>
        <w:br/>
        <w:t xml:space="preserve">    - 品川駅前再開発（2028〜2030年完成予定 → 工事最盛期へ）</w:t>
        <w:br/>
        <w:t xml:space="preserve">    - 神宮外苑再開発（2026〜2035年長期プロジェクト）</w:t>
        <w:br/>
        <w:t xml:space="preserve">    - 渋谷駅周辺（継続中）</w:t>
        <w:br/>
        <w:br/>
        <w:t xml:space="preserve">  能登復興:</w:t>
        <w:br/>
        <w:t xml:space="preserve">    - 2024年1月地震 → 本格復興工事は2026〜2028年が最盛期</w:t>
        <w:br/>
        <w:t xml:space="preserve">    - セメント需要直接寄与: +50〜100万トン/年（推定）</w:t>
        <w:br/>
        <w:br/>
        <w:t xml:space="preserve">  公共インフラ:</w:t>
        <w:br/>
        <w:t xml:space="preserve">    - 防災・減災 国土強靱化5ヶ年加速化対策（2021〜2025年）</w:t>
        <w:br/>
        <w:t xml:space="preserve">    - 後継計画が2026〜2030年で策定予定（継続確認必要）</w:t>
        <w:br/>
        <w:br/>
        <w:t>工事消化フェーズの持続期間推定:</w:t>
        <w:br/>
        <w:t xml:space="preserve">  首都圏再開発: 2026〜2030年（4〜5年間）</w:t>
        <w:br/>
        <w:t xml:space="preserve">  能登復興: 2026〜2028年（2〜3年間）</w:t>
        <w:br/>
        <w:t xml:space="preserve">  →  国内需要底打ちから本格回復フェーズは 2026〜2028年 が主戦場</w:t>
      </w:r>
    </w:p>
    <w:p/>
    <w:p>
      <w:pPr>
        <w:pStyle w:val="Heading3"/>
      </w:pPr>
      <w:r>
        <w:rPr>
          <w:rFonts w:ascii="Meiryo UI" w:hAnsi="Meiryo UI"/>
          <w:color w:val="2E74B5"/>
        </w:rPr>
        <w:t>4-3. インフラ投資の政府予算とセメント需要</w:t>
      </w:r>
    </w:p>
    <w:p/>
    <w:p>
      <w:pPr>
        <w:shd w:val="clear" w:color="auto" w:fill="F2F2F2"/>
      </w:pPr>
      <w:r>
        <w:rPr>
          <w:rFonts w:ascii="Courier New" w:hAnsi="Courier New"/>
          <w:sz w:val="16"/>
        </w:rPr>
        <w:t>【政府予算関連】</w:t>
        <w:br/>
        <w:t xml:space="preserve">  国土強靱化予算（年間）: 約5〜7兆円</w:t>
        <w:br/>
        <w:t xml:space="preserve">  セメント使用量係数: 約1,000億円の公共土木 → セメント消費約100万トン</w:t>
        <w:br/>
        <w:br/>
        <w:t xml:space="preserve">  FY2026 公共投資関連セメント需要寄与: 約1,000〜1,200万トン（推定）</w:t>
        <w:br/>
        <w:t xml:space="preserve">  （国内総セメント出荷量 約3,800〜4,000万トンの25〜30%相当）</w:t>
        <w:br/>
        <w:br/>
        <w:t>→ 政府支出の維持が国内セメント需要の「フロア」を形成</w:t>
      </w:r>
    </w:p>
    <w:p/>
    <w:p>
      <w:pPr>
        <w:pStyle w:val="Heading3"/>
      </w:pPr>
      <w:r>
        <w:rPr>
          <w:rFonts w:ascii="Meiryo UI" w:hAnsi="Meiryo UI"/>
          <w:color w:val="2E74B5"/>
        </w:rPr>
        <w:t>4-4. FY2025 -14.2%の谷からの回復時間軸</w:t>
      </w:r>
    </w:p>
    <w:p/>
    <w:p>
      <w:pPr>
        <w:shd w:val="clear" w:color="auto" w:fill="F2F2F2"/>
      </w:pPr>
      <w:r>
        <w:rPr>
          <w:rFonts w:ascii="Courier New" w:hAnsi="Courier New"/>
          <w:sz w:val="16"/>
        </w:rPr>
        <w:t>【回復シナリオ時間軸】</w:t>
        <w:br/>
        <w:br/>
        <w:t xml:space="preserve">  FY2025: -14.2%（底）</w:t>
        <w:br/>
        <w:t xml:space="preserve">  FY2026: +0.8〜+3.0%（底打ち・緩やかな回復開始）</w:t>
        <w:br/>
        <w:t xml:space="preserve">  FY2027: +4〜6%（本格回復フェーズ：能登・首都圏・インフラ）</w:t>
        <w:br/>
        <w:t xml:space="preserve">  FY2028: +3〜5%（持続的回復）</w:t>
        <w:br/>
        <w:t xml:space="preserve">  FY2029: +1〜3%（成熟回復、新築着工数の構造的減少で上限あり）</w:t>
        <w:br/>
        <w:br/>
        <w:t>→ 「V字回復」ではなく「緩やかなU字回復」</w:t>
        <w:br/>
        <w:t xml:space="preserve">  -14.2%の谷を完全に取り戻すのは FY2028〜FY2029頃と推定</w:t>
        <w:br/>
        <w:br/>
        <w:t>回復の限界要因:</w:t>
        <w:br/>
        <w:t xml:space="preserve">  ・日本の住宅着工戸数: 長期構造的減少（年間80万→60万戸へ）</w:t>
        <w:br/>
        <w:t xml:space="preserve">  ・人口減少による民間建設需要の漸減</w:t>
        <w:br/>
        <w:t xml:space="preserve">  → 公共インフラと大都市再開発が民間減少を補完する「二段構え」構造</w:t>
        <w:br/>
        <w:br/>
        <w:t>セメント需要の「天井」:</w:t>
        <w:br/>
        <w:t xml:space="preserve">  コロナ前水準（約4,400万トン/年）への完全回帰は困難</w:t>
        <w:br/>
        <w:t xml:space="preserve">  現実的回帰目標: 約3,900〜4,100万トン/年（3〜4年で到達）</w:t>
      </w:r>
    </w:p>
    <w:p/>
    <w:p>
      <w:r>
        <w:t>──────────────────────────────────────────────────</w:t>
      </w:r>
    </w:p>
    <w:p/>
    <w:p>
      <w:pPr>
        <w:pStyle w:val="Heading2"/>
      </w:pPr>
      <w:r>
        <w:rPr>
          <w:rFonts w:ascii="Meiryo UI" w:hAnsi="Meiryo UI"/>
          <w:color w:val="2E74B5"/>
        </w:rPr>
        <w:t>⑤ エネルギーコスト分析</w:t>
      </w:r>
    </w:p>
    <w:p/>
    <w:p>
      <w:pPr>
        <w:pStyle w:val="Heading3"/>
      </w:pPr>
      <w:r>
        <w:rPr>
          <w:rFonts w:ascii="Meiryo UI" w:hAnsi="Meiryo UI"/>
          <w:color w:val="2E74B5"/>
        </w:rPr>
        <w:t>5-1. セメント製造のコスト構造</w:t>
      </w:r>
    </w:p>
    <w:p/>
    <w:p>
      <w:pPr>
        <w:shd w:val="clear" w:color="auto" w:fill="F2F2F2"/>
      </w:pPr>
      <w:r>
        <w:rPr>
          <w:rFonts w:ascii="Courier New" w:hAnsi="Courier New"/>
          <w:sz w:val="16"/>
        </w:rPr>
        <w:t>【セメント製造コスト構成（業界標準ベース）】</w:t>
        <w:br/>
        <w:br/>
        <w:t xml:space="preserve">        燃料費（石炭・廃棄物・バイオマス）    35〜40%</w:t>
        <w:br/>
        <w:t xml:space="preserve">        電力費                              10〜12%</w:t>
        <w:br/>
        <w:t xml:space="preserve">        原材料費（石灰石・粘土・珪石）        15〜18%</w:t>
        <w:br/>
        <w:t xml:space="preserve">        人件費                              10〜12%</w:t>
        <w:br/>
        <w:t xml:space="preserve">        物流費                              10〜12%</w:t>
        <w:br/>
        <w:t xml:space="preserve">        減価償却費・その他                   10〜15%</w:t>
        <w:br/>
        <w:t xml:space="preserve">        ─────────────────────────</w:t>
        <w:br/>
        <w:t xml:space="preserve">        製造原価合計                        100%</w:t>
        <w:br/>
        <w:br/>
        <w:t>太平洋セメント（推定詳細）:</w:t>
        <w:br/>
        <w:t xml:space="preserve">  石炭（主要燃料）: コスト全体の 約25〜28%</w:t>
        <w:br/>
        <w:t xml:space="preserve">  廃棄物・バイオマス燃料: 約10〜12%</w:t>
        <w:br/>
        <w:t xml:space="preserve">  電力: 約10〜12%</w:t>
        <w:br/>
        <w:t xml:space="preserve">  その他化石燃料（重油・LPG等）: 約3〜5%</w:t>
      </w:r>
    </w:p>
    <w:p/>
    <w:p>
      <w:pPr>
        <w:pStyle w:val="Heading3"/>
      </w:pPr>
      <w:r>
        <w:rPr>
          <w:rFonts w:ascii="Meiryo UI" w:hAnsi="Meiryo UI"/>
          <w:color w:val="2E74B5"/>
        </w:rPr>
        <w:t>5-2. 石炭価格とWTI急落の相関</w:t>
      </w:r>
    </w:p>
    <w:p/>
    <w:p>
      <w:pPr>
        <w:shd w:val="clear" w:color="auto" w:fill="F2F2F2"/>
      </w:pPr>
      <w:r>
        <w:rPr>
          <w:rFonts w:ascii="Courier New" w:hAnsi="Courier New"/>
          <w:sz w:val="16"/>
        </w:rPr>
        <w:t>【石炭価格の動向分析（2026年4月時点）】</w:t>
        <w:br/>
        <w:br/>
        <w:t>WTI原油: 95.97 USD/bbl（リアルタイム）</w:t>
        <w:br/>
        <w:t>石炭（一般炭）: 約100〜120 USD/トン（推定。原油高との相関あり）</w:t>
        <w:br/>
        <w:br/>
        <w:t>石炭とWTIの相関関係:</w:t>
        <w:br/>
        <w:t xml:space="preserve">  短期相関係数: 約0.4〜0.6（中程度の正相関）</w:t>
        <w:br/>
        <w:t xml:space="preserve">  → WTIが急落する局面では石炭も下落傾向</w:t>
        <w:br/>
        <w:t xml:space="preserve">  → ただし石炭は固有需要（電力・製鉄）があるため完全連動せず</w:t>
        <w:br/>
        <w:br/>
        <w:t>現在WTI ≈ 96 USD/bbl（比較的高水準）:</w:t>
        <w:br/>
        <w:t xml:space="preserve">  → 石炭価格も高止まり傾向（100〜120 USD/トン）</w:t>
        <w:br/>
        <w:t xml:space="preserve">  → セメント燃料費には引き続きコスト圧力</w:t>
        <w:br/>
        <w:br/>
        <w:t>セメント製造コストへの影響試算:</w:t>
        <w:br/>
        <w:t xml:space="preserve">  石炭1,000円/トン上昇 → 製造コスト約1.5〜2.0%上昇</w:t>
        <w:br/>
        <w:t xml:space="preserve">  FY2026見通し（石炭110 USD/t × 150円/USD = 16,500円/t）:</w:t>
        <w:br/>
        <w:t xml:space="preserve">    前年比コスト変動: 横ばい〜微増（石炭相場次第）</w:t>
      </w:r>
    </w:p>
    <w:p/>
    <w:p>
      <w:pPr>
        <w:pStyle w:val="Heading3"/>
      </w:pPr>
      <w:r>
        <w:rPr>
          <w:rFonts w:ascii="Meiryo UI" w:hAnsi="Meiryo UI"/>
          <w:color w:val="2E74B5"/>
        </w:rPr>
        <w:t>5-3. 廃棄物・バイオマス燃料の活用と化石燃料コスト緩和効果</w:t>
      </w:r>
    </w:p>
    <w:p/>
    <w:p>
      <w:pPr>
        <w:shd w:val="clear" w:color="auto" w:fill="F2F2F2"/>
      </w:pPr>
      <w:r>
        <w:rPr>
          <w:rFonts w:ascii="Courier New" w:hAnsi="Courier New"/>
          <w:sz w:val="16"/>
        </w:rPr>
        <w:t>【廃棄物・バイオマス代替燃料】</w:t>
        <w:br/>
        <w:br/>
        <w:t>太平洋セメントの廃棄物燃料利用率:</w:t>
        <w:br/>
        <w:t xml:space="preserve">  熱代替率（ThermalSubstitutionRate）: 約30〜40%（推定）</w:t>
        <w:br/>
        <w:t xml:space="preserve">  業界トップクラス水準</w:t>
        <w:br/>
        <w:br/>
        <w:t>効果試算:</w:t>
        <w:br/>
        <w:t xml:space="preserve">  廃棄物受入単価: 10,000円/トン（収入）</w:t>
        <w:br/>
        <w:t xml:space="preserve">  廃棄物熱量: 3,000〜8,000 kcal/kg（廃油・廃プラ）</w:t>
        <w:br/>
        <w:t xml:space="preserve">  石炭相当代替効果: 廃棄物1万t → 石炭約3,000〜5,000t相当</w:t>
        <w:br/>
        <w:br/>
        <w:t>年間緩和効果:</w:t>
        <w:br/>
        <w:t xml:space="preserve">  廃棄物受入450万t × 代替石炭単価効果:</w:t>
        <w:br/>
        <w:t xml:space="preserve">  → 石炭購入費用削減 = 約200〜400億円/年（推定）</w:t>
        <w:br/>
        <w:t xml:space="preserve">  → これが太平洋セメントの廃棄物事業の最大の競争優位</w:t>
      </w:r>
    </w:p>
    <w:p/>
    <w:p>
      <w:pPr>
        <w:pStyle w:val="Heading3"/>
      </w:pPr>
      <w:r>
        <w:rPr>
          <w:rFonts w:ascii="Meiryo UI" w:hAnsi="Meiryo UI"/>
          <w:color w:val="2E74B5"/>
        </w:rPr>
        <w:t>5-4. LPG価格急騰（4月積み+38%）のセメント製造コストへの影響</w:t>
      </w:r>
    </w:p>
    <w:p/>
    <w:p>
      <w:pPr>
        <w:shd w:val="clear" w:color="auto" w:fill="F2F2F2"/>
      </w:pPr>
      <w:r>
        <w:rPr>
          <w:rFonts w:ascii="Courier New" w:hAnsi="Courier New"/>
          <w:sz w:val="16"/>
        </w:rPr>
        <w:t>【LPGのセメント製造における位置付け】</w:t>
        <w:br/>
        <w:br/>
        <w:t>LPGの主な用途（セメント製造）:</w:t>
        <w:br/>
        <w:t xml:space="preserve">  ① キルン点火時の補助燃料（一時的・少量）</w:t>
        <w:br/>
        <w:t xml:space="preserve">  ② 製品加熱・乾燥工程（一部設備）</w:t>
        <w:br/>
        <w:t xml:space="preserve">  ③ 輸送車両・フォークリフト燃料（間接的）</w:t>
        <w:br/>
        <w:br/>
        <w:t>LPGの総燃料費に占める割合:</w:t>
        <w:br/>
        <w:t xml:space="preserve">  推定: 全燃料費の 2〜5%程度（主力は石炭）</w:t>
        <w:br/>
        <w:br/>
        <w:t>LPG+38%急騰のセメントコストへの直接影響:</w:t>
        <w:br/>
        <w:t xml:space="preserve">  燃料費全体の2〜5% × +38% = 製造コストへの影響 +0.7〜1.9%</w:t>
        <w:br/>
        <w:t xml:space="preserve">  → 軽微（石炭・電力が主燃料のため）</w:t>
        <w:br/>
        <w:br/>
        <w:t xml:space="preserve">  ただし間接影響:</w:t>
        <w:br/>
        <w:t xml:space="preserve">  ・輸送コスト（LPGトラック・温度管理輸送）</w:t>
        <w:br/>
        <w:t xml:space="preserve">  ・生コン製造拠点での加熱コスト</w:t>
        <w:br/>
        <w:t xml:space="preserve">  → トータル影響: 製造原価の約1〜2%増（限定的）</w:t>
        <w:br/>
        <w:br/>
        <w:t>→ LPG急騰の直接影響は「軽微」だが、エネルギーコスト全般の高止まりとして累積的に圧迫</w:t>
      </w:r>
    </w:p>
    <w:p/>
    <w:p>
      <w:r>
        <w:t>──────────────────────────────────────────────────</w:t>
      </w:r>
    </w:p>
    <w:p/>
    <w:p>
      <w:pPr>
        <w:pStyle w:val="Heading2"/>
      </w:pPr>
      <w:r>
        <w:rPr>
          <w:rFonts w:ascii="Meiryo UI" w:hAnsi="Meiryo UI"/>
          <w:color w:val="2E74B5"/>
        </w:rPr>
        <w:t>⑥ 米国事業評価</w:t>
      </w:r>
    </w:p>
    <w:p/>
    <w:p>
      <w:pPr>
        <w:pStyle w:val="Heading3"/>
      </w:pPr>
      <w:r>
        <w:rPr>
          <w:rFonts w:ascii="Meiryo UI" w:hAnsi="Meiryo UI"/>
          <w:color w:val="2E74B5"/>
        </w:rPr>
        <w:t>6-1. Giant Cement等の業績貢献</w:t>
      </w:r>
    </w:p>
    <w:p/>
    <w:p>
      <w:pPr>
        <w:shd w:val="clear" w:color="auto" w:fill="F2F2F2"/>
      </w:pPr>
      <w:r>
        <w:rPr>
          <w:rFonts w:ascii="Courier New" w:hAnsi="Courier New"/>
          <w:sz w:val="16"/>
        </w:rPr>
        <w:t>【Giant Cement Holdings（GCH）概要】</w:t>
        <w:br/>
        <w:t xml:space="preserve">  本社: サウスカロライナ州リッジビル</w:t>
        <w:br/>
        <w:t xml:space="preserve">  生産拠点: SC州・PA州・VA州等</w:t>
        <w:br/>
        <w:t xml:space="preserve">  生産能力: 約280万トン/年</w:t>
        <w:br/>
        <w:t xml:space="preserve">  製品: セメント、ライム、コンクリート製品</w:t>
        <w:br/>
        <w:br/>
        <w:t>推定業績貢献（FY2025）:</w:t>
        <w:br/>
        <w:t xml:space="preserve">  海外事業売上: 約700〜750億円（連結売上の約15〜16%）</w:t>
        <w:br/>
        <w:t xml:space="preserve">  海外事業営業利益: 約50〜80億円（推定）</w:t>
        <w:br/>
        <w:t xml:space="preserve">  海外事業営業利益率: 約7〜10%（国内より高い水準）</w:t>
        <w:br/>
        <w:br/>
        <w:t>→ 国内低迷を一定程度補完する「収益の柱」として機能</w:t>
      </w:r>
    </w:p>
    <w:p/>
    <w:p>
      <w:pPr>
        <w:pStyle w:val="Heading3"/>
      </w:pPr>
      <w:r>
        <w:rPr>
          <w:rFonts w:ascii="Meiryo UI" w:hAnsi="Meiryo UI"/>
          <w:color w:val="2E74B5"/>
        </w:rPr>
        <w:t>6-2. 米国インフラ投資法（IIJA・IRA）との連動</w:t>
      </w:r>
    </w:p>
    <w:p/>
    <w:p>
      <w:pPr>
        <w:shd w:val="clear" w:color="auto" w:fill="F2F2F2"/>
      </w:pPr>
      <w:r>
        <w:rPr>
          <w:rFonts w:ascii="Courier New" w:hAnsi="Courier New"/>
          <w:sz w:val="16"/>
        </w:rPr>
        <w:t>【IIJA（Infrastructure Investment and Jobs Act）効果】</w:t>
        <w:br/>
        <w:br/>
        <w:t xml:space="preserve">  成立: 2021年11月</w:t>
        <w:br/>
        <w:t xml:space="preserve">  総額: 1.2兆ドル（10年間）</w:t>
        <w:br/>
        <w:t xml:space="preserve">  道路・橋梁・港湾・電力・水道</w:t>
        <w:br/>
        <w:br/>
        <w:t>セメント需要押上効果（業界推定）:</w:t>
        <w:br/>
        <w:t xml:space="preserve">  IIJAによる追加セメント需要: 年間1,000〜1,500万トン増（全米）</w:t>
        <w:br/>
        <w:t xml:space="preserve">  Giant Cementのマーケットシェア（米東海岸）: 約5〜8%</w:t>
        <w:br/>
        <w:t xml:space="preserve">  Giant Cementへの直接恩恵: 年間50〜120万トン増</w:t>
        <w:br/>
        <w:t xml:space="preserve">  売上寄与: 50〜120万t × 売価$150/t × 150円/$ = 112〜270億円</w:t>
        <w:br/>
        <w:br/>
        <w:t>IIJAの執行フェーズ（2026〜2028年が最盛期）:</w:t>
        <w:br/>
        <w:t xml:space="preserve">  → Giant Cementの売上・利益は今後2〜3年で最大貢献フェーズへ</w:t>
      </w:r>
    </w:p>
    <w:p/>
    <w:p>
      <w:pPr>
        <w:pStyle w:val="Heading3"/>
      </w:pPr>
      <w:r>
        <w:rPr>
          <w:rFonts w:ascii="Meiryo UI" w:hAnsi="Meiryo UI"/>
          <w:color w:val="2E74B5"/>
        </w:rPr>
        <w:t>6-3. 円安・ドル高の影響（FX感応度）</w:t>
      </w:r>
    </w:p>
    <w:p/>
    <w:p>
      <w:pPr>
        <w:shd w:val="clear" w:color="auto" w:fill="F2F2F2"/>
      </w:pPr>
      <w:r>
        <w:rPr>
          <w:rFonts w:ascii="Courier New" w:hAnsi="Courier New"/>
          <w:sz w:val="16"/>
        </w:rPr>
        <w:t>【FX感応度試算】</w:t>
        <w:br/>
        <w:br/>
        <w:t>前提:</w:t>
        <w:br/>
        <w:t xml:space="preserve">  海外事業売上（USD建て）: 推定5億〜5.5億ドル</w:t>
        <w:br/>
        <w:t xml:space="preserve">  FY2025想定レート: 約150円/ドル</w:t>
        <w:br/>
        <w:br/>
        <w:t>円安メリット試算:</w:t>
        <w:br/>
        <w:t xml:space="preserve">  1ドル = 150円 → 160円（+10円円安）の場合:</w:t>
        <w:br/>
        <w:t xml:space="preserve">  売上影響: 5.25億ドル × 10円 = +52.5億円</w:t>
        <w:br/>
        <w:t xml:space="preserve">  利益影響（利益率8%として）: +4.2億円（約+4億円）</w:t>
        <w:br/>
        <w:br/>
        <w:t>現状（2026年4月）の為替環境:</w:t>
        <w:br/>
        <w:t xml:space="preserve">  ドル円: 約145〜150円（推定）</w:t>
        <w:br/>
        <w:t xml:space="preserve">  → 円安維持は米国事業の円換算収益にとってプラス</w:t>
        <w:br/>
        <w:br/>
        <w:t>FX感応度（EPS影響）:</w:t>
        <w:br/>
        <w:t xml:space="preserve">  ドル円+10円の円安 → EPS ≈ +¥12/株（推定）</w:t>
        <w:br/>
        <w:t xml:space="preserve">  EPS = ¥461 + ¥12 = ¥473（+2.6%）</w:t>
        <w:br/>
        <w:br/>
        <w:t>→ 適度な円安は太平洋セメントにとってプラス要因</w:t>
        <w:br/>
        <w:t xml:space="preserve">  ただし米国建設コスト上昇が実需に影響する可能性も考慮要</w:t>
      </w:r>
    </w:p>
    <w:p/>
    <w:p>
      <w:r>
        <w:t>──────────────────────────────────────────────────</w:t>
      </w:r>
    </w:p>
    <w:p/>
    <w:p>
      <w:pPr>
        <w:pStyle w:val="Heading2"/>
      </w:pPr>
      <w:r>
        <w:rPr>
          <w:rFonts w:ascii="Meiryo UI" w:hAnsi="Meiryo UI"/>
          <w:color w:val="2E74B5"/>
        </w:rPr>
        <w:t>⑦ ガイダンス性格判定</w:t>
      </w:r>
    </w:p>
    <w:p/>
    <w:p>
      <w:pPr>
        <w:pStyle w:val="Heading3"/>
      </w:pPr>
      <w:r>
        <w:rPr>
          <w:rFonts w:ascii="Meiryo UI" w:hAnsi="Meiryo UI"/>
          <w:color w:val="2E74B5"/>
        </w:rPr>
        <w:t>7-1. FY2026/3決算・FY2027/3ガイダンスの性格</w:t>
      </w:r>
    </w:p>
    <w:p/>
    <w:p>
      <w:pPr>
        <w:shd w:val="clear" w:color="auto" w:fill="F2F2F2"/>
      </w:pPr>
      <w:r>
        <w:rPr>
          <w:rFonts w:ascii="Courier New" w:hAnsi="Courier New"/>
          <w:sz w:val="16"/>
        </w:rPr>
        <w:t>【ガイダンス保守性判定】</w:t>
        <w:br/>
        <w:br/>
        <w:t>FY2026/3（直近期）実績推定:</w:t>
        <w:br/>
        <w:t xml:space="preserve">  売上高: 約4,400〜4,600億円</w:t>
        <w:br/>
        <w:t xml:space="preserve">  営業利益: 約140〜180億円（利益率3〜4%）</w:t>
        <w:br/>
        <w:t xml:space="preserve">  需要環境: 生コン -14.2%（厳しい年）</w:t>
        <w:br/>
        <w:t xml:space="preserve">  → 業績的には「厳しい年度」</w:t>
        <w:br/>
        <w:br/>
        <w:t>FY2027/3ガイダンス（推定・公開情報ベース）:</w:t>
        <w:br/>
        <w:t xml:space="preserve">  会社予想傾向: 通期保守的な予算設定（日本の製造業標準）</w:t>
        <w:br/>
        <w:t xml:space="preserve">  具体的に:</w:t>
        <w:br/>
        <w:t xml:space="preserve">    ① 東京生コン+0.8%の底打ちを「様子見」として保守的に処理</w:t>
        <w:br/>
        <w:t xml:space="preserve">    ② 能登復興需要は「不確実性あり」として上乗せ限定的</w:t>
        <w:br/>
        <w:t xml:space="preserve">    ③ エネルギーコスト高止まりリスクは費用側に織込み済み</w:t>
        <w:br/>
        <w:t xml:space="preserve">    ④ 米国IIJAの恩恵は部分的な保守算入</w:t>
        <w:br/>
        <w:br/>
        <w:t>判定: 「保守的〜やや保守的」</w:t>
        <w:br/>
        <w:br/>
        <w:t>根拠:</w:t>
        <w:br/>
        <w:t xml:space="preserve">  ・東京生コン+0.8%の底打ちシグナルを十分に織込んでいない可能性大</w:t>
        <w:br/>
        <w:t xml:space="preserve">  ・能登復興の本格化（2026〜2027年）は保守的ガイダンスの上振れ要因</w:t>
        <w:br/>
        <w:t xml:space="preserve">  ・米国事業（IIJA最盛期）も保守的見通しの上振れ候補</w:t>
        <w:br/>
        <w:t xml:space="preserve">  </w:t>
        <w:br/>
        <w:t>→ FY2027/3の実績は会社ガイダンスを 5〜15% 上回る可能性がある</w:t>
        <w:br/>
        <w:t xml:space="preserve">  「ポジティブサプライズ余地あり」と判定</w:t>
      </w:r>
    </w:p>
    <w:p/>
    <w:p>
      <w:r>
        <w:t>──────────────────────────────────────────────────</w:t>
      </w:r>
    </w:p>
    <w:p/>
    <w:p>
      <w:pPr>
        <w:pStyle w:val="Heading2"/>
      </w:pPr>
      <w:r>
        <w:rPr>
          <w:rFonts w:ascii="Meiryo UI" w:hAnsi="Meiryo UI"/>
          <w:color w:val="2E74B5"/>
        </w:rPr>
        <w:t>⑧ DCFバリュエーション</w:t>
      </w:r>
    </w:p>
    <w:p/>
    <w:p>
      <w:pPr>
        <w:pStyle w:val="Heading3"/>
      </w:pPr>
      <w:r>
        <w:rPr>
          <w:rFonts w:ascii="Meiryo UI" w:hAnsi="Meiryo UI"/>
          <w:color w:val="2E74B5"/>
        </w:rPr>
        <w:t>8-1. WACC算出</w:t>
      </w:r>
    </w:p>
    <w:p/>
    <w:p>
      <w:pPr>
        <w:shd w:val="clear" w:color="auto" w:fill="F2F2F2"/>
      </w:pPr>
      <w:r>
        <w:rPr>
          <w:rFonts w:ascii="Courier New" w:hAnsi="Courier New"/>
          <w:sz w:val="16"/>
        </w:rPr>
        <w:t>【WACC前提条件（全明記）】</w:t>
        <w:br/>
        <w:br/>
        <w:t>① リスクフリーレート（Rf）: 2.411%（JGB10Y、R8.4.7財務省）</w:t>
        <w:br/>
        <w:br/>
        <w:t>② マーケットリスクプレミアム（ERP）: 5.5%</w:t>
        <w:br/>
        <w:t xml:space="preserve">   （日本株式ERP: 歴史的平均5.0〜6.0%、現在環境5.5%採用）</w:t>
        <w:br/>
        <w:br/>
        <w:t>③ Beta (β): 0.85</w:t>
        <w:br/>
        <w:t xml:space="preserve">   （セメント業界β: 0.7〜1.0、資本財セクター標準。需要サイクル連動で0.85採用）</w:t>
        <w:br/>
        <w:br/>
        <w:t>④ 株主資本コスト（Re）:</w:t>
        <w:br/>
        <w:t xml:space="preserve">   Re = Rf + β × ERP</w:t>
        <w:br/>
        <w:t xml:space="preserve">      = 2.411% + 0.85 × 5.5%</w:t>
        <w:br/>
        <w:t xml:space="preserve">      = 2.411% + 4.675%</w:t>
        <w:br/>
        <w:t xml:space="preserve">      = 7.086% ≈ 7.1%</w:t>
        <w:br/>
        <w:br/>
        <w:t>⑤ 負債コスト（Rd）: 2.0%（銀行借入・社債の加重平均、低金利環境）</w:t>
        <w:br/>
        <w:br/>
        <w:t>⑥ 実効税率（Tc）: 30%</w:t>
        <w:br/>
        <w:br/>
        <w:t>⑦ 資本構成（推定）:</w:t>
        <w:br/>
        <w:t xml:space="preserve">   総資産 ≈ 6,440億円</w:t>
        <w:br/>
        <w:t xml:space="preserve">   有利子負債 ≈ 2,000〜2,500億円（推定）</w:t>
        <w:br/>
        <w:t xml:space="preserve">   自己資本 ≈ 2,002億円（BPS×株式数）</w:t>
        <w:br/>
        <w:t xml:space="preserve">   D/(D+E): 約2,250/(2,250+2,002) = 52.9%</w:t>
        <w:br/>
        <w:t xml:space="preserve">   E/(D+E): 47.1%</w:t>
        <w:br/>
        <w:t xml:space="preserve">   </w:t>
        <w:br/>
        <w:t xml:space="preserve">   ※ セメント業の重資産性からD/Eは高め</w:t>
        <w:br/>
        <w:br/>
        <w:t>⑧ WACC計算:</w:t>
        <w:br/>
        <w:t xml:space="preserve">   WACC = E/(D+E) × Re + D/(D+E) × Rd × (1-Tc)</w:t>
        <w:br/>
        <w:t xml:space="preserve">        = 0.471 × 7.1% + 0.529 × 2.0% × 0.70</w:t>
        <w:br/>
        <w:t xml:space="preserve">        = 3.344% + 0.741%</w:t>
        <w:br/>
        <w:t xml:space="preserve">        = 4.085% ≈ 4.1%</w:t>
        <w:br/>
        <w:br/>
        <w:t xml:space="preserve">   ※ セメント業の安定キャッシュフローと担保資産の豊富さを反映し、</w:t>
        <w:br/>
        <w:t xml:space="preserve">     WACCは相対的に低め。ただし需要低迷リスクで最終WACCは4.5〜5.0%を採用。</w:t>
        <w:br/>
        <w:br/>
        <w:t>【ベースケースWACC: 5.0%（保守的調整適用）】</w:t>
      </w:r>
    </w:p>
    <w:p/>
    <w:p>
      <w:pPr>
        <w:pStyle w:val="Heading3"/>
      </w:pPr>
      <w:r>
        <w:rPr>
          <w:rFonts w:ascii="Meiryo UI" w:hAnsi="Meiryo UI"/>
          <w:color w:val="2E74B5"/>
        </w:rPr>
        <w:t>8-2. ROE改善シナリオ別DCF理論株価</w:t>
      </w:r>
    </w:p>
    <w:p/>
    <w:p>
      <w:pPr>
        <w:shd w:val="clear" w:color="auto" w:fill="F2F2F2"/>
      </w:pPr>
      <w:r>
        <w:rPr>
          <w:rFonts w:ascii="Courier New" w:hAnsi="Courier New"/>
          <w:sz w:val="16"/>
        </w:rPr>
        <w:t>【DCF モデル前提（共通）】</w:t>
        <w:br/>
        <w:br/>
        <w:t xml:space="preserve">  ベース売上高（FY2026推定）: ¥4,600億円</w:t>
        <w:br/>
        <w:t xml:space="preserve">  長期成長率（g）: 1.5%（名目GDP成長率ベース）</w:t>
        <w:br/>
        <w:t xml:space="preserve">  WACC: 5.0%（ベースケース）</w:t>
        <w:br/>
        <w:t xml:space="preserve">  分析期間: 10年 + ターミナルバリュー</w:t>
        <w:br/>
        <w:t xml:space="preserve">  発行済株式数: 350百万株</w:t>
        <w:br/>
        <w:br/>
        <w:t>【FCF推定（シナリオ別）】</w:t>
        <w:br/>
        <w:br/>
        <w:t xml:space="preserve">  現状ROE 3.7%ベース → 純利益 ≈ 161億円</w:t>
        <w:br/>
        <w:t xml:space="preserve">  FCFマージン ≈ 純利益 + 減価償却 - CAPEX</w:t>
        <w:br/>
        <w:t xml:space="preserve">  概算FCF = 161億 + 250億（D&amp;A推定）- 200億（CAPEX推定） = 211億円/年</w:t>
        <w:br/>
        <w:br/>
        <w:t>シナリオA（ROE5%達成: 2〜3年後）:</w:t>
        <w:br/>
        <w:t xml:space="preserve">  純利益改善後 = ROE5% × 自己資本2,100億 = 105億円</w:t>
        <w:br/>
        <w:t xml:space="preserve">  ※ ROE5%はBPS拡大を前提とした推定</w:t>
        <w:br/>
        <w:t xml:space="preserve">  FCF ≈ 105億 + 250億 - 200億 = 155億円（改善前期）</w:t>
        <w:br/>
        <w:t xml:space="preserve">  → 3年目以降: FCF ≈ 200〜220億円</w:t>
        <w:br/>
        <w:br/>
        <w:t>シナリオB（ROE7%達成: 3〜4年後）:</w:t>
        <w:br/>
        <w:t xml:space="preserve">  純利益 = 7% × 2,200億 = 154億円</w:t>
        <w:br/>
        <w:t xml:space="preserve">  FCF ≈ 154億 + 260億 - 200億 = 214億円</w:t>
        <w:br/>
        <w:t xml:space="preserve">  → 安定期: FCF ≈ 250〜280億円</w:t>
        <w:br/>
        <w:br/>
        <w:t>シナリオC（ROE10%達成: 5年後）:</w:t>
        <w:br/>
        <w:t xml:space="preserve">  純利益 = 10% × 2,300億 = 230億円</w:t>
        <w:br/>
        <w:t xml:space="preserve">  FCF ≈ 230億 + 270億 - 200億 = 300億円</w:t>
        <w:br/>
        <w:t xml:space="preserve">  → 安定期: FCF ≈ 330〜360億円</w:t>
      </w:r>
    </w:p>
    <w:p/>
    <w:p>
      <w:pPr>
        <w:shd w:val="clear" w:color="auto" w:fill="F2F2F2"/>
      </w:pPr>
      <w:r>
        <w:rPr>
          <w:rFonts w:ascii="Courier New" w:hAnsi="Courier New"/>
          <w:sz w:val="16"/>
        </w:rPr>
        <w:t>【理論株価算出（DCF法）】</w:t>
        <w:br/>
        <w:br/>
        <w:t>シナリオA（ROE5%、WACC5.0%、g=1.5%）:</w:t>
        <w:br/>
        <w:t xml:space="preserve">  ターミナルバリュー（10年後） = FCF210億 × (1+g) / (WACC-g)</w:t>
        <w:br/>
        <w:t xml:space="preserve">                              = 213.15億 / 0.035</w:t>
        <w:br/>
        <w:t xml:space="preserve">                              = 6,090億円</w:t>
        <w:br/>
        <w:br/>
        <w:t xml:space="preserve">  10年PV（FCF段階的改善を仮定）:</w:t>
        <w:br/>
        <w:t xml:space="preserve">    年1-3: FCF ≈ 180億/年</w:t>
        <w:br/>
        <w:t xml:space="preserve">    年4-7: FCF ≈ 210億/年</w:t>
        <w:br/>
        <w:t xml:space="preserve">    年8-10: FCF ≈ 220億/年</w:t>
        <w:br/>
        <w:t xml:space="preserve">    PV合計 ≈ 1,800億円（概算）</w:t>
        <w:br/>
        <w:br/>
        <w:t xml:space="preserve">  ターミナルバリューPV = 6,090億 / (1.05)^10 = 6,090 / 1.629 = 3,739億円</w:t>
        <w:br/>
        <w:br/>
        <w:t xml:space="preserve">  企業価値 = 1,800億 + 3,739億 = 5,539億円</w:t>
        <w:br/>
        <w:t xml:space="preserve">  ネット有利子負債差引き（-2,250億）: 4,289億 - 2,250億 ≒ </w:t>
        <w:br/>
        <w:t xml:space="preserve">  株式価値 = 5,539億 - 2,250億 = 3,289億円</w:t>
        <w:br/>
        <w:t xml:space="preserve">  理論株価A = 3,289億 / 350百万株 = ¥9,397</w:t>
        <w:br/>
        <w:br/>
        <w:t xml:space="preserve">  ※ 高すぎる感 → FCFの前提見直し</w:t>
        <w:br/>
        <w:br/>
        <w:t>【修正DCF（保守的アプローチ）】</w:t>
        <w:br/>
        <w:br/>
        <w:t xml:space="preserve">  現行FCFをより慎重に設定:</w:t>
        <w:br/>
        <w:t xml:space="preserve">  FCF（現状ベース・FY2025低迷期）: 約100〜150億円/年</w:t>
        <w:br/>
        <w:t xml:space="preserve">  </w:t>
        <w:br/>
        <w:t xml:space="preserve">  FCF = 130億円（ベースライン、保守）</w:t>
        <w:br/>
        <w:br/>
        <w:t xml:space="preserve">  シナリオA（ROE5%、FCF段階的改善）:</w:t>
        <w:br/>
        <w:t xml:space="preserve">    フェーズ1（年1-3）: FCF 130→150億円/年 → PV ≈ 400億円</w:t>
        <w:br/>
        <w:t xml:space="preserve">    フェーズ2（年4-7）: FCF 150→200億円/年 → PV ≈ 540億円</w:t>
        <w:br/>
        <w:t xml:space="preserve">    フェーズ3（年8-10）: FCF 200億/年 → PV ≈ 460億円</w:t>
        <w:br/>
        <w:t xml:space="preserve">    ターミナル（FCF 210億、g=1.5%、WACC5%）: TV = 6,090億 → PV = 3,739億円</w:t>
        <w:br/>
        <w:t xml:space="preserve">    </w:t>
        <w:br/>
        <w:t xml:space="preserve">    合計企業価値: 400+540+460+3,739 = 5,139億円</w:t>
        <w:br/>
        <w:t xml:space="preserve">    株式価値 = 5,139 - 2,250（純有利子負債）= 2,889億円</w:t>
        <w:br/>
        <w:t xml:space="preserve">    理論株価A = 2,889億 / 350M = ¥8,254</w:t>
        <w:br/>
        <w:br/>
        <w:t xml:space="preserve">  シナリオB（ROE7%）:</w:t>
        <w:br/>
        <w:t xml:space="preserve">    FCF段階的: 130→160→220→250億円</w:t>
        <w:br/>
        <w:t xml:space="preserve">    TV = 250億 × 1.015 / 0.035 = 7,250億 → PV = 4,451億円</w:t>
        <w:br/>
        <w:t xml:space="preserve">    合計企業価値: 450+650+560+4,451 = 6,111億円</w:t>
        <w:br/>
        <w:t xml:space="preserve">    株式価値 = 6,111 - 2,250 = 3,861億円</w:t>
        <w:br/>
        <w:t xml:space="preserve">    理論株価B = 3,861億 / 350M = ¥11,031</w:t>
        <w:br/>
        <w:br/>
        <w:t xml:space="preserve">  シナリオC（ROE10%）:</w:t>
        <w:br/>
        <w:t xml:space="preserve">    FCF段階的: 130→180→280→330億円</w:t>
        <w:br/>
        <w:t xml:space="preserve">    TV = 330億 × 1.015 / 0.035 = 9,571億 → PV = 5,875億円</w:t>
        <w:br/>
        <w:t xml:space="preserve">    合計企業価値: 500+800+700+5,875 = 7,875億円</w:t>
        <w:br/>
        <w:t xml:space="preserve">    株式価値 = 7,875 - 2,250 = 5,625億円</w:t>
        <w:br/>
        <w:t xml:space="preserve">    理論株価C = 5,625億 / 350M = ¥16,071</w:t>
      </w:r>
    </w:p>
    <w:p/>
    <w:p>
      <w:pPr>
        <w:pStyle w:val="Heading3"/>
      </w:pPr>
      <w:r>
        <w:rPr>
          <w:rFonts w:ascii="Meiryo UI" w:hAnsi="Meiryo UI"/>
          <w:color w:val="2E74B5"/>
        </w:rPr>
        <w:t>8-3. Sum-of-Parts バリュエーション</w:t>
      </w:r>
    </w:p>
    <w:p/>
    <w:p>
      <w:pPr>
        <w:shd w:val="clear" w:color="auto" w:fill="F2F2F2"/>
      </w:pPr>
      <w:r>
        <w:rPr>
          <w:rFonts w:ascii="Courier New" w:hAnsi="Courier New"/>
          <w:sz w:val="16"/>
        </w:rPr>
        <w:t>【SOP バリュエーション】</w:t>
        <w:br/>
        <w:br/>
        <w:t>セグメント           | EV試算      | 根拠</w:t>
        <w:br/>
        <w:t>━━━━━━━━━━━━━━━━━━━━━━━━━━━━━━━━━━━━━━━━━━━━━━━━</w:t>
        <w:br/>
        <w:t>①国内セメントDCF    | 2,500億円   | FCF120億/年、WACC5.0%、g1.5%</w:t>
        <w:br/>
        <w:t>②米国Giant Cement   |   800億円   | FCF60億/年（IIJA恩恵込み）、WACC6.5%</w:t>
        <w:br/>
        <w:t>③廃棄物処理事業     |   600億円   | FCF40億/年、高成長性考慮</w:t>
        <w:br/>
        <w:t>④石灰石鉱山NAV     | 1,630億円   | 埋蔵量DCF（中央値）</w:t>
        <w:br/>
        <w:t>⑤不動産（工場・拠点）|   580億円   | 時価評価（中央値）</w:t>
        <w:br/>
        <w:t>⑥持分法投資・その他 |   200億円   | 帳簿価額参照</w:t>
        <w:br/>
        <w:t>━━━━━━━━━━━━━━━━━━━━━━━━━━━━━━━━━━━━━━━━━━━━━━━</w:t>
        <w:br/>
        <w:t>合計企業価値(EV)    | 6,310億円</w:t>
        <w:br/>
        <w:t>純有利子負債        |△2,250億円</w:t>
        <w:br/>
        <w:t>株式価値           | 4,060億円</w:t>
        <w:br/>
        <w:t>━━━━━━━━━━━━━━━━━━━━━━━━━━━━━━━━━━━━━━━━━━━━━━━</w:t>
        <w:br/>
        <w:t>SOP株式価値/株      | 4,060億 ÷ 350M = ¥11,600</w:t>
        <w:br/>
        <w:br/>
        <w:t>vs 現在株価 ¥3,758:  SOP比 +208.7%のアップサイド（理論値）</w:t>
      </w:r>
    </w:p>
    <w:p/>
    <w:p>
      <w:pPr>
        <w:pStyle w:val="Heading3"/>
      </w:pPr>
      <w:r>
        <w:rPr>
          <w:rFonts w:ascii="Meiryo UI" w:hAnsi="Meiryo UI"/>
          <w:color w:val="2E74B5"/>
        </w:rPr>
        <w:t>8-4. 自社株買い再開（1年後）シナリオ込み理論株価レンジ</w:t>
      </w:r>
    </w:p>
    <w:p/>
    <w:p>
      <w:pPr>
        <w:shd w:val="clear" w:color="auto" w:fill="F2F2F2"/>
      </w:pPr>
      <w:r>
        <w:rPr>
          <w:rFonts w:ascii="Courier New" w:hAnsi="Courier New"/>
          <w:sz w:val="16"/>
        </w:rPr>
        <w:t>【自社株買い再開シナリオ（FY2027/3以降）】</w:t>
        <w:br/>
        <w:br/>
        <w:t>想定自社株買い規模: 100億円/年</w:t>
        <w:br/>
        <w:t xml:space="preserve">  買付株数: 100億円 ÷ ¥4,000（1年後想定株価）= 250万株</w:t>
        <w:br/>
        <w:t xml:space="preserve">  発行済株式減少率: 250万 ÷ 350百万 = 0.71%/年</w:t>
        <w:br/>
        <w:br/>
        <w:t>2年間継続の場合:</w:t>
        <w:br/>
        <w:t xml:space="preserve">  株式数削減: 約1.4%</w:t>
        <w:br/>
        <w:t xml:space="preserve">  EPS押上: ¥461 × 1.014 = ¥468/株</w:t>
        <w:br/>
        <w:t xml:space="preserve">  + ブースト効果（アナウンスメント): +5〜10%</w:t>
        <w:br/>
        <w:br/>
        <w:t>理論株価レンジ（自社株買い再開込み）:</w:t>
        <w:br/>
        <w:t xml:space="preserve">  ベースDCF（シナリオA ROE5%）: ¥8,254</w:t>
        <w:br/>
        <w:t xml:space="preserve">  自社株買いブースト: +¥400〜¥800</w:t>
        <w:br/>
        <w:t xml:space="preserve">  ─────────────────────────</w:t>
        <w:br/>
        <w:t xml:space="preserve">  理論株価レンジ: ¥8,654〜¥9,054（1年後自社株買い再開シナリオ）</w:t>
        <w:br/>
        <w:br/>
        <w:t xml:space="preserve">  保守的レンジ（Margin of Safety 30%割引）:</w:t>
        <w:br/>
        <w:t xml:space="preserve">  = ¥8,654 × 0.70 = ¥6,058</w:t>
        <w:br/>
        <w:t xml:space="preserve">  = ¥9,054 × 0.70 = ¥6,338</w:t>
        <w:br/>
        <w:t xml:space="preserve">  → 保守的目標株価: ¥6,000〜¥6,300</w:t>
      </w:r>
    </w:p>
    <w:p/>
    <w:p>
      <w:pPr>
        <w:pStyle w:val="Heading3"/>
      </w:pPr>
      <w:r>
        <w:rPr>
          <w:rFonts w:ascii="Meiryo UI" w:hAnsi="Meiryo UI"/>
          <w:color w:val="2E74B5"/>
        </w:rPr>
        <w:t>8-5. Margin of Safety（安全域）分析</w:t>
      </w:r>
    </w:p>
    <w:p/>
    <w:p>
      <w:pPr>
        <w:shd w:val="clear" w:color="auto" w:fill="F2F2F2"/>
      </w:pPr>
      <w:r>
        <w:rPr>
          <w:rFonts w:ascii="Courier New" w:hAnsi="Courier New"/>
          <w:sz w:val="16"/>
        </w:rPr>
        <w:t>【安全域チェック】</w:t>
        <w:br/>
        <w:br/>
        <w:t>現在株価: ¥3,758</w:t>
        <w:br/>
        <w:t>DCF基本シナリオA理論株価: ¥8,254</w:t>
        <w:br/>
        <w:t>安全域（対基本シナリオ）: (¥8,254 - ¥3,758) / ¥8,254 = 54.5%</w:t>
        <w:br/>
        <w:br/>
        <w:t>→ 安全域 54.5%: 極めて大きなマージン・オブ・セーフティ</w:t>
        <w:br/>
        <w:br/>
        <w:t>保守的シナリオ（弱気DCF、FCF 80億ベース）での試算:</w:t>
        <w:br/>
        <w:t xml:space="preserve">  FCF 80億、WACC 6.0%、g 1.0%:</w:t>
        <w:br/>
        <w:t xml:space="preserve">  TV = 80億 × 1.01 / 0.05 = 1,616億 → PV = 992億</w:t>
        <w:br/>
        <w:t xml:space="preserve">  企業価値 ≈ 350億(FCF PV)+992億 = 1,342億</w:t>
        <w:br/>
        <w:t xml:space="preserve">  株式価値 = 1,342 - 2,250 = △908億（マイナス = FCFが有利子負債を下回る）</w:t>
        <w:br/>
        <w:t xml:space="preserve">  </w:t>
        <w:br/>
        <w:t xml:space="preserve">  ※ 弱気シナリオでは株式価値がゼロ近傍になるリスクもある</w:t>
        <w:br/>
        <w:t xml:space="preserve">  → ただし石灰石鉱山NAV（1,630億円）が下支えとなり、実質株価はゼロにはならない</w:t>
        <w:br/>
        <w:br/>
        <w:t>NAVベースの絶対的下値:</w:t>
        <w:br/>
        <w:t xml:space="preserve">  NAV保守値 ¥10,606（前述）× 市場適用割引率60%（鉱山流動性なし）:</w:t>
        <w:br/>
        <w:t xml:space="preserve">  = ¥4,242 → 現在株価¥3,758より11.8%高い</w:t>
        <w:br/>
        <w:br/>
        <w:t>→ 現在株価は「NAV保守値×60%割引水準」とほぼ等しい</w:t>
        <w:br/>
        <w:t xml:space="preserve">  → NAV面からの下値サポートは一定程度存在するが、それほど大きくない</w:t>
      </w:r>
    </w:p>
    <w:p/>
    <w:p>
      <w:r>
        <w:t>──────────────────────────────────────────────────</w:t>
      </w:r>
    </w:p>
    <w:p/>
    <w:p>
      <w:pPr>
        <w:pStyle w:val="Heading1"/>
      </w:pPr>
      <w:r>
        <w:rPr>
          <w:rFonts w:ascii="Meiryo UI" w:hAnsi="Meiryo UI"/>
          <w:color w:val="1F3864"/>
        </w:rPr>
        <w:t>3. 財務ハイライト</w:t>
      </w:r>
    </w:p>
    <w:p/>
    <w:p>
      <w:pPr>
        <w:pStyle w:val="Heading2"/>
      </w:pPr>
      <w:r>
        <w:rPr>
          <w:rFonts w:ascii="Meiryo UI" w:hAnsi="Meiryo UI"/>
          <w:color w:val="2E74B5"/>
        </w:rPr>
        <w:t>3-1. 財務サマリー（FY2025実績推定）</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指標</w:t>
            </w:r>
          </w:p>
        </w:tc>
        <w:tc>
          <w:tcPr>
            <w:tcW w:type="dxa" w:w="3135"/>
            <w:shd w:val="clear" w:color="auto" w:fill="2E74B5"/>
          </w:tcPr>
          <w:p>
            <w:r>
              <w:rPr>
                <w:rFonts w:ascii="Meiryo UI" w:hAnsi="Meiryo UI"/>
                <w:b/>
                <w:color w:val="FFFFFF"/>
                <w:sz w:val="18"/>
              </w:rPr>
              <w:t>数値</w:t>
            </w:r>
          </w:p>
        </w:tc>
        <w:tc>
          <w:tcPr>
            <w:tcW w:type="dxa" w:w="3135"/>
            <w:shd w:val="clear" w:color="auto" w:fill="2E74B5"/>
          </w:tcPr>
          <w:p>
            <w:r>
              <w:rPr>
                <w:rFonts w:ascii="Meiryo UI" w:hAnsi="Meiryo UI"/>
                <w:b/>
                <w:color w:val="FFFFFF"/>
                <w:sz w:val="18"/>
              </w:rPr>
              <w:t>備考</w:t>
            </w:r>
          </w:p>
        </w:tc>
      </w:tr>
      <w:tr>
        <w:tc>
          <w:tcPr>
            <w:tcW w:type="dxa" w:w="3135"/>
          </w:tcPr>
          <w:p>
            <w:r>
              <w:rPr>
                <w:rFonts w:ascii="Meiryo UI" w:hAnsi="Meiryo UI"/>
                <w:sz w:val="18"/>
              </w:rPr>
              <w:t>売上高（推定）</w:t>
            </w:r>
          </w:p>
        </w:tc>
        <w:tc>
          <w:tcPr>
            <w:tcW w:type="dxa" w:w="3135"/>
          </w:tcPr>
          <w:p>
            <w:r>
              <w:rPr>
                <w:rFonts w:ascii="Meiryo UI" w:hAnsi="Meiryo UI"/>
                <w:sz w:val="18"/>
              </w:rPr>
              <w:t>¥4,400〜4,600億円</w:t>
            </w:r>
          </w:p>
        </w:tc>
        <w:tc>
          <w:tcPr>
            <w:tcW w:type="dxa" w:w="3135"/>
          </w:tcPr>
          <w:p>
            <w:r>
              <w:rPr>
                <w:rFonts w:ascii="Meiryo UI" w:hAnsi="Meiryo UI"/>
                <w:sz w:val="18"/>
              </w:rPr>
              <w:t>公開情報ベース推計</w:t>
            </w:r>
          </w:p>
        </w:tc>
      </w:tr>
      <w:tr>
        <w:tc>
          <w:tcPr>
            <w:tcW w:type="dxa" w:w="3135"/>
            <w:shd w:val="clear" w:color="auto" w:fill="DDEBF7"/>
          </w:tcPr>
          <w:p>
            <w:r>
              <w:rPr>
                <w:rFonts w:ascii="Meiryo UI" w:hAnsi="Meiryo UI"/>
                <w:sz w:val="18"/>
              </w:rPr>
              <w:t>営業利益（推定）</w:t>
            </w:r>
          </w:p>
        </w:tc>
        <w:tc>
          <w:tcPr>
            <w:tcW w:type="dxa" w:w="3135"/>
            <w:shd w:val="clear" w:color="auto" w:fill="DDEBF7"/>
          </w:tcPr>
          <w:p>
            <w:r>
              <w:rPr>
                <w:rFonts w:ascii="Meiryo UI" w:hAnsi="Meiryo UI"/>
                <w:sz w:val="18"/>
              </w:rPr>
              <w:t>¥140〜180億円</w:t>
            </w:r>
          </w:p>
        </w:tc>
        <w:tc>
          <w:tcPr>
            <w:tcW w:type="dxa" w:w="3135"/>
            <w:shd w:val="clear" w:color="auto" w:fill="DDEBF7"/>
          </w:tcPr>
          <w:p>
            <w:r>
              <w:rPr>
                <w:rFonts w:ascii="Meiryo UI" w:hAnsi="Meiryo UI"/>
                <w:sz w:val="18"/>
              </w:rPr>
              <w:t>営業利益率3〜4%</w:t>
            </w:r>
          </w:p>
        </w:tc>
      </w:tr>
      <w:tr>
        <w:tc>
          <w:tcPr>
            <w:tcW w:type="dxa" w:w="3135"/>
          </w:tcPr>
          <w:p>
            <w:r>
              <w:rPr>
                <w:rFonts w:ascii="Meiryo UI" w:hAnsi="Meiryo UI"/>
                <w:sz w:val="18"/>
              </w:rPr>
              <w:t>純利益（推定）</w:t>
            </w:r>
          </w:p>
        </w:tc>
        <w:tc>
          <w:tcPr>
            <w:tcW w:type="dxa" w:w="3135"/>
          </w:tcPr>
          <w:p>
            <w:r>
              <w:rPr>
                <w:rFonts w:ascii="Meiryo UI" w:hAnsi="Meiryo UI"/>
                <w:sz w:val="18"/>
              </w:rPr>
              <w:t>¥161億円</w:t>
            </w:r>
          </w:p>
        </w:tc>
        <w:tc>
          <w:tcPr>
            <w:tcW w:type="dxa" w:w="3135"/>
          </w:tcPr>
          <w:p>
            <w:r>
              <w:rPr>
                <w:rFonts w:ascii="Meiryo UI" w:hAnsi="Meiryo UI"/>
                <w:sz w:val="18"/>
              </w:rPr>
              <w:t>EPS¥461×350M株</w:t>
            </w:r>
          </w:p>
        </w:tc>
      </w:tr>
      <w:tr>
        <w:tc>
          <w:tcPr>
            <w:tcW w:type="dxa" w:w="3135"/>
            <w:shd w:val="clear" w:color="auto" w:fill="DDEBF7"/>
          </w:tcPr>
          <w:p>
            <w:r>
              <w:rPr>
                <w:rFonts w:ascii="Meiryo UI" w:hAnsi="Meiryo UI"/>
                <w:sz w:val="18"/>
              </w:rPr>
              <w:t>EBITDA（推定）</w:t>
            </w:r>
          </w:p>
        </w:tc>
        <w:tc>
          <w:tcPr>
            <w:tcW w:type="dxa" w:w="3135"/>
            <w:shd w:val="clear" w:color="auto" w:fill="DDEBF7"/>
          </w:tcPr>
          <w:p>
            <w:r>
              <w:rPr>
                <w:rFonts w:ascii="Meiryo UI" w:hAnsi="Meiryo UI"/>
                <w:sz w:val="18"/>
              </w:rPr>
              <w:t>¥380〜420億円</w:t>
            </w:r>
          </w:p>
        </w:tc>
        <w:tc>
          <w:tcPr>
            <w:tcW w:type="dxa" w:w="3135"/>
            <w:shd w:val="clear" w:color="auto" w:fill="DDEBF7"/>
          </w:tcPr>
          <w:p>
            <w:r>
              <w:rPr>
                <w:rFonts w:ascii="Meiryo UI" w:hAnsi="Meiryo UI"/>
                <w:sz w:val="18"/>
              </w:rPr>
              <w:t>営業利益+D&amp;A250億</w:t>
            </w:r>
          </w:p>
        </w:tc>
      </w:tr>
      <w:tr>
        <w:tc>
          <w:tcPr>
            <w:tcW w:type="dxa" w:w="3135"/>
          </w:tcPr>
          <w:p>
            <w:r>
              <w:rPr>
                <w:rFonts w:ascii="Meiryo UI" w:hAnsi="Meiryo UI"/>
                <w:sz w:val="18"/>
              </w:rPr>
              <w:t>FCFマージン（推定）</w:t>
            </w:r>
          </w:p>
        </w:tc>
        <w:tc>
          <w:tcPr>
            <w:tcW w:type="dxa" w:w="3135"/>
          </w:tcPr>
          <w:p>
            <w:r>
              <w:rPr>
                <w:rFonts w:ascii="Meiryo UI" w:hAnsi="Meiryo UI"/>
                <w:sz w:val="18"/>
              </w:rPr>
              <w:t>2〜4%</w:t>
            </w:r>
          </w:p>
        </w:tc>
        <w:tc>
          <w:tcPr>
            <w:tcW w:type="dxa" w:w="3135"/>
          </w:tcPr>
          <w:p>
            <w:r>
              <w:rPr>
                <w:rFonts w:ascii="Meiryo UI" w:hAnsi="Meiryo UI"/>
                <w:sz w:val="18"/>
              </w:rPr>
              <w:t>設備投資控除後</w:t>
            </w:r>
          </w:p>
        </w:tc>
      </w:tr>
      <w:tr>
        <w:tc>
          <w:tcPr>
            <w:tcW w:type="dxa" w:w="3135"/>
            <w:shd w:val="clear" w:color="auto" w:fill="DDEBF7"/>
          </w:tcPr>
          <w:p>
            <w:r>
              <w:rPr>
                <w:rFonts w:ascii="Meiryo UI" w:hAnsi="Meiryo UI"/>
                <w:sz w:val="18"/>
              </w:rPr>
              <w:t>自己資本</w:t>
            </w:r>
          </w:p>
        </w:tc>
        <w:tc>
          <w:tcPr>
            <w:tcW w:type="dxa" w:w="3135"/>
            <w:shd w:val="clear" w:color="auto" w:fill="DDEBF7"/>
          </w:tcPr>
          <w:p>
            <w:r>
              <w:rPr>
                <w:rFonts w:ascii="Meiryo UI" w:hAnsi="Meiryo UI"/>
                <w:sz w:val="18"/>
              </w:rPr>
              <w:t>¥2,002億円</w:t>
            </w:r>
          </w:p>
        </w:tc>
        <w:tc>
          <w:tcPr>
            <w:tcW w:type="dxa" w:w="3135"/>
            <w:shd w:val="clear" w:color="auto" w:fill="DDEBF7"/>
          </w:tcPr>
          <w:p>
            <w:r>
              <w:rPr>
                <w:rFonts w:ascii="Meiryo UI" w:hAnsi="Meiryo UI"/>
                <w:sz w:val="18"/>
              </w:rPr>
              <w:t>BPS¥5,719×350M</w:t>
            </w:r>
          </w:p>
        </w:tc>
      </w:tr>
      <w:tr>
        <w:tc>
          <w:tcPr>
            <w:tcW w:type="dxa" w:w="3135"/>
          </w:tcPr>
          <w:p>
            <w:r>
              <w:rPr>
                <w:rFonts w:ascii="Meiryo UI" w:hAnsi="Meiryo UI"/>
                <w:sz w:val="18"/>
              </w:rPr>
              <w:t>有利子負債（推定）</w:t>
            </w:r>
          </w:p>
        </w:tc>
        <w:tc>
          <w:tcPr>
            <w:tcW w:type="dxa" w:w="3135"/>
          </w:tcPr>
          <w:p>
            <w:r>
              <w:rPr>
                <w:rFonts w:ascii="Meiryo UI" w:hAnsi="Meiryo UI"/>
                <w:sz w:val="18"/>
              </w:rPr>
              <w:t>¥2,000〜2,500億円</w:t>
            </w:r>
          </w:p>
        </w:tc>
        <w:tc>
          <w:tcPr>
            <w:tcW w:type="dxa" w:w="3135"/>
          </w:tcPr>
          <w:p>
            <w:r>
              <w:rPr>
                <w:rFonts w:ascii="Meiryo UI" w:hAnsi="Meiryo UI"/>
                <w:sz w:val="18"/>
              </w:rPr>
              <w:t>重資産業標準</w:t>
            </w:r>
          </w:p>
        </w:tc>
      </w:tr>
      <w:tr>
        <w:tc>
          <w:tcPr>
            <w:tcW w:type="dxa" w:w="3135"/>
            <w:shd w:val="clear" w:color="auto" w:fill="DDEBF7"/>
          </w:tcPr>
          <w:p>
            <w:r>
              <w:rPr>
                <w:rFonts w:ascii="Meiryo UI" w:hAnsi="Meiryo UI"/>
                <w:sz w:val="18"/>
              </w:rPr>
              <w:t>ROE</w:t>
            </w:r>
          </w:p>
        </w:tc>
        <w:tc>
          <w:tcPr>
            <w:tcW w:type="dxa" w:w="3135"/>
            <w:shd w:val="clear" w:color="auto" w:fill="DDEBF7"/>
          </w:tcPr>
          <w:p>
            <w:r>
              <w:rPr>
                <w:rFonts w:ascii="Meiryo UI" w:hAnsi="Meiryo UI"/>
                <w:sz w:val="18"/>
              </w:rPr>
              <w:t>3.7%（確認値）</w:t>
            </w:r>
          </w:p>
        </w:tc>
        <w:tc>
          <w:tcPr>
            <w:tcW w:type="dxa" w:w="3135"/>
            <w:shd w:val="clear" w:color="auto" w:fill="DDEBF7"/>
          </w:tcPr>
          <w:p>
            <w:r>
              <w:rPr>
                <w:rFonts w:ascii="Meiryo UI" w:hAnsi="Meiryo UI"/>
                <w:sz w:val="18"/>
              </w:rPr>
              <w:t>東証基準8%を大幅下回る</w:t>
            </w:r>
          </w:p>
        </w:tc>
      </w:tr>
      <w:tr>
        <w:tc>
          <w:tcPr>
            <w:tcW w:type="dxa" w:w="3135"/>
          </w:tcPr>
          <w:p>
            <w:r>
              <w:rPr>
                <w:rFonts w:ascii="Meiryo UI" w:hAnsi="Meiryo UI"/>
                <w:sz w:val="18"/>
              </w:rPr>
              <w:t>PBR</w:t>
            </w:r>
          </w:p>
        </w:tc>
        <w:tc>
          <w:tcPr>
            <w:tcW w:type="dxa" w:w="3135"/>
          </w:tcPr>
          <w:p>
            <w:r>
              <w:rPr>
                <w:rFonts w:ascii="Meiryo UI" w:hAnsi="Meiryo UI"/>
                <w:sz w:val="18"/>
              </w:rPr>
              <w:t>0.66倍（確認値）</w:t>
            </w:r>
          </w:p>
        </w:tc>
        <w:tc>
          <w:tcPr>
            <w:tcW w:type="dxa" w:w="3135"/>
          </w:tcPr>
          <w:p>
            <w:r>
              <w:rPr>
                <w:rFonts w:ascii="Meiryo UI" w:hAnsi="Meiryo UI"/>
                <w:sz w:val="18"/>
              </w:rPr>
              <w:t>BPS割れ</w:t>
            </w:r>
          </w:p>
        </w:tc>
      </w:tr>
      <w:tr>
        <w:tc>
          <w:tcPr>
            <w:tcW w:type="dxa" w:w="3135"/>
            <w:shd w:val="clear" w:color="auto" w:fill="DDEBF7"/>
          </w:tcPr>
          <w:p>
            <w:r>
              <w:rPr>
                <w:rFonts w:ascii="Meiryo UI" w:hAnsi="Meiryo UI"/>
                <w:sz w:val="18"/>
              </w:rPr>
              <w:t>EPS</w:t>
            </w:r>
          </w:p>
        </w:tc>
        <w:tc>
          <w:tcPr>
            <w:tcW w:type="dxa" w:w="3135"/>
            <w:shd w:val="clear" w:color="auto" w:fill="DDEBF7"/>
          </w:tcPr>
          <w:p>
            <w:r>
              <w:rPr>
                <w:rFonts w:ascii="Meiryo UI" w:hAnsi="Meiryo UI"/>
                <w:sz w:val="18"/>
              </w:rPr>
              <w:t>¥461（確認値）</w:t>
            </w:r>
          </w:p>
        </w:tc>
        <w:tc>
          <w:tcPr>
            <w:tcW w:type="dxa" w:w="3135"/>
            <w:shd w:val="clear" w:color="auto" w:fill="DDEBF7"/>
          </w:tcPr>
          <w:p>
            <w:r>
              <w:rPr>
                <w:rFonts w:ascii="Meiryo UI" w:hAnsi="Meiryo UI"/>
                <w:sz w:val="18"/>
              </w:rPr>
            </w:r>
          </w:p>
        </w:tc>
      </w:tr>
      <w:tr>
        <w:tc>
          <w:tcPr>
            <w:tcW w:type="dxa" w:w="3135"/>
          </w:tcPr>
          <w:p>
            <w:r>
              <w:rPr>
                <w:rFonts w:ascii="Meiryo UI" w:hAnsi="Meiryo UI"/>
                <w:sz w:val="18"/>
              </w:rPr>
              <w:t>PER</w:t>
            </w:r>
          </w:p>
        </w:tc>
        <w:tc>
          <w:tcPr>
            <w:tcW w:type="dxa" w:w="3135"/>
          </w:tcPr>
          <w:p>
            <w:r>
              <w:rPr>
                <w:rFonts w:ascii="Meiryo UI" w:hAnsi="Meiryo UI"/>
                <w:sz w:val="18"/>
              </w:rPr>
              <w:t>8.2倍（確認値）</w:t>
            </w:r>
          </w:p>
        </w:tc>
        <w:tc>
          <w:tcPr>
            <w:tcW w:type="dxa" w:w="3135"/>
          </w:tcPr>
          <w:p>
            <w:r>
              <w:rPr>
                <w:rFonts w:ascii="Meiryo UI" w:hAnsi="Meiryo UI"/>
                <w:sz w:val="18"/>
              </w:rPr>
              <w:t>割安圏</w:t>
            </w:r>
          </w:p>
        </w:tc>
      </w:tr>
      <w:tr>
        <w:tc>
          <w:tcPr>
            <w:tcW w:type="dxa" w:w="3135"/>
            <w:shd w:val="clear" w:color="auto" w:fill="DDEBF7"/>
          </w:tcPr>
          <w:p>
            <w:r>
              <w:rPr>
                <w:rFonts w:ascii="Meiryo UI" w:hAnsi="Meiryo UI"/>
                <w:sz w:val="18"/>
              </w:rPr>
              <w:t>配当利回り（推定）</w:t>
            </w:r>
          </w:p>
        </w:tc>
        <w:tc>
          <w:tcPr>
            <w:tcW w:type="dxa" w:w="3135"/>
            <w:shd w:val="clear" w:color="auto" w:fill="DDEBF7"/>
          </w:tcPr>
          <w:p>
            <w:r>
              <w:rPr>
                <w:rFonts w:ascii="Meiryo UI" w:hAnsi="Meiryo UI"/>
                <w:sz w:val="18"/>
              </w:rPr>
              <w:t>3.0〜3.5%</w:t>
            </w:r>
          </w:p>
        </w:tc>
        <w:tc>
          <w:tcPr>
            <w:tcW w:type="dxa" w:w="3135"/>
            <w:shd w:val="clear" w:color="auto" w:fill="DDEBF7"/>
          </w:tcPr>
          <w:p>
            <w:r>
              <w:rPr>
                <w:rFonts w:ascii="Meiryo UI" w:hAnsi="Meiryo UI"/>
                <w:sz w:val="18"/>
              </w:rPr>
              <w:t>DPS¥127推定</w:t>
            </w:r>
          </w:p>
        </w:tc>
      </w:tr>
    </w:tbl>
    <w:p/>
    <w:p>
      <w:pPr>
        <w:pStyle w:val="Heading2"/>
      </w:pPr>
      <w:r>
        <w:rPr>
          <w:rFonts w:ascii="Meiryo UI" w:hAnsi="Meiryo UI"/>
          <w:color w:val="2E74B5"/>
        </w:rPr>
        <w:t>3-2. セメント業界比較</w:t>
      </w:r>
    </w:p>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val="clear" w:color="auto" w:fill="2E74B5"/>
          </w:tcPr>
          <w:p>
            <w:r>
              <w:rPr>
                <w:rFonts w:ascii="Meiryo UI" w:hAnsi="Meiryo UI"/>
                <w:b/>
                <w:color w:val="FFFFFF"/>
                <w:sz w:val="18"/>
              </w:rPr>
              <w:t>指標</w:t>
            </w:r>
          </w:p>
        </w:tc>
        <w:tc>
          <w:tcPr>
            <w:tcW w:type="dxa" w:w="1881"/>
            <w:shd w:val="clear" w:color="auto" w:fill="2E74B5"/>
          </w:tcPr>
          <w:p>
            <w:r>
              <w:rPr>
                <w:rFonts w:ascii="Meiryo UI" w:hAnsi="Meiryo UI"/>
                <w:b/>
                <w:color w:val="FFFFFF"/>
                <w:sz w:val="18"/>
              </w:rPr>
              <w:t>太平洋セメント</w:t>
            </w:r>
          </w:p>
        </w:tc>
        <w:tc>
          <w:tcPr>
            <w:tcW w:type="dxa" w:w="1881"/>
            <w:shd w:val="clear" w:color="auto" w:fill="2E74B5"/>
          </w:tcPr>
          <w:p>
            <w:r>
              <w:rPr>
                <w:rFonts w:ascii="Meiryo UI" w:hAnsi="Meiryo UI"/>
                <w:b/>
                <w:color w:val="FFFFFF"/>
                <w:sz w:val="18"/>
              </w:rPr>
              <w:t>住友大阪セメント</w:t>
            </w:r>
          </w:p>
        </w:tc>
        <w:tc>
          <w:tcPr>
            <w:tcW w:type="dxa" w:w="1881"/>
            <w:shd w:val="clear" w:color="auto" w:fill="2E74B5"/>
          </w:tcPr>
          <w:p>
            <w:r>
              <w:rPr>
                <w:rFonts w:ascii="Meiryo UI" w:hAnsi="Meiryo UI"/>
                <w:b/>
                <w:color w:val="FFFFFF"/>
                <w:sz w:val="18"/>
              </w:rPr>
              <w:t>宇部三菱セメント</w:t>
            </w:r>
          </w:p>
        </w:tc>
        <w:tc>
          <w:tcPr>
            <w:tcW w:type="dxa" w:w="1881"/>
            <w:shd w:val="clear" w:color="auto" w:fill="2E74B5"/>
          </w:tcPr>
          <w:p>
            <w:r>
              <w:rPr>
                <w:rFonts w:ascii="Meiryo UI" w:hAnsi="Meiryo UI"/>
                <w:b/>
                <w:color w:val="FFFFFF"/>
                <w:sz w:val="18"/>
              </w:rPr>
              <w:t>業界平均</w:t>
            </w:r>
          </w:p>
        </w:tc>
      </w:tr>
      <w:tr>
        <w:tc>
          <w:tcPr>
            <w:tcW w:type="dxa" w:w="1881"/>
          </w:tcPr>
          <w:p>
            <w:r>
              <w:rPr>
                <w:rFonts w:ascii="Meiryo UI" w:hAnsi="Meiryo UI"/>
                <w:sz w:val="18"/>
              </w:rPr>
              <w:t>PBR</w:t>
            </w:r>
          </w:p>
        </w:tc>
        <w:tc>
          <w:tcPr>
            <w:tcW w:type="dxa" w:w="1881"/>
          </w:tcPr>
          <w:p>
            <w:r>
              <w:rPr>
                <w:rFonts w:ascii="Meiryo UI" w:hAnsi="Meiryo UI"/>
                <w:sz w:val="18"/>
              </w:rPr>
              <w:t>0.66倍</w:t>
            </w:r>
          </w:p>
        </w:tc>
        <w:tc>
          <w:tcPr>
            <w:tcW w:type="dxa" w:w="1881"/>
          </w:tcPr>
          <w:p>
            <w:r>
              <w:rPr>
                <w:rFonts w:ascii="Meiryo UI" w:hAnsi="Meiryo UI"/>
                <w:sz w:val="18"/>
              </w:rPr>
              <w:t>0.7〜0.9倍</w:t>
            </w:r>
          </w:p>
        </w:tc>
        <w:tc>
          <w:tcPr>
            <w:tcW w:type="dxa" w:w="1881"/>
          </w:tcPr>
          <w:p>
            <w:r>
              <w:rPr>
                <w:rFonts w:ascii="Meiryo UI" w:hAnsi="Meiryo UI"/>
                <w:sz w:val="18"/>
              </w:rPr>
              <w:t>非上場</w:t>
            </w:r>
          </w:p>
        </w:tc>
        <w:tc>
          <w:tcPr>
            <w:tcW w:type="dxa" w:w="1881"/>
          </w:tcPr>
          <w:p>
            <w:r>
              <w:rPr>
                <w:rFonts w:ascii="Meiryo UI" w:hAnsi="Meiryo UI"/>
                <w:sz w:val="18"/>
              </w:rPr>
              <w:t>0.7〜0.9倍</w:t>
            </w:r>
          </w:p>
        </w:tc>
      </w:tr>
      <w:tr>
        <w:tc>
          <w:tcPr>
            <w:tcW w:type="dxa" w:w="1881"/>
            <w:shd w:val="clear" w:color="auto" w:fill="DDEBF7"/>
          </w:tcPr>
          <w:p>
            <w:r>
              <w:rPr>
                <w:rFonts w:ascii="Meiryo UI" w:hAnsi="Meiryo UI"/>
                <w:sz w:val="18"/>
              </w:rPr>
              <w:t>ROE</w:t>
            </w:r>
          </w:p>
        </w:tc>
        <w:tc>
          <w:tcPr>
            <w:tcW w:type="dxa" w:w="1881"/>
            <w:shd w:val="clear" w:color="auto" w:fill="DDEBF7"/>
          </w:tcPr>
          <w:p>
            <w:r>
              <w:rPr>
                <w:rFonts w:ascii="Meiryo UI" w:hAnsi="Meiryo UI"/>
                <w:sz w:val="18"/>
              </w:rPr>
              <w:t>3.7%</w:t>
            </w:r>
          </w:p>
        </w:tc>
        <w:tc>
          <w:tcPr>
            <w:tcW w:type="dxa" w:w="1881"/>
            <w:shd w:val="clear" w:color="auto" w:fill="DDEBF7"/>
          </w:tcPr>
          <w:p>
            <w:r>
              <w:rPr>
                <w:rFonts w:ascii="Meiryo UI" w:hAnsi="Meiryo UI"/>
                <w:sz w:val="18"/>
              </w:rPr>
              <w:t>4〜6%</w:t>
            </w:r>
          </w:p>
        </w:tc>
        <w:tc>
          <w:tcPr>
            <w:tcW w:type="dxa" w:w="1881"/>
            <w:shd w:val="clear" w:color="auto" w:fill="DDEBF7"/>
          </w:tcPr>
          <w:p>
            <w:r>
              <w:rPr>
                <w:rFonts w:ascii="Meiryo UI" w:hAnsi="Meiryo UI"/>
                <w:sz w:val="18"/>
              </w:rPr>
              <w:t>—</w:t>
            </w:r>
          </w:p>
        </w:tc>
        <w:tc>
          <w:tcPr>
            <w:tcW w:type="dxa" w:w="1881"/>
            <w:shd w:val="clear" w:color="auto" w:fill="DDEBF7"/>
          </w:tcPr>
          <w:p>
            <w:r>
              <w:rPr>
                <w:rFonts w:ascii="Meiryo UI" w:hAnsi="Meiryo UI"/>
                <w:sz w:val="18"/>
              </w:rPr>
              <w:t>4〜7%</w:t>
            </w:r>
          </w:p>
        </w:tc>
      </w:tr>
      <w:tr>
        <w:tc>
          <w:tcPr>
            <w:tcW w:type="dxa" w:w="1881"/>
          </w:tcPr>
          <w:p>
            <w:r>
              <w:rPr>
                <w:rFonts w:ascii="Meiryo UI" w:hAnsi="Meiryo UI"/>
                <w:sz w:val="18"/>
              </w:rPr>
              <w:t>営業利益率</w:t>
            </w:r>
          </w:p>
        </w:tc>
        <w:tc>
          <w:tcPr>
            <w:tcW w:type="dxa" w:w="1881"/>
          </w:tcPr>
          <w:p>
            <w:r>
              <w:rPr>
                <w:rFonts w:ascii="Meiryo UI" w:hAnsi="Meiryo UI"/>
                <w:sz w:val="18"/>
              </w:rPr>
              <w:t>3〜4%</w:t>
            </w:r>
          </w:p>
        </w:tc>
        <w:tc>
          <w:tcPr>
            <w:tcW w:type="dxa" w:w="1881"/>
          </w:tcPr>
          <w:p>
            <w:r>
              <w:rPr>
                <w:rFonts w:ascii="Meiryo UI" w:hAnsi="Meiryo UI"/>
                <w:sz w:val="18"/>
              </w:rPr>
              <w:t>4〜6%</w:t>
            </w:r>
          </w:p>
        </w:tc>
        <w:tc>
          <w:tcPr>
            <w:tcW w:type="dxa" w:w="1881"/>
          </w:tcPr>
          <w:p>
            <w:r>
              <w:rPr>
                <w:rFonts w:ascii="Meiryo UI" w:hAnsi="Meiryo UI"/>
                <w:sz w:val="18"/>
              </w:rPr>
              <w:t>—</w:t>
            </w:r>
          </w:p>
        </w:tc>
        <w:tc>
          <w:tcPr>
            <w:tcW w:type="dxa" w:w="1881"/>
          </w:tcPr>
          <w:p>
            <w:r>
              <w:rPr>
                <w:rFonts w:ascii="Meiryo UI" w:hAnsi="Meiryo UI"/>
                <w:sz w:val="18"/>
              </w:rPr>
              <w:t>4〜6%</w:t>
            </w:r>
          </w:p>
        </w:tc>
      </w:tr>
    </w:tbl>
    <w:p/>
    <w:p>
      <w:r>
        <w:rPr>
          <w:rFonts w:ascii="Meiryo UI" w:hAnsi="Meiryo UI"/>
          <w:sz w:val="20"/>
        </w:rPr>
        <w:t>&gt; セメント業界全体がPBR1倍割れであり、太平洋セメントはその中でも割安水準。業界構造的問題を反映。</w:t>
      </w:r>
    </w:p>
    <w:p/>
    <w:p>
      <w:r>
        <w:t>──────────────────────────────────────────────────</w:t>
      </w:r>
    </w:p>
    <w:p/>
    <w:p>
      <w:pPr>
        <w:pStyle w:val="Heading1"/>
      </w:pPr>
      <w:r>
        <w:rPr>
          <w:rFonts w:ascii="Meiryo UI" w:hAnsi="Meiryo UI"/>
          <w:color w:val="1F3864"/>
        </w:rPr>
        <w:t>4. DCFバリュエーション（前提条件全明記）</w:t>
      </w:r>
    </w:p>
    <w:p/>
    <w:p>
      <w:pPr>
        <w:pStyle w:val="Heading2"/>
      </w:pPr>
      <w:r>
        <w:rPr>
          <w:rFonts w:ascii="Meiryo UI" w:hAnsi="Meiryo UI"/>
          <w:color w:val="2E74B5"/>
        </w:rPr>
        <w:t>前提条件サマリー</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パラメータ</w:t>
            </w:r>
          </w:p>
        </w:tc>
        <w:tc>
          <w:tcPr>
            <w:tcW w:type="dxa" w:w="3135"/>
            <w:shd w:val="clear" w:color="auto" w:fill="2E74B5"/>
          </w:tcPr>
          <w:p>
            <w:r>
              <w:rPr>
                <w:rFonts w:ascii="Meiryo UI" w:hAnsi="Meiryo UI"/>
                <w:b/>
                <w:color w:val="FFFFFF"/>
                <w:sz w:val="18"/>
              </w:rPr>
              <w:t>採用値</w:t>
            </w:r>
          </w:p>
        </w:tc>
        <w:tc>
          <w:tcPr>
            <w:tcW w:type="dxa" w:w="3135"/>
            <w:shd w:val="clear" w:color="auto" w:fill="2E74B5"/>
          </w:tcPr>
          <w:p>
            <w:r>
              <w:rPr>
                <w:rFonts w:ascii="Meiryo UI" w:hAnsi="Meiryo UI"/>
                <w:b/>
                <w:color w:val="FFFFFF"/>
                <w:sz w:val="18"/>
              </w:rPr>
              <w:t>根拠</w:t>
            </w:r>
          </w:p>
        </w:tc>
      </w:tr>
      <w:tr>
        <w:tc>
          <w:tcPr>
            <w:tcW w:type="dxa" w:w="3135"/>
          </w:tcPr>
          <w:p>
            <w:r>
              <w:rPr>
                <w:rFonts w:ascii="Meiryo UI" w:hAnsi="Meiryo UI"/>
                <w:sz w:val="18"/>
              </w:rPr>
              <w:t>リスクフリーレート（Rf）</w:t>
            </w:r>
          </w:p>
        </w:tc>
        <w:tc>
          <w:tcPr>
            <w:tcW w:type="dxa" w:w="3135"/>
          </w:tcPr>
          <w:p>
            <w:r>
              <w:rPr>
                <w:rFonts w:ascii="Meiryo UI" w:hAnsi="Meiryo UI"/>
                <w:sz w:val="18"/>
              </w:rPr>
              <w:t>2.411%</w:t>
            </w:r>
          </w:p>
        </w:tc>
        <w:tc>
          <w:tcPr>
            <w:tcW w:type="dxa" w:w="3135"/>
          </w:tcPr>
          <w:p>
            <w:r>
              <w:rPr>
                <w:rFonts w:ascii="Meiryo UI" w:hAnsi="Meiryo UI"/>
                <w:sz w:val="18"/>
              </w:rPr>
              <w:t>JGB10Y R8.4.7（財務省）</w:t>
            </w:r>
          </w:p>
        </w:tc>
      </w:tr>
      <w:tr>
        <w:tc>
          <w:tcPr>
            <w:tcW w:type="dxa" w:w="3135"/>
            <w:shd w:val="clear" w:color="auto" w:fill="DDEBF7"/>
          </w:tcPr>
          <w:p>
            <w:r>
              <w:rPr>
                <w:rFonts w:ascii="Meiryo UI" w:hAnsi="Meiryo UI"/>
                <w:sz w:val="18"/>
              </w:rPr>
              <w:t>マーケットリスクプレミアム（ERP）</w:t>
            </w:r>
          </w:p>
        </w:tc>
        <w:tc>
          <w:tcPr>
            <w:tcW w:type="dxa" w:w="3135"/>
            <w:shd w:val="clear" w:color="auto" w:fill="DDEBF7"/>
          </w:tcPr>
          <w:p>
            <w:r>
              <w:rPr>
                <w:rFonts w:ascii="Meiryo UI" w:hAnsi="Meiryo UI"/>
                <w:sz w:val="18"/>
              </w:rPr>
              <w:t>5.5%</w:t>
            </w:r>
          </w:p>
        </w:tc>
        <w:tc>
          <w:tcPr>
            <w:tcW w:type="dxa" w:w="3135"/>
            <w:shd w:val="clear" w:color="auto" w:fill="DDEBF7"/>
          </w:tcPr>
          <w:p>
            <w:r>
              <w:rPr>
                <w:rFonts w:ascii="Meiryo UI" w:hAnsi="Meiryo UI"/>
                <w:sz w:val="18"/>
              </w:rPr>
              <w:t>日本株式ERP歴史的平均</w:t>
            </w:r>
          </w:p>
        </w:tc>
      </w:tr>
      <w:tr>
        <w:tc>
          <w:tcPr>
            <w:tcW w:type="dxa" w:w="3135"/>
          </w:tcPr>
          <w:p>
            <w:r>
              <w:rPr>
                <w:rFonts w:ascii="Meiryo UI" w:hAnsi="Meiryo UI"/>
                <w:sz w:val="18"/>
              </w:rPr>
              <w:t>Beta（β）</w:t>
            </w:r>
          </w:p>
        </w:tc>
        <w:tc>
          <w:tcPr>
            <w:tcW w:type="dxa" w:w="3135"/>
          </w:tcPr>
          <w:p>
            <w:r>
              <w:rPr>
                <w:rFonts w:ascii="Meiryo UI" w:hAnsi="Meiryo UI"/>
                <w:sz w:val="18"/>
              </w:rPr>
              <w:t>0.85</w:t>
            </w:r>
          </w:p>
        </w:tc>
        <w:tc>
          <w:tcPr>
            <w:tcW w:type="dxa" w:w="3135"/>
          </w:tcPr>
          <w:p>
            <w:r>
              <w:rPr>
                <w:rFonts w:ascii="Meiryo UI" w:hAnsi="Meiryo UI"/>
                <w:sz w:val="18"/>
              </w:rPr>
              <w:t>セメント業界β、資本財セクター</w:t>
            </w:r>
          </w:p>
        </w:tc>
      </w:tr>
      <w:tr>
        <w:tc>
          <w:tcPr>
            <w:tcW w:type="dxa" w:w="3135"/>
            <w:shd w:val="clear" w:color="auto" w:fill="DDEBF7"/>
          </w:tcPr>
          <w:p>
            <w:r>
              <w:rPr>
                <w:rFonts w:ascii="Meiryo UI" w:hAnsi="Meiryo UI"/>
                <w:sz w:val="18"/>
              </w:rPr>
              <w:t>株主資本コスト（Re）</w:t>
            </w:r>
          </w:p>
        </w:tc>
        <w:tc>
          <w:tcPr>
            <w:tcW w:type="dxa" w:w="3135"/>
            <w:shd w:val="clear" w:color="auto" w:fill="DDEBF7"/>
          </w:tcPr>
          <w:p>
            <w:r>
              <w:rPr>
                <w:rFonts w:ascii="Meiryo UI" w:hAnsi="Meiryo UI"/>
                <w:sz w:val="18"/>
              </w:rPr>
              <w:t>7.09%</w:t>
            </w:r>
          </w:p>
        </w:tc>
        <w:tc>
          <w:tcPr>
            <w:tcW w:type="dxa" w:w="3135"/>
            <w:shd w:val="clear" w:color="auto" w:fill="DDEBF7"/>
          </w:tcPr>
          <w:p>
            <w:r>
              <w:rPr>
                <w:rFonts w:ascii="Meiryo UI" w:hAnsi="Meiryo UI"/>
                <w:sz w:val="18"/>
              </w:rPr>
              <w:t>2.411% + 0.85×5.5%</w:t>
            </w:r>
          </w:p>
        </w:tc>
      </w:tr>
      <w:tr>
        <w:tc>
          <w:tcPr>
            <w:tcW w:type="dxa" w:w="3135"/>
          </w:tcPr>
          <w:p>
            <w:r>
              <w:rPr>
                <w:rFonts w:ascii="Meiryo UI" w:hAnsi="Meiryo UI"/>
                <w:sz w:val="18"/>
              </w:rPr>
              <w:t>負債コスト（Rd）</w:t>
            </w:r>
          </w:p>
        </w:tc>
        <w:tc>
          <w:tcPr>
            <w:tcW w:type="dxa" w:w="3135"/>
          </w:tcPr>
          <w:p>
            <w:r>
              <w:rPr>
                <w:rFonts w:ascii="Meiryo UI" w:hAnsi="Meiryo UI"/>
                <w:sz w:val="18"/>
              </w:rPr>
              <w:t>2.0%</w:t>
            </w:r>
          </w:p>
        </w:tc>
        <w:tc>
          <w:tcPr>
            <w:tcW w:type="dxa" w:w="3135"/>
          </w:tcPr>
          <w:p>
            <w:r>
              <w:rPr>
                <w:rFonts w:ascii="Meiryo UI" w:hAnsi="Meiryo UI"/>
                <w:sz w:val="18"/>
              </w:rPr>
              <w:t>低金利環境・担保資産豊富</w:t>
            </w:r>
          </w:p>
        </w:tc>
      </w:tr>
      <w:tr>
        <w:tc>
          <w:tcPr>
            <w:tcW w:type="dxa" w:w="3135"/>
            <w:shd w:val="clear" w:color="auto" w:fill="DDEBF7"/>
          </w:tcPr>
          <w:p>
            <w:r>
              <w:rPr>
                <w:rFonts w:ascii="Meiryo UI" w:hAnsi="Meiryo UI"/>
                <w:sz w:val="18"/>
              </w:rPr>
              <w:t>実効税率（Tc）</w:t>
            </w:r>
          </w:p>
        </w:tc>
        <w:tc>
          <w:tcPr>
            <w:tcW w:type="dxa" w:w="3135"/>
            <w:shd w:val="clear" w:color="auto" w:fill="DDEBF7"/>
          </w:tcPr>
          <w:p>
            <w:r>
              <w:rPr>
                <w:rFonts w:ascii="Meiryo UI" w:hAnsi="Meiryo UI"/>
                <w:sz w:val="18"/>
              </w:rPr>
              <w:t>30%</w:t>
            </w:r>
          </w:p>
        </w:tc>
        <w:tc>
          <w:tcPr>
            <w:tcW w:type="dxa" w:w="3135"/>
            <w:shd w:val="clear" w:color="auto" w:fill="DDEBF7"/>
          </w:tcPr>
          <w:p>
            <w:r>
              <w:rPr>
                <w:rFonts w:ascii="Meiryo UI" w:hAnsi="Meiryo UI"/>
                <w:sz w:val="18"/>
              </w:rPr>
              <w:t>日本法人税標準</w:t>
            </w:r>
          </w:p>
        </w:tc>
      </w:tr>
      <w:tr>
        <w:tc>
          <w:tcPr>
            <w:tcW w:type="dxa" w:w="3135"/>
          </w:tcPr>
          <w:p>
            <w:r>
              <w:rPr>
                <w:rFonts w:ascii="Meiryo UI" w:hAnsi="Meiryo UI"/>
                <w:sz w:val="18"/>
              </w:rPr>
              <w:t>D/(D+E)</w:t>
            </w:r>
          </w:p>
        </w:tc>
        <w:tc>
          <w:tcPr>
            <w:tcW w:type="dxa" w:w="3135"/>
          </w:tcPr>
          <w:p>
            <w:r>
              <w:rPr>
                <w:rFonts w:ascii="Meiryo UI" w:hAnsi="Meiryo UI"/>
                <w:sz w:val="18"/>
              </w:rPr>
              <w:t>52.9%</w:t>
            </w:r>
          </w:p>
        </w:tc>
        <w:tc>
          <w:tcPr>
            <w:tcW w:type="dxa" w:w="3135"/>
          </w:tcPr>
          <w:p>
            <w:r>
              <w:rPr>
                <w:rFonts w:ascii="Meiryo UI" w:hAnsi="Meiryo UI"/>
                <w:sz w:val="18"/>
              </w:rPr>
              <w:t>重資産業の財務構造</w:t>
            </w:r>
          </w:p>
        </w:tc>
      </w:tr>
      <w:tr>
        <w:tc>
          <w:tcPr>
            <w:tcW w:type="dxa" w:w="3135"/>
            <w:shd w:val="clear" w:color="auto" w:fill="DDEBF7"/>
          </w:tcPr>
          <w:p>
            <w:r>
              <w:rPr>
                <w:rFonts w:ascii="Meiryo UI" w:hAnsi="Meiryo UI"/>
                <w:sz w:val="18"/>
              </w:rPr>
              <w:t>WACC（計算値）</w:t>
            </w:r>
          </w:p>
        </w:tc>
        <w:tc>
          <w:tcPr>
            <w:tcW w:type="dxa" w:w="3135"/>
            <w:shd w:val="clear" w:color="auto" w:fill="DDEBF7"/>
          </w:tcPr>
          <w:p>
            <w:r>
              <w:rPr>
                <w:rFonts w:ascii="Meiryo UI" w:hAnsi="Meiryo UI"/>
                <w:sz w:val="18"/>
              </w:rPr>
              <w:t>4.1%</w:t>
            </w:r>
          </w:p>
        </w:tc>
        <w:tc>
          <w:tcPr>
            <w:tcW w:type="dxa" w:w="3135"/>
            <w:shd w:val="clear" w:color="auto" w:fill="DDEBF7"/>
          </w:tcPr>
          <w:p>
            <w:r>
              <w:rPr>
                <w:rFonts w:ascii="Meiryo UI" w:hAnsi="Meiryo UI"/>
                <w:sz w:val="18"/>
              </w:rPr>
            </w:r>
          </w:p>
        </w:tc>
      </w:tr>
      <w:tr>
        <w:tc>
          <w:tcPr>
            <w:tcW w:type="dxa" w:w="3135"/>
          </w:tcPr>
          <w:p>
            <w:r>
              <w:rPr>
                <w:rFonts w:ascii="Meiryo UI" w:hAnsi="Meiryo UI"/>
                <w:sz w:val="18"/>
              </w:rPr>
              <w:t>WACC（採用値・保守的）</w:t>
            </w:r>
          </w:p>
        </w:tc>
        <w:tc>
          <w:tcPr>
            <w:tcW w:type="dxa" w:w="3135"/>
          </w:tcPr>
          <w:p>
            <w:r>
              <w:rPr>
                <w:rFonts w:ascii="Meiryo UI" w:hAnsi="Meiryo UI"/>
                <w:sz w:val="18"/>
              </w:rPr>
              <w:t>5.0%</w:t>
            </w:r>
          </w:p>
        </w:tc>
        <w:tc>
          <w:tcPr>
            <w:tcW w:type="dxa" w:w="3135"/>
          </w:tcPr>
          <w:p>
            <w:r>
              <w:rPr>
                <w:rFonts w:ascii="Meiryo UI" w:hAnsi="Meiryo UI"/>
                <w:sz w:val="18"/>
              </w:rPr>
              <w:t>需要低迷・構造リスク加算</w:t>
            </w:r>
          </w:p>
        </w:tc>
      </w:tr>
      <w:tr>
        <w:tc>
          <w:tcPr>
            <w:tcW w:type="dxa" w:w="3135"/>
            <w:shd w:val="clear" w:color="auto" w:fill="DDEBF7"/>
          </w:tcPr>
          <w:p>
            <w:r>
              <w:rPr>
                <w:rFonts w:ascii="Meiryo UI" w:hAnsi="Meiryo UI"/>
                <w:sz w:val="18"/>
              </w:rPr>
              <w:t>長期成長率（g）</w:t>
            </w:r>
          </w:p>
        </w:tc>
        <w:tc>
          <w:tcPr>
            <w:tcW w:type="dxa" w:w="3135"/>
            <w:shd w:val="clear" w:color="auto" w:fill="DDEBF7"/>
          </w:tcPr>
          <w:p>
            <w:r>
              <w:rPr>
                <w:rFonts w:ascii="Meiryo UI" w:hAnsi="Meiryo UI"/>
                <w:sz w:val="18"/>
              </w:rPr>
              <w:t>1.5%</w:t>
            </w:r>
          </w:p>
        </w:tc>
        <w:tc>
          <w:tcPr>
            <w:tcW w:type="dxa" w:w="3135"/>
            <w:shd w:val="clear" w:color="auto" w:fill="DDEBF7"/>
          </w:tcPr>
          <w:p>
            <w:r>
              <w:rPr>
                <w:rFonts w:ascii="Meiryo UI" w:hAnsi="Meiryo UI"/>
                <w:sz w:val="18"/>
              </w:rPr>
              <w:t>名目GDP成長率ベース</w:t>
            </w:r>
          </w:p>
        </w:tc>
      </w:tr>
      <w:tr>
        <w:tc>
          <w:tcPr>
            <w:tcW w:type="dxa" w:w="3135"/>
          </w:tcPr>
          <w:p>
            <w:r>
              <w:rPr>
                <w:rFonts w:ascii="Meiryo UI" w:hAnsi="Meiryo UI"/>
                <w:sz w:val="18"/>
              </w:rPr>
              <w:t>分析期間</w:t>
            </w:r>
          </w:p>
        </w:tc>
        <w:tc>
          <w:tcPr>
            <w:tcW w:type="dxa" w:w="3135"/>
          </w:tcPr>
          <w:p>
            <w:r>
              <w:rPr>
                <w:rFonts w:ascii="Meiryo UI" w:hAnsi="Meiryo UI"/>
                <w:sz w:val="18"/>
              </w:rPr>
              <w:t>10年</w:t>
            </w:r>
          </w:p>
        </w:tc>
        <w:tc>
          <w:tcPr>
            <w:tcW w:type="dxa" w:w="3135"/>
          </w:tcPr>
          <w:p>
            <w:r>
              <w:rPr>
                <w:rFonts w:ascii="Meiryo UI" w:hAnsi="Meiryo UI"/>
                <w:sz w:val="18"/>
              </w:rPr>
            </w:r>
          </w:p>
        </w:tc>
      </w:tr>
      <w:tr>
        <w:tc>
          <w:tcPr>
            <w:tcW w:type="dxa" w:w="3135"/>
            <w:shd w:val="clear" w:color="auto" w:fill="DDEBF7"/>
          </w:tcPr>
          <w:p>
            <w:r>
              <w:rPr>
                <w:rFonts w:ascii="Meiryo UI" w:hAnsi="Meiryo UI"/>
                <w:sz w:val="18"/>
              </w:rPr>
              <w:t>発行済株式数</w:t>
            </w:r>
          </w:p>
        </w:tc>
        <w:tc>
          <w:tcPr>
            <w:tcW w:type="dxa" w:w="3135"/>
            <w:shd w:val="clear" w:color="auto" w:fill="DDEBF7"/>
          </w:tcPr>
          <w:p>
            <w:r>
              <w:rPr>
                <w:rFonts w:ascii="Meiryo UI" w:hAnsi="Meiryo UI"/>
                <w:sz w:val="18"/>
              </w:rPr>
              <w:t>350百万株</w:t>
            </w:r>
          </w:p>
        </w:tc>
        <w:tc>
          <w:tcPr>
            <w:tcW w:type="dxa" w:w="3135"/>
            <w:shd w:val="clear" w:color="auto" w:fill="DDEBF7"/>
          </w:tcPr>
          <w:p>
            <w:r>
              <w:rPr>
                <w:rFonts w:ascii="Meiryo UI" w:hAnsi="Meiryo UI"/>
                <w:sz w:val="18"/>
              </w:rPr>
              <w:t>推定</w:t>
            </w:r>
          </w:p>
        </w:tc>
      </w:tr>
      <w:tr>
        <w:tc>
          <w:tcPr>
            <w:tcW w:type="dxa" w:w="3135"/>
          </w:tcPr>
          <w:p>
            <w:r>
              <w:rPr>
                <w:rFonts w:ascii="Meiryo UI" w:hAnsi="Meiryo UI"/>
                <w:sz w:val="18"/>
              </w:rPr>
              <w:t>現在株価</w:t>
            </w:r>
          </w:p>
        </w:tc>
        <w:tc>
          <w:tcPr>
            <w:tcW w:type="dxa" w:w="3135"/>
          </w:tcPr>
          <w:p>
            <w:r>
              <w:rPr>
                <w:rFonts w:ascii="Meiryo UI" w:hAnsi="Meiryo UI"/>
                <w:sz w:val="18"/>
              </w:rPr>
              <w:t>¥3,758</w:t>
            </w:r>
          </w:p>
        </w:tc>
        <w:tc>
          <w:tcPr>
            <w:tcW w:type="dxa" w:w="3135"/>
          </w:tcPr>
          <w:p>
            <w:r>
              <w:rPr>
                <w:rFonts w:ascii="Meiryo UI" w:hAnsi="Meiryo UI"/>
                <w:sz w:val="18"/>
              </w:rPr>
              <w:t>Yahoo Finance確認済み</w:t>
            </w:r>
          </w:p>
        </w:tc>
      </w:tr>
    </w:tbl>
    <w:p/>
    <w:p>
      <w:pPr>
        <w:pStyle w:val="Heading2"/>
      </w:pPr>
      <w:r>
        <w:rPr>
          <w:rFonts w:ascii="Meiryo UI" w:hAnsi="Meiryo UI"/>
          <w:color w:val="2E74B5"/>
        </w:rPr>
        <w:t>理論株価サマリー</w:t>
      </w:r>
    </w:p>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val="clear" w:color="auto" w:fill="2E74B5"/>
          </w:tcPr>
          <w:p>
            <w:r>
              <w:rPr>
                <w:rFonts w:ascii="Meiryo UI" w:hAnsi="Meiryo UI"/>
                <w:b/>
                <w:color w:val="FFFFFF"/>
                <w:sz w:val="18"/>
              </w:rPr>
              <w:t>シナリオ</w:t>
            </w:r>
          </w:p>
        </w:tc>
        <w:tc>
          <w:tcPr>
            <w:tcW w:type="dxa" w:w="1881"/>
            <w:shd w:val="clear" w:color="auto" w:fill="2E74B5"/>
          </w:tcPr>
          <w:p>
            <w:r>
              <w:rPr>
                <w:rFonts w:ascii="Meiryo UI" w:hAnsi="Meiryo UI"/>
                <w:b/>
                <w:color w:val="FFFFFF"/>
                <w:sz w:val="18"/>
              </w:rPr>
              <w:t>WACC</w:t>
            </w:r>
          </w:p>
        </w:tc>
        <w:tc>
          <w:tcPr>
            <w:tcW w:type="dxa" w:w="1881"/>
            <w:shd w:val="clear" w:color="auto" w:fill="2E74B5"/>
          </w:tcPr>
          <w:p>
            <w:r>
              <w:rPr>
                <w:rFonts w:ascii="Meiryo UI" w:hAnsi="Meiryo UI"/>
                <w:b/>
                <w:color w:val="FFFFFF"/>
                <w:sz w:val="18"/>
              </w:rPr>
              <w:t>g</w:t>
            </w:r>
          </w:p>
        </w:tc>
        <w:tc>
          <w:tcPr>
            <w:tcW w:type="dxa" w:w="1881"/>
            <w:shd w:val="clear" w:color="auto" w:fill="2E74B5"/>
          </w:tcPr>
          <w:p>
            <w:r>
              <w:rPr>
                <w:rFonts w:ascii="Meiryo UI" w:hAnsi="Meiryo UI"/>
                <w:b/>
                <w:color w:val="FFFFFF"/>
                <w:sz w:val="18"/>
              </w:rPr>
              <w:t>理論株価</w:t>
            </w:r>
          </w:p>
        </w:tc>
        <w:tc>
          <w:tcPr>
            <w:tcW w:type="dxa" w:w="1881"/>
            <w:shd w:val="clear" w:color="auto" w:fill="2E74B5"/>
          </w:tcPr>
          <w:p>
            <w:r>
              <w:rPr>
                <w:rFonts w:ascii="Meiryo UI" w:hAnsi="Meiryo UI"/>
                <w:b/>
                <w:color w:val="FFFFFF"/>
                <w:sz w:val="18"/>
              </w:rPr>
              <w:t>対現在値</w:t>
            </w:r>
          </w:p>
        </w:tc>
      </w:tr>
      <w:tr>
        <w:tc>
          <w:tcPr>
            <w:tcW w:type="dxa" w:w="1881"/>
          </w:tcPr>
          <w:p>
            <w:r>
              <w:rPr>
                <w:rFonts w:ascii="Meiryo UI" w:hAnsi="Meiryo UI"/>
                <w:sz w:val="18"/>
              </w:rPr>
              <w:t>ROE5%（保守）</w:t>
            </w:r>
          </w:p>
        </w:tc>
        <w:tc>
          <w:tcPr>
            <w:tcW w:type="dxa" w:w="1881"/>
          </w:tcPr>
          <w:p>
            <w:r>
              <w:rPr>
                <w:rFonts w:ascii="Meiryo UI" w:hAnsi="Meiryo UI"/>
                <w:sz w:val="18"/>
              </w:rPr>
              <w:t>5.0%</w:t>
            </w:r>
          </w:p>
        </w:tc>
        <w:tc>
          <w:tcPr>
            <w:tcW w:type="dxa" w:w="1881"/>
          </w:tcPr>
          <w:p>
            <w:r>
              <w:rPr>
                <w:rFonts w:ascii="Meiryo UI" w:hAnsi="Meiryo UI"/>
                <w:sz w:val="18"/>
              </w:rPr>
              <w:t>1.5%</w:t>
            </w:r>
          </w:p>
        </w:tc>
        <w:tc>
          <w:tcPr>
            <w:tcW w:type="dxa" w:w="1881"/>
          </w:tcPr>
          <w:p>
            <w:r>
              <w:rPr>
                <w:rFonts w:ascii="Meiryo UI" w:hAnsi="Meiryo UI"/>
                <w:sz w:val="18"/>
              </w:rPr>
              <w:t>¥8,254</w:t>
            </w:r>
          </w:p>
        </w:tc>
        <w:tc>
          <w:tcPr>
            <w:tcW w:type="dxa" w:w="1881"/>
          </w:tcPr>
          <w:p>
            <w:r>
              <w:rPr>
                <w:rFonts w:ascii="Meiryo UI" w:hAnsi="Meiryo UI"/>
                <w:sz w:val="18"/>
              </w:rPr>
              <w:t>+119.6%</w:t>
            </w:r>
          </w:p>
        </w:tc>
      </w:tr>
      <w:tr>
        <w:tc>
          <w:tcPr>
            <w:tcW w:type="dxa" w:w="1881"/>
            <w:shd w:val="clear" w:color="auto" w:fill="DDEBF7"/>
          </w:tcPr>
          <w:p>
            <w:r>
              <w:rPr>
                <w:rFonts w:ascii="Meiryo UI" w:hAnsi="Meiryo UI"/>
                <w:sz w:val="18"/>
              </w:rPr>
              <w:t>ROE7%（基本）</w:t>
            </w:r>
          </w:p>
        </w:tc>
        <w:tc>
          <w:tcPr>
            <w:tcW w:type="dxa" w:w="1881"/>
            <w:shd w:val="clear" w:color="auto" w:fill="DDEBF7"/>
          </w:tcPr>
          <w:p>
            <w:r>
              <w:rPr>
                <w:rFonts w:ascii="Meiryo UI" w:hAnsi="Meiryo UI"/>
                <w:sz w:val="18"/>
              </w:rPr>
              <w:t>5.0%</w:t>
            </w:r>
          </w:p>
        </w:tc>
        <w:tc>
          <w:tcPr>
            <w:tcW w:type="dxa" w:w="1881"/>
            <w:shd w:val="clear" w:color="auto" w:fill="DDEBF7"/>
          </w:tcPr>
          <w:p>
            <w:r>
              <w:rPr>
                <w:rFonts w:ascii="Meiryo UI" w:hAnsi="Meiryo UI"/>
                <w:sz w:val="18"/>
              </w:rPr>
              <w:t>1.5%</w:t>
            </w:r>
          </w:p>
        </w:tc>
        <w:tc>
          <w:tcPr>
            <w:tcW w:type="dxa" w:w="1881"/>
            <w:shd w:val="clear" w:color="auto" w:fill="DDEBF7"/>
          </w:tcPr>
          <w:p>
            <w:r>
              <w:rPr>
                <w:rFonts w:ascii="Meiryo UI" w:hAnsi="Meiryo UI"/>
                <w:sz w:val="18"/>
              </w:rPr>
              <w:t>¥11,031</w:t>
            </w:r>
          </w:p>
        </w:tc>
        <w:tc>
          <w:tcPr>
            <w:tcW w:type="dxa" w:w="1881"/>
            <w:shd w:val="clear" w:color="auto" w:fill="DDEBF7"/>
          </w:tcPr>
          <w:p>
            <w:r>
              <w:rPr>
                <w:rFonts w:ascii="Meiryo UI" w:hAnsi="Meiryo UI"/>
                <w:sz w:val="18"/>
              </w:rPr>
              <w:t>+193.5%</w:t>
            </w:r>
          </w:p>
        </w:tc>
      </w:tr>
      <w:tr>
        <w:tc>
          <w:tcPr>
            <w:tcW w:type="dxa" w:w="1881"/>
          </w:tcPr>
          <w:p>
            <w:r>
              <w:rPr>
                <w:rFonts w:ascii="Meiryo UI" w:hAnsi="Meiryo UI"/>
                <w:sz w:val="18"/>
              </w:rPr>
              <w:t>ROE10%（強気）</w:t>
            </w:r>
          </w:p>
        </w:tc>
        <w:tc>
          <w:tcPr>
            <w:tcW w:type="dxa" w:w="1881"/>
          </w:tcPr>
          <w:p>
            <w:r>
              <w:rPr>
                <w:rFonts w:ascii="Meiryo UI" w:hAnsi="Meiryo UI"/>
                <w:sz w:val="18"/>
              </w:rPr>
              <w:t>5.0%</w:t>
            </w:r>
          </w:p>
        </w:tc>
        <w:tc>
          <w:tcPr>
            <w:tcW w:type="dxa" w:w="1881"/>
          </w:tcPr>
          <w:p>
            <w:r>
              <w:rPr>
                <w:rFonts w:ascii="Meiryo UI" w:hAnsi="Meiryo UI"/>
                <w:sz w:val="18"/>
              </w:rPr>
              <w:t>1.5%</w:t>
            </w:r>
          </w:p>
        </w:tc>
        <w:tc>
          <w:tcPr>
            <w:tcW w:type="dxa" w:w="1881"/>
          </w:tcPr>
          <w:p>
            <w:r>
              <w:rPr>
                <w:rFonts w:ascii="Meiryo UI" w:hAnsi="Meiryo UI"/>
                <w:sz w:val="18"/>
              </w:rPr>
              <w:t>¥16,071</w:t>
            </w:r>
          </w:p>
        </w:tc>
        <w:tc>
          <w:tcPr>
            <w:tcW w:type="dxa" w:w="1881"/>
          </w:tcPr>
          <w:p>
            <w:r>
              <w:rPr>
                <w:rFonts w:ascii="Meiryo UI" w:hAnsi="Meiryo UI"/>
                <w:sz w:val="18"/>
              </w:rPr>
              <w:t>+327.6%</w:t>
            </w:r>
          </w:p>
        </w:tc>
      </w:tr>
      <w:tr>
        <w:tc>
          <w:tcPr>
            <w:tcW w:type="dxa" w:w="1881"/>
            <w:shd w:val="clear" w:color="auto" w:fill="DDEBF7"/>
          </w:tcPr>
          <w:p>
            <w:r>
              <w:rPr>
                <w:rFonts w:ascii="Meiryo UI" w:hAnsi="Meiryo UI"/>
                <w:sz w:val="18"/>
              </w:rPr>
              <w:t>SOP（Sum-of-Parts）</w:t>
            </w:r>
          </w:p>
        </w:tc>
        <w:tc>
          <w:tcPr>
            <w:tcW w:type="dxa" w:w="1881"/>
            <w:shd w:val="clear" w:color="auto" w:fill="DDEBF7"/>
          </w:tcPr>
          <w:p>
            <w:r>
              <w:rPr>
                <w:rFonts w:ascii="Meiryo UI" w:hAnsi="Meiryo UI"/>
                <w:sz w:val="18"/>
              </w:rPr>
              <w:t>—</w:t>
            </w:r>
          </w:p>
        </w:tc>
        <w:tc>
          <w:tcPr>
            <w:tcW w:type="dxa" w:w="1881"/>
            <w:shd w:val="clear" w:color="auto" w:fill="DDEBF7"/>
          </w:tcPr>
          <w:p>
            <w:r>
              <w:rPr>
                <w:rFonts w:ascii="Meiryo UI" w:hAnsi="Meiryo UI"/>
                <w:sz w:val="18"/>
              </w:rPr>
              <w:t>—</w:t>
            </w:r>
          </w:p>
        </w:tc>
        <w:tc>
          <w:tcPr>
            <w:tcW w:type="dxa" w:w="1881"/>
            <w:shd w:val="clear" w:color="auto" w:fill="DDEBF7"/>
          </w:tcPr>
          <w:p>
            <w:r>
              <w:rPr>
                <w:rFonts w:ascii="Meiryo UI" w:hAnsi="Meiryo UI"/>
                <w:sz w:val="18"/>
              </w:rPr>
              <w:t>¥11,600</w:t>
            </w:r>
          </w:p>
        </w:tc>
        <w:tc>
          <w:tcPr>
            <w:tcW w:type="dxa" w:w="1881"/>
            <w:shd w:val="clear" w:color="auto" w:fill="DDEBF7"/>
          </w:tcPr>
          <w:p>
            <w:r>
              <w:rPr>
                <w:rFonts w:ascii="Meiryo UI" w:hAnsi="Meiryo UI"/>
                <w:sz w:val="18"/>
              </w:rPr>
              <w:t>+208.7%</w:t>
            </w:r>
          </w:p>
        </w:tc>
      </w:tr>
      <w:tr>
        <w:tc>
          <w:tcPr>
            <w:tcW w:type="dxa" w:w="1881"/>
          </w:tcPr>
          <w:p>
            <w:r>
              <w:rPr>
                <w:rFonts w:ascii="Meiryo UI" w:hAnsi="Meiryo UI"/>
                <w:sz w:val="18"/>
              </w:rPr>
              <w:t>NAV保守値</w:t>
            </w:r>
          </w:p>
        </w:tc>
        <w:tc>
          <w:tcPr>
            <w:tcW w:type="dxa" w:w="1881"/>
          </w:tcPr>
          <w:p>
            <w:r>
              <w:rPr>
                <w:rFonts w:ascii="Meiryo UI" w:hAnsi="Meiryo UI"/>
                <w:sz w:val="18"/>
              </w:rPr>
              <w:t>—</w:t>
            </w:r>
          </w:p>
        </w:tc>
        <w:tc>
          <w:tcPr>
            <w:tcW w:type="dxa" w:w="1881"/>
          </w:tcPr>
          <w:p>
            <w:r>
              <w:rPr>
                <w:rFonts w:ascii="Meiryo UI" w:hAnsi="Meiryo UI"/>
                <w:sz w:val="18"/>
              </w:rPr>
              <w:t>—</w:t>
            </w:r>
          </w:p>
        </w:tc>
        <w:tc>
          <w:tcPr>
            <w:tcW w:type="dxa" w:w="1881"/>
          </w:tcPr>
          <w:p>
            <w:r>
              <w:rPr>
                <w:rFonts w:ascii="Meiryo UI" w:hAnsi="Meiryo UI"/>
                <w:sz w:val="18"/>
              </w:rPr>
              <w:t>¥10,606</w:t>
            </w:r>
          </w:p>
        </w:tc>
        <w:tc>
          <w:tcPr>
            <w:tcW w:type="dxa" w:w="1881"/>
          </w:tcPr>
          <w:p>
            <w:r>
              <w:rPr>
                <w:rFonts w:ascii="Meiryo UI" w:hAnsi="Meiryo UI"/>
                <w:sz w:val="18"/>
              </w:rPr>
              <w:t>+182.2%</w:t>
            </w:r>
          </w:p>
        </w:tc>
      </w:tr>
    </w:tbl>
    <w:p/>
    <w:p>
      <w:r>
        <w:t>──────────────────────────────────────────────────</w:t>
      </w:r>
    </w:p>
    <w:p/>
    <w:p>
      <w:pPr>
        <w:pStyle w:val="Heading1"/>
      </w:pPr>
      <w:r>
        <w:rPr>
          <w:rFonts w:ascii="Meiryo UI" w:hAnsi="Meiryo UI"/>
          <w:color w:val="1F3864"/>
        </w:rPr>
        <w:t>5. 理論株価と投資判断</w:t>
      </w:r>
    </w:p>
    <w:p/>
    <w:p>
      <w:pPr>
        <w:pStyle w:val="Heading2"/>
      </w:pPr>
      <w:r>
        <w:rPr>
          <w:rFonts w:ascii="Meiryo UI" w:hAnsi="Meiryo UI"/>
          <w:color w:val="2E74B5"/>
        </w:rPr>
        <w:t>最終理論株価</w:t>
      </w:r>
    </w:p>
    <w:p/>
    <w:p>
      <w:pPr>
        <w:shd w:val="clear" w:color="auto" w:fill="F2F2F2"/>
      </w:pPr>
      <w:r>
        <w:rPr>
          <w:rFonts w:ascii="Courier New" w:hAnsi="Courier New"/>
          <w:sz w:val="16"/>
        </w:rPr>
        <w:t>【理論株価レンジ（深井採用値）】</w:t>
        <w:br/>
        <w:br/>
        <w:t xml:space="preserve">  保守シナリオ（ROE5%・WACC5.0%）:   ¥8,254</w:t>
        <w:br/>
        <w:t xml:space="preserve">  基本シナリオ（ROE7%・WACC5.0%）:   ¥11,031</w:t>
        <w:br/>
        <w:t xml:space="preserve">  強気シナリオ（ROE10%・WACC5.0%）:  ¥16,071</w:t>
        <w:br/>
        <w:br/>
        <w:t xml:space="preserve">  Margin of Safety 30%割引後:</w:t>
        <w:br/>
        <w:t xml:space="preserve">  保守: ¥8,254 × 0.70 = ¥5,778（目標株価・保守）</w:t>
        <w:br/>
        <w:t xml:space="preserve">  基本: ¥11,031 × 0.70 = ¥7,722（目標株価・基本）</w:t>
        <w:br/>
        <w:br/>
        <w:t>【採用目標株価（12〜18ヶ月）】</w:t>
        <w:br/>
        <w:t xml:space="preserve">  ¥5,000〜¥7,000（保守的目標レンジ）</w:t>
        <w:br/>
        <w:t xml:space="preserve">  中心値: ¥6,000</w:t>
        <w:br/>
        <w:br/>
        <w:t>現在株価: ¥3,758</w:t>
        <w:br/>
        <w:t>アップサイド: +33〜+86%（目標レンジ中心値+60%）</w:t>
      </w:r>
    </w:p>
    <w:p/>
    <w:p>
      <w:pPr>
        <w:pStyle w:val="Heading2"/>
      </w:pPr>
      <w:r>
        <w:rPr>
          <w:rFonts w:ascii="Meiryo UI" w:hAnsi="Meiryo UI"/>
          <w:color w:val="2E74B5"/>
        </w:rPr>
        <w:t>投資判断</w:t>
      </w:r>
    </w:p>
    <w:p/>
    <w:p>
      <w:pPr>
        <w:shd w:val="clear" w:color="auto" w:fill="F2F2F2"/>
      </w:pPr>
      <w:r>
        <w:rPr>
          <w:rFonts w:ascii="Courier New" w:hAnsi="Courier New"/>
          <w:sz w:val="16"/>
        </w:rPr>
        <w:t>╔══════════════════════════════════════╗</w:t>
        <w:br/>
        <w:t>║                                      ║</w:t>
        <w:br/>
        <w:t>║   投資判断: 買い（条件付き）          ║</w:t>
        <w:br/>
        <w:t>║   Buy（Conditional）★★★★☆           ║</w:t>
        <w:br/>
        <w:t>║                                      ║</w:t>
        <w:br/>
        <w:t>║   目標株価: ¥6,000（12〜18ヶ月）     ║</w:t>
        <w:br/>
        <w:t>║   現在株価: ¥3,758                   ║</w:t>
        <w:br/>
        <w:t>║   アップサイド: +59.7%               ║</w:t>
        <w:br/>
        <w:t>║   損切りライン: ¥3,000（-20.2%）     ║</w:t>
        <w:br/>
        <w:t>║                                      ║</w:t>
        <w:br/>
        <w:t>╚══════════════════════════════════════╝</w:t>
      </w:r>
    </w:p>
    <w:p/>
    <w:p>
      <w:r>
        <w:rPr>
          <w:rFonts w:ascii="Meiryo UI" w:hAnsi="Meiryo UI"/>
          <w:sz w:val="20"/>
        </w:rPr>
        <w:t>「条件付き買い」の根拠:</w:t>
      </w:r>
    </w:p>
    <w:p>
      <w:pPr>
        <w:pStyle w:val="ListNumber"/>
      </w:pPr>
      <w:r>
        <w:rPr>
          <w:rFonts w:ascii="Meiryo UI" w:hAnsi="Meiryo UI"/>
          <w:sz w:val="20"/>
        </w:rPr>
        <w:t>NAV比較で74%超の大幅ディスカウント（本質的割安）</w:t>
      </w:r>
    </w:p>
    <w:p>
      <w:pPr>
        <w:pStyle w:val="ListNumber"/>
      </w:pPr>
      <w:r>
        <w:rPr>
          <w:rFonts w:ascii="Meiryo UI" w:hAnsi="Meiryo UI"/>
          <w:sz w:val="20"/>
        </w:rPr>
        <w:t>生コン需要底打ち（+0.8%）→回復サイクル入り</w:t>
      </w:r>
    </w:p>
    <w:p>
      <w:pPr>
        <w:pStyle w:val="ListNumber"/>
      </w:pPr>
      <w:r>
        <w:rPr>
          <w:rFonts w:ascii="Meiryo UI" w:hAnsi="Meiryo UI"/>
          <w:sz w:val="20"/>
        </w:rPr>
        <w:t>PBR0.66倍 × 配当利回り3.3%の複合バリュー</w:t>
      </w:r>
    </w:p>
    <w:p>
      <w:pPr>
        <w:pStyle w:val="ListNumber"/>
      </w:pPr>
      <w:r>
        <w:rPr>
          <w:rFonts w:ascii="Meiryo UI" w:hAnsi="Meiryo UI"/>
          <w:sz w:val="20"/>
        </w:rPr>
        <w:t>米国IIJA最盛期（2026〜2028年）の収益寄与</w:t>
      </w:r>
    </w:p>
    <w:p/>
    <w:p>
      <w:r>
        <w:rPr>
          <w:rFonts w:ascii="Meiryo UI" w:hAnsi="Meiryo UI"/>
          <w:sz w:val="20"/>
        </w:rPr>
        <w:t>「強い買い」に至らない理由:</w:t>
      </w:r>
    </w:p>
    <w:p>
      <w:pPr>
        <w:pStyle w:val="ListNumber"/>
      </w:pPr>
      <w:r>
        <w:rPr>
          <w:rFonts w:ascii="Meiryo UI" w:hAnsi="Meiryo UI"/>
          <w:sz w:val="20"/>
        </w:rPr>
        <w:t>自社株買い1年不実施によるカタリスト不在</w:t>
      </w:r>
    </w:p>
    <w:p>
      <w:pPr>
        <w:pStyle w:val="ListNumber"/>
      </w:pPr>
      <w:r>
        <w:rPr>
          <w:rFonts w:ascii="Meiryo UI" w:hAnsi="Meiryo UI"/>
          <w:sz w:val="20"/>
        </w:rPr>
        <w:t>ROE3.7%→8%への道筋が不明確</w:t>
      </w:r>
    </w:p>
    <w:p>
      <w:pPr>
        <w:pStyle w:val="ListNumber"/>
      </w:pPr>
      <w:r>
        <w:rPr>
          <w:rFonts w:ascii="Meiryo UI" w:hAnsi="Meiryo UI"/>
          <w:sz w:val="20"/>
        </w:rPr>
        <w:t>エネルギーコスト高止まり（LPG+38%等）の短期圧迫</w:t>
      </w:r>
    </w:p>
    <w:p/>
    <w:p>
      <w:r>
        <w:t>──────────────────────────────────────────────────</w:t>
      </w:r>
    </w:p>
    <w:p/>
    <w:p>
      <w:pPr>
        <w:pStyle w:val="Heading1"/>
      </w:pPr>
      <w:r>
        <w:rPr>
          <w:rFonts w:ascii="Meiryo UI" w:hAnsi="Meiryo UI"/>
          <w:color w:val="1F3864"/>
        </w:rPr>
        <w:t>6. メインシナリオ vs リスクシナリオ（3ケース）</w:t>
      </w:r>
    </w:p>
    <w:p/>
    <w:p>
      <w:pPr>
        <w:pStyle w:val="Heading2"/>
      </w:pPr>
      <w:r>
        <w:rPr>
          <w:rFonts w:ascii="Meiryo UI" w:hAnsi="Meiryo UI"/>
          <w:color w:val="2E74B5"/>
        </w:rPr>
        <w:t>シナリオ比較表</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項目</w:t>
            </w:r>
          </w:p>
        </w:tc>
        <w:tc>
          <w:tcPr>
            <w:tcW w:type="dxa" w:w="2351"/>
            <w:shd w:val="clear" w:color="auto" w:fill="2E74B5"/>
          </w:tcPr>
          <w:p>
            <w:r>
              <w:rPr>
                <w:rFonts w:ascii="Meiryo UI" w:hAnsi="Meiryo UI"/>
                <w:b/>
                <w:color w:val="FFFFFF"/>
                <w:sz w:val="18"/>
              </w:rPr>
              <w:t>強気シナリオ</w:t>
            </w:r>
          </w:p>
        </w:tc>
        <w:tc>
          <w:tcPr>
            <w:tcW w:type="dxa" w:w="2351"/>
            <w:shd w:val="clear" w:color="auto" w:fill="2E74B5"/>
          </w:tcPr>
          <w:p>
            <w:r>
              <w:rPr>
                <w:rFonts w:ascii="Meiryo UI" w:hAnsi="Meiryo UI"/>
                <w:b/>
                <w:color w:val="FFFFFF"/>
                <w:sz w:val="18"/>
              </w:rPr>
              <w:t>基本シナリオ</w:t>
            </w:r>
          </w:p>
        </w:tc>
        <w:tc>
          <w:tcPr>
            <w:tcW w:type="dxa" w:w="2351"/>
            <w:shd w:val="clear" w:color="auto" w:fill="2E74B5"/>
          </w:tcPr>
          <w:p>
            <w:r>
              <w:rPr>
                <w:rFonts w:ascii="Meiryo UI" w:hAnsi="Meiryo UI"/>
                <w:b/>
                <w:color w:val="FFFFFF"/>
                <w:sz w:val="18"/>
              </w:rPr>
              <w:t>弱気シナリオ</w:t>
            </w:r>
          </w:p>
        </w:tc>
      </w:tr>
      <w:tr>
        <w:tc>
          <w:tcPr>
            <w:tcW w:type="dxa" w:w="2351"/>
          </w:tcPr>
          <w:p>
            <w:r>
              <w:rPr>
                <w:rFonts w:ascii="Meiryo UI" w:hAnsi="Meiryo UI"/>
                <w:sz w:val="18"/>
              </w:rPr>
              <w:t>確率</w:t>
            </w:r>
          </w:p>
        </w:tc>
        <w:tc>
          <w:tcPr>
            <w:tcW w:type="dxa" w:w="2351"/>
          </w:tcPr>
          <w:p>
            <w:r>
              <w:rPr>
                <w:rFonts w:ascii="Meiryo UI" w:hAnsi="Meiryo UI"/>
                <w:sz w:val="18"/>
              </w:rPr>
              <w:t>25%</w:t>
            </w:r>
          </w:p>
        </w:tc>
        <w:tc>
          <w:tcPr>
            <w:tcW w:type="dxa" w:w="2351"/>
          </w:tcPr>
          <w:p>
            <w:r>
              <w:rPr>
                <w:rFonts w:ascii="Meiryo UI" w:hAnsi="Meiryo UI"/>
                <w:sz w:val="18"/>
              </w:rPr>
              <w:t>50%</w:t>
            </w:r>
          </w:p>
        </w:tc>
        <w:tc>
          <w:tcPr>
            <w:tcW w:type="dxa" w:w="2351"/>
          </w:tcPr>
          <w:p>
            <w:r>
              <w:rPr>
                <w:rFonts w:ascii="Meiryo UI" w:hAnsi="Meiryo UI"/>
                <w:sz w:val="18"/>
              </w:rPr>
              <w:t>25%</w:t>
            </w:r>
          </w:p>
        </w:tc>
      </w:tr>
      <w:tr>
        <w:tc>
          <w:tcPr>
            <w:tcW w:type="dxa" w:w="2351"/>
            <w:shd w:val="clear" w:color="auto" w:fill="DDEBF7"/>
          </w:tcPr>
          <w:p>
            <w:r>
              <w:rPr>
                <w:rFonts w:ascii="Meiryo UI" w:hAnsi="Meiryo UI"/>
                <w:sz w:val="18"/>
              </w:rPr>
              <w:t>生コン需要（FY2026）</w:t>
            </w:r>
          </w:p>
        </w:tc>
        <w:tc>
          <w:tcPr>
            <w:tcW w:type="dxa" w:w="2351"/>
            <w:shd w:val="clear" w:color="auto" w:fill="DDEBF7"/>
          </w:tcPr>
          <w:p>
            <w:r>
              <w:rPr>
                <w:rFonts w:ascii="Meiryo UI" w:hAnsi="Meiryo UI"/>
                <w:sz w:val="18"/>
              </w:rPr>
              <w:t>+5〜7%</w:t>
            </w:r>
          </w:p>
        </w:tc>
        <w:tc>
          <w:tcPr>
            <w:tcW w:type="dxa" w:w="2351"/>
            <w:shd w:val="clear" w:color="auto" w:fill="DDEBF7"/>
          </w:tcPr>
          <w:p>
            <w:r>
              <w:rPr>
                <w:rFonts w:ascii="Meiryo UI" w:hAnsi="Meiryo UI"/>
                <w:sz w:val="18"/>
              </w:rPr>
              <w:t>+2〜4%</w:t>
            </w:r>
          </w:p>
        </w:tc>
        <w:tc>
          <w:tcPr>
            <w:tcW w:type="dxa" w:w="2351"/>
            <w:shd w:val="clear" w:color="auto" w:fill="DDEBF7"/>
          </w:tcPr>
          <w:p>
            <w:r>
              <w:rPr>
                <w:rFonts w:ascii="Meiryo UI" w:hAnsi="Meiryo UI"/>
                <w:sz w:val="18"/>
              </w:rPr>
              <w:t>-1〜+1%</w:t>
            </w:r>
          </w:p>
        </w:tc>
      </w:tr>
      <w:tr>
        <w:tc>
          <w:tcPr>
            <w:tcW w:type="dxa" w:w="2351"/>
          </w:tcPr>
          <w:p>
            <w:r>
              <w:rPr>
                <w:rFonts w:ascii="Meiryo UI" w:hAnsi="Meiryo UI"/>
                <w:sz w:val="18"/>
              </w:rPr>
              <w:t>エネルギーコスト</w:t>
            </w:r>
          </w:p>
        </w:tc>
        <w:tc>
          <w:tcPr>
            <w:tcW w:type="dxa" w:w="2351"/>
          </w:tcPr>
          <w:p>
            <w:r>
              <w:rPr>
                <w:rFonts w:ascii="Meiryo UI" w:hAnsi="Meiryo UI"/>
                <w:sz w:val="18"/>
              </w:rPr>
              <w:t>下落・安定</w:t>
            </w:r>
          </w:p>
        </w:tc>
        <w:tc>
          <w:tcPr>
            <w:tcW w:type="dxa" w:w="2351"/>
          </w:tcPr>
          <w:p>
            <w:r>
              <w:rPr>
                <w:rFonts w:ascii="Meiryo UI" w:hAnsi="Meiryo UI"/>
                <w:sz w:val="18"/>
              </w:rPr>
              <w:t>横ばい</w:t>
            </w:r>
          </w:p>
        </w:tc>
        <w:tc>
          <w:tcPr>
            <w:tcW w:type="dxa" w:w="2351"/>
          </w:tcPr>
          <w:p>
            <w:r>
              <w:rPr>
                <w:rFonts w:ascii="Meiryo UI" w:hAnsi="Meiryo UI"/>
                <w:sz w:val="18"/>
              </w:rPr>
              <w:t>さらに上昇</w:t>
            </w:r>
          </w:p>
        </w:tc>
      </w:tr>
      <w:tr>
        <w:tc>
          <w:tcPr>
            <w:tcW w:type="dxa" w:w="2351"/>
            <w:shd w:val="clear" w:color="auto" w:fill="DDEBF7"/>
          </w:tcPr>
          <w:p>
            <w:r>
              <w:rPr>
                <w:rFonts w:ascii="Meiryo UI" w:hAnsi="Meiryo UI"/>
                <w:sz w:val="18"/>
              </w:rPr>
              <w:t>米国事業</w:t>
            </w:r>
          </w:p>
        </w:tc>
        <w:tc>
          <w:tcPr>
            <w:tcW w:type="dxa" w:w="2351"/>
            <w:shd w:val="clear" w:color="auto" w:fill="DDEBF7"/>
          </w:tcPr>
          <w:p>
            <w:r>
              <w:rPr>
                <w:rFonts w:ascii="Meiryo UI" w:hAnsi="Meiryo UI"/>
                <w:sz w:val="18"/>
              </w:rPr>
              <w:t>IIJA最大恩恵</w:t>
            </w:r>
          </w:p>
        </w:tc>
        <w:tc>
          <w:tcPr>
            <w:tcW w:type="dxa" w:w="2351"/>
            <w:shd w:val="clear" w:color="auto" w:fill="DDEBF7"/>
          </w:tcPr>
          <w:p>
            <w:r>
              <w:rPr>
                <w:rFonts w:ascii="Meiryo UI" w:hAnsi="Meiryo UI"/>
                <w:sz w:val="18"/>
              </w:rPr>
              <w:t>標準的貢献</w:t>
            </w:r>
          </w:p>
        </w:tc>
        <w:tc>
          <w:tcPr>
            <w:tcW w:type="dxa" w:w="2351"/>
            <w:shd w:val="clear" w:color="auto" w:fill="DDEBF7"/>
          </w:tcPr>
          <w:p>
            <w:r>
              <w:rPr>
                <w:rFonts w:ascii="Meiryo UI" w:hAnsi="Meiryo UI"/>
                <w:sz w:val="18"/>
              </w:rPr>
              <w:t>建設投資減速</w:t>
            </w:r>
          </w:p>
        </w:tc>
      </w:tr>
      <w:tr>
        <w:tc>
          <w:tcPr>
            <w:tcW w:type="dxa" w:w="2351"/>
          </w:tcPr>
          <w:p>
            <w:r>
              <w:rPr>
                <w:rFonts w:ascii="Meiryo UI" w:hAnsi="Meiryo UI"/>
                <w:sz w:val="18"/>
              </w:rPr>
              <w:t>ROE（FY2027）</w:t>
            </w:r>
          </w:p>
        </w:tc>
        <w:tc>
          <w:tcPr>
            <w:tcW w:type="dxa" w:w="2351"/>
          </w:tcPr>
          <w:p>
            <w:r>
              <w:rPr>
                <w:rFonts w:ascii="Meiryo UI" w:hAnsi="Meiryo UI"/>
                <w:sz w:val="18"/>
              </w:rPr>
              <w:t>6〜7%</w:t>
            </w:r>
          </w:p>
        </w:tc>
        <w:tc>
          <w:tcPr>
            <w:tcW w:type="dxa" w:w="2351"/>
          </w:tcPr>
          <w:p>
            <w:r>
              <w:rPr>
                <w:rFonts w:ascii="Meiryo UI" w:hAnsi="Meiryo UI"/>
                <w:sz w:val="18"/>
              </w:rPr>
              <w:t>4.5〜5.5%</w:t>
            </w:r>
          </w:p>
        </w:tc>
        <w:tc>
          <w:tcPr>
            <w:tcW w:type="dxa" w:w="2351"/>
          </w:tcPr>
          <w:p>
            <w:r>
              <w:rPr>
                <w:rFonts w:ascii="Meiryo UI" w:hAnsi="Meiryo UI"/>
                <w:sz w:val="18"/>
              </w:rPr>
              <w:t>3〜4%</w:t>
            </w:r>
          </w:p>
        </w:tc>
      </w:tr>
      <w:tr>
        <w:tc>
          <w:tcPr>
            <w:tcW w:type="dxa" w:w="2351"/>
            <w:shd w:val="clear" w:color="auto" w:fill="DDEBF7"/>
          </w:tcPr>
          <w:p>
            <w:r>
              <w:rPr>
                <w:rFonts w:ascii="Meiryo UI" w:hAnsi="Meiryo UI"/>
                <w:sz w:val="18"/>
              </w:rPr>
              <w:t>営業利益（FY2027）</w:t>
            </w:r>
          </w:p>
        </w:tc>
        <w:tc>
          <w:tcPr>
            <w:tcW w:type="dxa" w:w="2351"/>
            <w:shd w:val="clear" w:color="auto" w:fill="DDEBF7"/>
          </w:tcPr>
          <w:p>
            <w:r>
              <w:rPr>
                <w:rFonts w:ascii="Meiryo UI" w:hAnsi="Meiryo UI"/>
                <w:sz w:val="18"/>
              </w:rPr>
              <w:t>¥280〜330億</w:t>
            </w:r>
          </w:p>
        </w:tc>
        <w:tc>
          <w:tcPr>
            <w:tcW w:type="dxa" w:w="2351"/>
            <w:shd w:val="clear" w:color="auto" w:fill="DDEBF7"/>
          </w:tcPr>
          <w:p>
            <w:r>
              <w:rPr>
                <w:rFonts w:ascii="Meiryo UI" w:hAnsi="Meiryo UI"/>
                <w:sz w:val="18"/>
              </w:rPr>
              <w:t>¥180〜220億</w:t>
            </w:r>
          </w:p>
        </w:tc>
        <w:tc>
          <w:tcPr>
            <w:tcW w:type="dxa" w:w="2351"/>
            <w:shd w:val="clear" w:color="auto" w:fill="DDEBF7"/>
          </w:tcPr>
          <w:p>
            <w:r>
              <w:rPr>
                <w:rFonts w:ascii="Meiryo UI" w:hAnsi="Meiryo UI"/>
                <w:sz w:val="18"/>
              </w:rPr>
              <w:t>¥120〜150億</w:t>
            </w:r>
          </w:p>
        </w:tc>
      </w:tr>
      <w:tr>
        <w:tc>
          <w:tcPr>
            <w:tcW w:type="dxa" w:w="2351"/>
          </w:tcPr>
          <w:p>
            <w:r>
              <w:rPr>
                <w:rFonts w:ascii="Meiryo UI" w:hAnsi="Meiryo UI"/>
                <w:sz w:val="18"/>
              </w:rPr>
              <w:t>自社株買い</w:t>
            </w:r>
          </w:p>
        </w:tc>
        <w:tc>
          <w:tcPr>
            <w:tcW w:type="dxa" w:w="2351"/>
          </w:tcPr>
          <w:p>
            <w:r>
              <w:rPr>
                <w:rFonts w:ascii="Meiryo UI" w:hAnsi="Meiryo UI"/>
                <w:sz w:val="18"/>
              </w:rPr>
              <w:t>1年後再開・大型</w:t>
            </w:r>
          </w:p>
        </w:tc>
        <w:tc>
          <w:tcPr>
            <w:tcW w:type="dxa" w:w="2351"/>
          </w:tcPr>
          <w:p>
            <w:r>
              <w:rPr>
                <w:rFonts w:ascii="Meiryo UI" w:hAnsi="Meiryo UI"/>
                <w:sz w:val="18"/>
              </w:rPr>
              <w:t>1年後再開・小型</w:t>
            </w:r>
          </w:p>
        </w:tc>
        <w:tc>
          <w:tcPr>
            <w:tcW w:type="dxa" w:w="2351"/>
          </w:tcPr>
          <w:p>
            <w:r>
              <w:rPr>
                <w:rFonts w:ascii="Meiryo UI" w:hAnsi="Meiryo UI"/>
                <w:sz w:val="18"/>
              </w:rPr>
              <w:t>2年後延期</w:t>
            </w:r>
          </w:p>
        </w:tc>
      </w:tr>
      <w:tr>
        <w:tc>
          <w:tcPr>
            <w:tcW w:type="dxa" w:w="2351"/>
            <w:shd w:val="clear" w:color="auto" w:fill="DDEBF7"/>
          </w:tcPr>
          <w:p>
            <w:r>
              <w:rPr>
                <w:rFonts w:ascii="Meiryo UI" w:hAnsi="Meiryo UI"/>
                <w:sz w:val="18"/>
              </w:rPr>
              <w:t>目標株価（18ヶ月）</w:t>
            </w:r>
          </w:p>
        </w:tc>
        <w:tc>
          <w:tcPr>
            <w:tcW w:type="dxa" w:w="2351"/>
            <w:shd w:val="clear" w:color="auto" w:fill="DDEBF7"/>
          </w:tcPr>
          <w:p>
            <w:r>
              <w:rPr>
                <w:rFonts w:ascii="Meiryo UI" w:hAnsi="Meiryo UI"/>
                <w:sz w:val="18"/>
              </w:rPr>
              <w:t>¥7,500〜8,500</w:t>
            </w:r>
          </w:p>
        </w:tc>
        <w:tc>
          <w:tcPr>
            <w:tcW w:type="dxa" w:w="2351"/>
            <w:shd w:val="clear" w:color="auto" w:fill="DDEBF7"/>
          </w:tcPr>
          <w:p>
            <w:r>
              <w:rPr>
                <w:rFonts w:ascii="Meiryo UI" w:hAnsi="Meiryo UI"/>
                <w:sz w:val="18"/>
              </w:rPr>
              <w:t>¥5,500〜6,500</w:t>
            </w:r>
          </w:p>
        </w:tc>
        <w:tc>
          <w:tcPr>
            <w:tcW w:type="dxa" w:w="2351"/>
            <w:shd w:val="clear" w:color="auto" w:fill="DDEBF7"/>
          </w:tcPr>
          <w:p>
            <w:r>
              <w:rPr>
                <w:rFonts w:ascii="Meiryo UI" w:hAnsi="Meiryo UI"/>
                <w:sz w:val="18"/>
              </w:rPr>
              <w:t>¥2,800〜3,300</w:t>
            </w:r>
          </w:p>
        </w:tc>
      </w:tr>
      <w:tr>
        <w:tc>
          <w:tcPr>
            <w:tcW w:type="dxa" w:w="2351"/>
          </w:tcPr>
          <w:p>
            <w:r>
              <w:rPr>
                <w:rFonts w:ascii="Meiryo UI" w:hAnsi="Meiryo UI"/>
                <w:sz w:val="18"/>
              </w:rPr>
              <w:t>投資判断</w:t>
            </w:r>
          </w:p>
        </w:tc>
        <w:tc>
          <w:tcPr>
            <w:tcW w:type="dxa" w:w="2351"/>
          </w:tcPr>
          <w:p>
            <w:r>
              <w:rPr>
                <w:rFonts w:ascii="Meiryo UI" w:hAnsi="Meiryo UI"/>
                <w:sz w:val="18"/>
              </w:rPr>
              <w:t>強い買い</w:t>
            </w:r>
          </w:p>
        </w:tc>
        <w:tc>
          <w:tcPr>
            <w:tcW w:type="dxa" w:w="2351"/>
          </w:tcPr>
          <w:p>
            <w:r>
              <w:rPr>
                <w:rFonts w:ascii="Meiryo UI" w:hAnsi="Meiryo UI"/>
                <w:sz w:val="18"/>
              </w:rPr>
              <w:t>買い</w:t>
            </w:r>
          </w:p>
        </w:tc>
        <w:tc>
          <w:tcPr>
            <w:tcW w:type="dxa" w:w="2351"/>
          </w:tcPr>
          <w:p>
            <w:r>
              <w:rPr>
                <w:rFonts w:ascii="Meiryo UI" w:hAnsi="Meiryo UI"/>
                <w:sz w:val="18"/>
              </w:rPr>
              <w:t>中立〜売り</w:t>
            </w:r>
          </w:p>
        </w:tc>
      </w:tr>
    </w:tbl>
    <w:p/>
    <w:p>
      <w:pPr>
        <w:pStyle w:val="Heading3"/>
      </w:pPr>
      <w:r>
        <w:rPr>
          <w:rFonts w:ascii="Meiryo UI" w:hAnsi="Meiryo UI"/>
          <w:color w:val="2E74B5"/>
        </w:rPr>
        <w:t>強気シナリオのトリガー</w:t>
      </w:r>
    </w:p>
    <w:p>
      <w:pPr>
        <w:pStyle w:val="ListBullet"/>
      </w:pPr>
      <w:r>
        <w:rPr>
          <w:rFonts w:ascii="Meiryo UI" w:hAnsi="Meiryo UI"/>
          <w:sz w:val="20"/>
        </w:rPr>
        <w:t>能登復興需要の急拡大</w:t>
      </w:r>
    </w:p>
    <w:p>
      <w:pPr>
        <w:pStyle w:val="ListBullet"/>
      </w:pPr>
      <w:r>
        <w:rPr>
          <w:rFonts w:ascii="Meiryo UI" w:hAnsi="Meiryo UI"/>
          <w:sz w:val="20"/>
        </w:rPr>
        <w:t>石炭価格の急落（製造コスト改善）</w:t>
      </w:r>
    </w:p>
    <w:p>
      <w:pPr>
        <w:pStyle w:val="ListBullet"/>
      </w:pPr>
      <w:r>
        <w:rPr>
          <w:rFonts w:ascii="Meiryo UI" w:hAnsi="Meiryo UI"/>
          <w:sz w:val="20"/>
        </w:rPr>
        <w:t>円安進行→米国事業の円換算収益拡大</w:t>
      </w:r>
    </w:p>
    <w:p>
      <w:pPr>
        <w:pStyle w:val="ListBullet"/>
      </w:pPr>
      <w:r>
        <w:rPr>
          <w:rFonts w:ascii="Meiryo UI" w:hAnsi="Meiryo UI"/>
          <w:sz w:val="20"/>
        </w:rPr>
        <w:t>東証要求ROE8%への経営改革発表</w:t>
      </w:r>
    </w:p>
    <w:p/>
    <w:p>
      <w:pPr>
        <w:pStyle w:val="Heading3"/>
      </w:pPr>
      <w:r>
        <w:rPr>
          <w:rFonts w:ascii="Meiryo UI" w:hAnsi="Meiryo UI"/>
          <w:color w:val="2E74B5"/>
        </w:rPr>
        <w:t>弱気シナリオのトリガー</w:t>
      </w:r>
    </w:p>
    <w:p>
      <w:pPr>
        <w:pStyle w:val="ListBullet"/>
      </w:pPr>
      <w:r>
        <w:rPr>
          <w:rFonts w:ascii="Meiryo UI" w:hAnsi="Meiryo UI"/>
          <w:sz w:val="20"/>
        </w:rPr>
        <w:t>建設着工数の想定外の下振れ</w:t>
      </w:r>
    </w:p>
    <w:p>
      <w:pPr>
        <w:pStyle w:val="ListBullet"/>
      </w:pPr>
      <w:r>
        <w:rPr>
          <w:rFonts w:ascii="Meiryo UI" w:hAnsi="Meiryo UI"/>
          <w:sz w:val="20"/>
        </w:rPr>
        <w:t>石炭・LPGのさらなる価格上昇</w:t>
      </w:r>
    </w:p>
    <w:p>
      <w:pPr>
        <w:pStyle w:val="ListBullet"/>
      </w:pPr>
      <w:r>
        <w:rPr>
          <w:rFonts w:ascii="Meiryo UI" w:hAnsi="Meiryo UI"/>
          <w:sz w:val="20"/>
        </w:rPr>
        <w:t>米国景気減速→Giant Cement需要減</w:t>
      </w:r>
    </w:p>
    <w:p>
      <w:pPr>
        <w:pStyle w:val="ListBullet"/>
      </w:pPr>
      <w:r>
        <w:rPr>
          <w:rFonts w:ascii="Meiryo UI" w:hAnsi="Meiryo UI"/>
          <w:sz w:val="20"/>
        </w:rPr>
        <w:t>有利子負債返済コスト上昇（金利上昇）</w:t>
      </w:r>
    </w:p>
    <w:p/>
    <w:p>
      <w:r>
        <w:t>──────────────────────────────────────────────────</w:t>
      </w:r>
    </w:p>
    <w:p/>
    <w:p>
      <w:pPr>
        <w:pStyle w:val="Heading1"/>
      </w:pPr>
      <w:r>
        <w:rPr>
          <w:rFonts w:ascii="Meiryo UI" w:hAnsi="Meiryo UI"/>
          <w:color w:val="1F3864"/>
        </w:rPr>
        <w:t>7. 浅井速報との統合評価</w:t>
      </w:r>
    </w:p>
    <w:p/>
    <w:p>
      <w:pPr>
        <w:pStyle w:val="Heading2"/>
      </w:pPr>
      <w:r>
        <w:rPr>
          <w:rFonts w:ascii="Meiryo UI" w:hAnsi="Meiryo UI"/>
          <w:color w:val="2E74B5"/>
        </w:rPr>
        <w:t>センチメント vs 本源的価値ギャップ分析</w:t>
      </w:r>
    </w:p>
    <w:p/>
    <w:p>
      <w:pPr>
        <w:shd w:val="clear" w:color="auto" w:fill="F2F2F2"/>
      </w:pPr>
      <w:r>
        <w:rPr>
          <w:rFonts w:ascii="Courier New" w:hAnsi="Courier New"/>
          <w:sz w:val="16"/>
        </w:rPr>
        <w:t>【浅井速報スコア: +55（BUY寄り中立）】</w:t>
        <w:br/>
        <w:t>【深井バリュエーション評価: 買い（条件付き）】</w:t>
        <w:br/>
        <w:br/>
        <w:t>一致点:</w:t>
        <w:br/>
        <w:t xml:space="preserve">  ✅ PBR0.66倍の割安性（浅井・深井ともに割安認識）</w:t>
        <w:br/>
        <w:t xml:space="preserve">  ✅ 生コン底打ち（+0.8%）を回復起点と評価</w:t>
        <w:br/>
        <w:t xml:space="preserve">  ✅ ROE3.7%→8%への距離感が投資判断の鍵</w:t>
        <w:br/>
        <w:t xml:space="preserve">  ✅ 自社株買い1年不実施がカタリスト不在の重し</w:t>
        <w:br/>
        <w:br/>
        <w:t>相違点・補完点:</w:t>
        <w:br/>
        <w:t xml:space="preserve">  深井追加: 石灰石鉱山NAVの大きさ（NAV/株 ¥10,606〜14,749）</w:t>
        <w:br/>
        <w:t xml:space="preserve">           → 浅井が「想定外に大きければスコア大幅上昇」と言及した通り、</w:t>
        <w:br/>
        <w:t xml:space="preserve">             深井分析ではNAVは「想定外に大きい」と判定 → スコア引上げ要因</w:t>
        <w:br/>
        <w:br/>
        <w:t xml:space="preserve">  深井追加: Value Trap判定 → 「グレーゾーン寄り条件付きバリュー」</w:t>
        <w:br/>
        <w:t xml:space="preserve">           → 浅井の「本物か罠か」への明確回答: 「条件付き本物バリュー」</w:t>
        <w:br/>
        <w:br/>
        <w:t xml:space="preserve">  深井追加: DCF理論株価レンジ ¥8,254〜¥16,071（保守〜強気）</w:t>
        <w:br/>
        <w:t xml:space="preserve">           → 現在株価¥3,758との乖離は異常に大きく、</w:t>
        <w:br/>
        <w:t xml:space="preserve">             NAVと収益両面から「本物の割安」と判断</w:t>
        <w:br/>
        <w:br/>
        <w:t>【統合判断】</w:t>
        <w:br/>
        <w:t xml:space="preserve">  浅井+55 × 深井「条件付き買い」= 総合評価: +60〜+65（BUY）</w:t>
        <w:br/>
        <w:t xml:space="preserve">  </w:t>
        <w:br/>
        <w:t xml:space="preserve">  浅井スコアを55→65に引き上げる推奨</w:t>
        <w:br/>
        <w:t xml:space="preserve">  根拠: 石灰石鉱山NAVが想定外に大きく（¥10,606〜14,749/株）、</w:t>
        <w:br/>
        <w:t xml:space="preserve">       本物バリューの蓋然性が高い</w:t>
      </w:r>
    </w:p>
    <w:p/>
    <w:p>
      <w:r>
        <w:t>──────────────────────────────────────────────────</w:t>
      </w:r>
    </w:p>
    <w:p/>
    <w:p>
      <w:pPr>
        <w:pStyle w:val="Heading1"/>
      </w:pPr>
      <w:r>
        <w:rPr>
          <w:rFonts w:ascii="Meiryo UI" w:hAnsi="Meiryo UI"/>
          <w:color w:val="1F3864"/>
        </w:rPr>
        <w:t>8. 社長への推奨アクション</w:t>
      </w:r>
    </w:p>
    <w:p/>
    <w:p>
      <w:pPr>
        <w:pStyle w:val="Heading2"/>
      </w:pPr>
      <w:r>
        <w:rPr>
          <w:rFonts w:ascii="Meiryo UI" w:hAnsi="Meiryo UI"/>
          <w:color w:val="2E74B5"/>
        </w:rPr>
        <w:t>エントリー戦略</w:t>
      </w:r>
    </w:p>
    <w:p/>
    <w:p>
      <w:pPr>
        <w:shd w:val="clear" w:color="auto" w:fill="F2F2F2"/>
      </w:pPr>
      <w:r>
        <w:rPr>
          <w:rFonts w:ascii="Courier New" w:hAnsi="Courier New"/>
          <w:sz w:val="16"/>
        </w:rPr>
        <w:t>【フェーズ1: 初期ポジション構築（即時〜1ヶ月）】</w:t>
        <w:br/>
        <w:br/>
        <w:t xml:space="preserve">  エントリーゾーン: ¥3,500〜¥3,800</w:t>
        <w:br/>
        <w:t xml:space="preserve">  現在株価 ¥3,758 はエントリーゾーン内</w:t>
        <w:br/>
        <w:t xml:space="preserve">  初期ポジション: 想定投資額の30〜40%</w:t>
        <w:br/>
        <w:t xml:space="preserve">  </w:t>
        <w:br/>
        <w:t xml:space="preserve">  根拠:</w:t>
        <w:br/>
        <w:t xml:space="preserve">  ・配当利回り3.3%（下値サポート）</w:t>
        <w:br/>
        <w:t xml:space="preserve">  ・NAV保守値×60%割引（¥4,242）まで11.8%のバッファ</w:t>
        <w:br/>
        <w:t xml:space="preserve">  ・生コン底打ちシグナル（3月+0.8%）の方向性確認</w:t>
        <w:br/>
        <w:br/>
        <w:t>【フェーズ2: 押し目追加（1〜3ヶ月）】</w:t>
        <w:br/>
        <w:br/>
        <w:t xml:space="preserve">  追加エントリー: ¥3,300〜¥3,500（-7〜-13%押し目）</w:t>
        <w:br/>
        <w:t xml:space="preserve">  追加比率: 想定投資額の30%</w:t>
        <w:br/>
        <w:t xml:space="preserve">  </w:t>
        <w:br/>
        <w:t xml:space="preserve">  トリガー条件:</w:t>
        <w:br/>
        <w:t xml:space="preserve">  ・生コン需要の継続的改善確認（4月・5月データ）</w:t>
        <w:br/>
        <w:t xml:space="preserve">  ・エネルギーコスト安定化シグナル</w:t>
        <w:br/>
        <w:t xml:space="preserve">  ・FY2026/3決算での上振れ確認</w:t>
        <w:br/>
        <w:br/>
        <w:t>【フェーズ3: 自社株買い再開前の最終積み増し（11〜12ヶ月後）】</w:t>
        <w:br/>
        <w:br/>
        <w:t xml:space="preserve">  追加エントリー: ¥3,800〜¥4,200（回復局面）</w:t>
        <w:br/>
        <w:t xml:space="preserve">  追加比率: 想定投資額の30%</w:t>
        <w:br/>
        <w:t xml:space="preserve">  </w:t>
        <w:br/>
        <w:t xml:space="preserve">  タイミング: 自社株買い再開アナウンス前（2027年3月期決算前後）</w:t>
      </w:r>
    </w:p>
    <w:p/>
    <w:p>
      <w:pPr>
        <w:pStyle w:val="Heading2"/>
      </w:pPr>
      <w:r>
        <w:rPr>
          <w:rFonts w:ascii="Meiryo UI" w:hAnsi="Meiryo UI"/>
          <w:color w:val="2E74B5"/>
        </w:rPr>
        <w:t>損切りライン</w:t>
      </w:r>
    </w:p>
    <w:p/>
    <w:p>
      <w:pPr>
        <w:shd w:val="clear" w:color="auto" w:fill="F2F2F2"/>
      </w:pPr>
      <w:r>
        <w:rPr>
          <w:rFonts w:ascii="Courier New" w:hAnsi="Courier New"/>
          <w:sz w:val="16"/>
        </w:rPr>
        <w:t>【損切りライン: ¥3,000（▲20.2%）】</w:t>
        <w:br/>
        <w:br/>
        <w:t>根拠:</w:t>
        <w:br/>
        <w:t xml:space="preserve">  ・PBR 0.53倍（¥3,000 ÷ BPS¥5,719）= 清算価値の極限値</w:t>
        <w:br/>
        <w:t xml:space="preserve">  ・配当利回り4.2%（¥127 ÷ ¥3,000）= 高すぎる利回り = 減配リスクを示唆</w:t>
        <w:br/>
        <w:t xml:space="preserve">  ・この水準での損切りは「弱気シナリオが現実化した」判断</w:t>
        <w:br/>
        <w:br/>
        <w:t>段階的損切りルール:</w:t>
        <w:br/>
        <w:t xml:space="preserve">  ¥3,400（▲9.5%）: ポジションの25%を損切り</w:t>
        <w:br/>
        <w:t xml:space="preserve">  ¥3,200（▲14.8%）: ポジションの25%を損切り</w:t>
        <w:br/>
        <w:t xml:space="preserve">  ¥3,000（▲20.2%）: 残り全て損切り</w:t>
      </w:r>
    </w:p>
    <w:p/>
    <w:p>
      <w:pPr>
        <w:pStyle w:val="Heading2"/>
      </w:pPr>
      <w:r>
        <w:rPr>
          <w:rFonts w:ascii="Meiryo UI" w:hAnsi="Meiryo UI"/>
          <w:color w:val="2E74B5"/>
        </w:rPr>
        <w:t>目標株価・時間軸</w:t>
      </w:r>
    </w:p>
    <w:p/>
    <w:p>
      <w:pPr>
        <w:shd w:val="clear" w:color="auto" w:fill="F2F2F2"/>
      </w:pPr>
      <w:r>
        <w:rPr>
          <w:rFonts w:ascii="Courier New" w:hAnsi="Courier New"/>
          <w:sz w:val="16"/>
        </w:rPr>
        <w:t>【時間軸別目標】</w:t>
        <w:br/>
        <w:br/>
        <w:t>3ヶ月後（2026年7月）: ¥4,200〜¥4,500（+12〜+20%）</w:t>
        <w:br/>
        <w:t xml:space="preserve">  →生コン需要回復の月次データ確認、FY2026/3決算上振れ</w:t>
        <w:br/>
        <w:br/>
        <w:t>6ヶ月後（2026年10月）: ¥4,500〜¥5,000（+20〜+33%）</w:t>
        <w:br/>
        <w:t xml:space="preserve">  →FY2027/3上半期業績確認、能登復興需要本格化</w:t>
        <w:br/>
        <w:br/>
        <w:t>12ヶ月後（2027年4月）: ¥5,000〜¥6,000（+33〜+60%）</w:t>
        <w:br/>
        <w:t xml:space="preserve">  →自社株買い再開アナウンス期待、ROE改善確認</w:t>
        <w:br/>
        <w:br/>
        <w:t>18ヶ月後（2027年10月）: ¥6,000〜¥7,500（+60〜+100%）</w:t>
        <w:br/>
        <w:t xml:space="preserve">  →ROE5%回復確認、NAV認識の高まり、米国IIJA最盛期</w:t>
      </w:r>
    </w:p>
    <w:p/>
    <w:p>
      <w:pPr>
        <w:pStyle w:val="Heading2"/>
      </w:pPr>
      <w:r>
        <w:rPr>
          <w:rFonts w:ascii="Meiryo UI" w:hAnsi="Meiryo UI"/>
          <w:color w:val="2E74B5"/>
        </w:rPr>
        <w:t>「今は買い時か1年待ちか」への明確回答</w:t>
      </w:r>
    </w:p>
    <w:p/>
    <w:p>
      <w:pPr>
        <w:shd w:val="clear" w:color="auto" w:fill="F2F2F2"/>
      </w:pPr>
      <w:r>
        <w:rPr>
          <w:rFonts w:ascii="Courier New" w:hAnsi="Courier New"/>
          <w:sz w:val="16"/>
        </w:rPr>
        <w:t>╔══════════════════════════════════════════════════╗</w:t>
        <w:br/>
        <w:t>║                                                  ║</w:t>
        <w:br/>
        <w:t>║  深井の結論: 「今（¥3,758）が買い時」            ║</w:t>
        <w:br/>
        <w:t>║                                                  ║</w:t>
        <w:br/>
        <w:t>║  理由:                                           ║</w:t>
        <w:br/>
        <w:t>║  1. 生コン底打ちは今確認された（3月+0.8%）       ║</w:t>
        <w:br/>
        <w:t>║  2. 1年待つと自社株買い再開で株価は             ║</w:t>
        <w:br/>
        <w:t>║     ¥4,200〜4,500へ上昇している可能性が高い     ║</w:t>
        <w:br/>
        <w:t>║  3. 今のPBR0.66倍・配当3.3%は歴史的割安水準    ║</w:t>
        <w:br/>
        <w:t>║  4. NAV対比74%ディスカウントは「今買える」       ║</w:t>
        <w:br/>
        <w:t>║     最大の根拠                                   ║</w:t>
        <w:br/>
        <w:t>║                                                  ║</w:t>
        <w:br/>
        <w:t>║  ただし:                                         ║</w:t>
        <w:br/>
        <w:t>║  ・1年間は株価カタリスト不在（自社株買いなし）   ║</w:t>
        <w:br/>
        <w:t>║  ・エントリーは分割（一括買いは非推奨）          ║</w:t>
        <w:br/>
        <w:t>║  ・損切りライン ¥3,000 厳守                     ║</w:t>
        <w:br/>
        <w:t>║                                                  ║</w:t>
        <w:br/>
        <w:t>╚══════════════════════════════════════════════════╝</w:t>
      </w:r>
    </w:p>
    <w:p/>
    <w:p>
      <w:r>
        <w:t>──────────────────────────────────────────────────</w:t>
      </w:r>
    </w:p>
    <w:p/>
    <w:p>
      <w:pPr>
        <w:pStyle w:val="Heading1"/>
      </w:pPr>
      <w:r>
        <w:rPr>
          <w:rFonts w:ascii="Meiryo UI" w:hAnsi="Meiryo UI"/>
          <w:color w:val="1F3864"/>
        </w:rPr>
        <w:t>9. 金利感応度分析（Sensitivity Analysis）</w:t>
      </w:r>
    </w:p>
    <w:p/>
    <w:p>
      <w:pPr>
        <w:pStyle w:val="Heading2"/>
      </w:pPr>
      <w:r>
        <w:rPr>
          <w:rFonts w:ascii="Meiryo UI" w:hAnsi="Meiryo UI"/>
          <w:color w:val="2E74B5"/>
        </w:rPr>
        <w:t>9-1. WACC感応度テーブル（Rf変動時）</w:t>
      </w:r>
    </w:p>
    <w:p/>
    <w:p>
      <w:r>
        <w:rPr>
          <w:rFonts w:ascii="Meiryo UI" w:hAnsi="Meiryo UI"/>
          <w:sz w:val="20"/>
        </w:rPr>
        <w:t>前提: Re = Rf + 0.85 × 5.5%、資本構成固定（E:D = 47.1:52.9%）</w:t>
      </w:r>
    </w:p>
    <w:p/>
    <w:tbl>
      <w:tblPr>
        <w:tblStyle w:val="TableGrid"/>
        <w:tblW w:type="auto" w:w="0"/>
        <w:jc w:val="center"/>
        <w:tblLook w:firstColumn="1" w:firstRow="1" w:lastColumn="0" w:lastRow="0" w:noHBand="0" w:noVBand="1" w:val="04A0"/>
      </w:tblPr>
      <w:tblGrid>
        <w:gridCol w:w="1568"/>
        <w:gridCol w:w="1568"/>
        <w:gridCol w:w="1568"/>
        <w:gridCol w:w="1568"/>
        <w:gridCol w:w="1568"/>
        <w:gridCol w:w="1568"/>
      </w:tblGrid>
      <w:tr>
        <w:tc>
          <w:tcPr>
            <w:tcW w:type="dxa" w:w="1568"/>
            <w:shd w:val="clear" w:color="auto" w:fill="2E74B5"/>
          </w:tcPr>
          <w:p>
            <w:r>
              <w:rPr>
                <w:rFonts w:ascii="Meiryo UI" w:hAnsi="Meiryo UI"/>
                <w:b/>
                <w:color w:val="FFFFFF"/>
                <w:sz w:val="18"/>
              </w:rPr>
              <w:t>Rfシナリオ</w:t>
            </w:r>
          </w:p>
        </w:tc>
        <w:tc>
          <w:tcPr>
            <w:tcW w:type="dxa" w:w="1568"/>
            <w:shd w:val="clear" w:color="auto" w:fill="2E74B5"/>
          </w:tcPr>
          <w:p>
            <w:r>
              <w:rPr>
                <w:rFonts w:ascii="Meiryo UI" w:hAnsi="Meiryo UI"/>
                <w:b/>
                <w:color w:val="FFFFFF"/>
                <w:sz w:val="18"/>
              </w:rPr>
              <w:t>Rf(%)</w:t>
            </w:r>
          </w:p>
        </w:tc>
        <w:tc>
          <w:tcPr>
            <w:tcW w:type="dxa" w:w="1568"/>
            <w:shd w:val="clear" w:color="auto" w:fill="2E74B5"/>
          </w:tcPr>
          <w:p>
            <w:r>
              <w:rPr>
                <w:rFonts w:ascii="Meiryo UI" w:hAnsi="Meiryo UI"/>
                <w:b/>
                <w:color w:val="FFFFFF"/>
                <w:sz w:val="18"/>
              </w:rPr>
              <w:t>Re(%)</w:t>
            </w:r>
          </w:p>
        </w:tc>
        <w:tc>
          <w:tcPr>
            <w:tcW w:type="dxa" w:w="1568"/>
            <w:shd w:val="clear" w:color="auto" w:fill="2E74B5"/>
          </w:tcPr>
          <w:p>
            <w:r>
              <w:rPr>
                <w:rFonts w:ascii="Meiryo UI" w:hAnsi="Meiryo UI"/>
                <w:b/>
                <w:color w:val="FFFFFF"/>
                <w:sz w:val="18"/>
              </w:rPr>
              <w:t>WACC(%)</w:t>
            </w:r>
          </w:p>
        </w:tc>
        <w:tc>
          <w:tcPr>
            <w:tcW w:type="dxa" w:w="1568"/>
            <w:shd w:val="clear" w:color="auto" w:fill="2E74B5"/>
          </w:tcPr>
          <w:p>
            <w:r>
              <w:rPr>
                <w:rFonts w:ascii="Meiryo UI" w:hAnsi="Meiryo UI"/>
                <w:b/>
                <w:color w:val="FFFFFF"/>
                <w:sz w:val="18"/>
              </w:rPr>
              <w:t>理論株価（JPY）基本シナリオ</w:t>
            </w:r>
          </w:p>
        </w:tc>
        <w:tc>
          <w:tcPr>
            <w:tcW w:type="dxa" w:w="1568"/>
            <w:shd w:val="clear" w:color="auto" w:fill="2E74B5"/>
          </w:tcPr>
          <w:p>
            <w:r>
              <w:rPr>
                <w:rFonts w:ascii="Meiryo UI" w:hAnsi="Meiryo UI"/>
                <w:b/>
                <w:color w:val="FFFFFF"/>
                <w:sz w:val="18"/>
              </w:rPr>
              <w:t>現在値（¥3,758）比乖離率</w:t>
            </w:r>
          </w:p>
        </w:tc>
      </w:tr>
      <w:tr>
        <w:tc>
          <w:tcPr>
            <w:tcW w:type="dxa" w:w="1568"/>
          </w:tcPr>
          <w:p>
            <w:r>
              <w:rPr>
                <w:rFonts w:ascii="Meiryo UI" w:hAnsi="Meiryo UI"/>
                <w:sz w:val="18"/>
              </w:rPr>
              <w:t>-1.00%</w:t>
            </w:r>
          </w:p>
        </w:tc>
        <w:tc>
          <w:tcPr>
            <w:tcW w:type="dxa" w:w="1568"/>
          </w:tcPr>
          <w:p>
            <w:r>
              <w:rPr>
                <w:rFonts w:ascii="Meiryo UI" w:hAnsi="Meiryo UI"/>
                <w:sz w:val="18"/>
              </w:rPr>
              <w:t>1.411%</w:t>
            </w:r>
          </w:p>
        </w:tc>
        <w:tc>
          <w:tcPr>
            <w:tcW w:type="dxa" w:w="1568"/>
          </w:tcPr>
          <w:p>
            <w:r>
              <w:rPr>
                <w:rFonts w:ascii="Meiryo UI" w:hAnsi="Meiryo UI"/>
                <w:sz w:val="18"/>
              </w:rPr>
              <w:t>6.086%</w:t>
            </w:r>
          </w:p>
        </w:tc>
        <w:tc>
          <w:tcPr>
            <w:tcW w:type="dxa" w:w="1568"/>
          </w:tcPr>
          <w:p>
            <w:r>
              <w:rPr>
                <w:rFonts w:ascii="Meiryo UI" w:hAnsi="Meiryo UI"/>
                <w:sz w:val="18"/>
              </w:rPr>
              <w:t>4.20%</w:t>
            </w:r>
          </w:p>
        </w:tc>
        <w:tc>
          <w:tcPr>
            <w:tcW w:type="dxa" w:w="1568"/>
          </w:tcPr>
          <w:p>
            <w:r>
              <w:rPr>
                <w:rFonts w:ascii="Meiryo UI" w:hAnsi="Meiryo UI"/>
                <w:sz w:val="18"/>
              </w:rPr>
              <w:t>¥13,850</w:t>
            </w:r>
          </w:p>
        </w:tc>
        <w:tc>
          <w:tcPr>
            <w:tcW w:type="dxa" w:w="1568"/>
          </w:tcPr>
          <w:p>
            <w:r>
              <w:rPr>
                <w:rFonts w:ascii="Meiryo UI" w:hAnsi="Meiryo UI"/>
                <w:sz w:val="18"/>
              </w:rPr>
              <w:t>+268.6%</w:t>
            </w:r>
          </w:p>
        </w:tc>
      </w:tr>
      <w:tr>
        <w:tc>
          <w:tcPr>
            <w:tcW w:type="dxa" w:w="1568"/>
            <w:shd w:val="clear" w:color="auto" w:fill="DDEBF7"/>
          </w:tcPr>
          <w:p>
            <w:r>
              <w:rPr>
                <w:rFonts w:ascii="Meiryo UI" w:hAnsi="Meiryo UI"/>
                <w:sz w:val="18"/>
              </w:rPr>
              <w:t>-0.50%</w:t>
            </w:r>
          </w:p>
        </w:tc>
        <w:tc>
          <w:tcPr>
            <w:tcW w:type="dxa" w:w="1568"/>
            <w:shd w:val="clear" w:color="auto" w:fill="DDEBF7"/>
          </w:tcPr>
          <w:p>
            <w:r>
              <w:rPr>
                <w:rFonts w:ascii="Meiryo UI" w:hAnsi="Meiryo UI"/>
                <w:sz w:val="18"/>
              </w:rPr>
              <w:t>1.911%</w:t>
            </w:r>
          </w:p>
        </w:tc>
        <w:tc>
          <w:tcPr>
            <w:tcW w:type="dxa" w:w="1568"/>
            <w:shd w:val="clear" w:color="auto" w:fill="DDEBF7"/>
          </w:tcPr>
          <w:p>
            <w:r>
              <w:rPr>
                <w:rFonts w:ascii="Meiryo UI" w:hAnsi="Meiryo UI"/>
                <w:sz w:val="18"/>
              </w:rPr>
              <w:t>6.586%</w:t>
            </w:r>
          </w:p>
        </w:tc>
        <w:tc>
          <w:tcPr>
            <w:tcW w:type="dxa" w:w="1568"/>
            <w:shd w:val="clear" w:color="auto" w:fill="DDEBF7"/>
          </w:tcPr>
          <w:p>
            <w:r>
              <w:rPr>
                <w:rFonts w:ascii="Meiryo UI" w:hAnsi="Meiryo UI"/>
                <w:sz w:val="18"/>
              </w:rPr>
              <w:t>4.60%</w:t>
            </w:r>
          </w:p>
        </w:tc>
        <w:tc>
          <w:tcPr>
            <w:tcW w:type="dxa" w:w="1568"/>
            <w:shd w:val="clear" w:color="auto" w:fill="DDEBF7"/>
          </w:tcPr>
          <w:p>
            <w:r>
              <w:rPr>
                <w:rFonts w:ascii="Meiryo UI" w:hAnsi="Meiryo UI"/>
                <w:sz w:val="18"/>
              </w:rPr>
              <w:t>¥12,200</w:t>
            </w:r>
          </w:p>
        </w:tc>
        <w:tc>
          <w:tcPr>
            <w:tcW w:type="dxa" w:w="1568"/>
            <w:shd w:val="clear" w:color="auto" w:fill="DDEBF7"/>
          </w:tcPr>
          <w:p>
            <w:r>
              <w:rPr>
                <w:rFonts w:ascii="Meiryo UI" w:hAnsi="Meiryo UI"/>
                <w:sz w:val="18"/>
              </w:rPr>
              <w:t>+224.6%</w:t>
            </w:r>
          </w:p>
        </w:tc>
      </w:tr>
      <w:tr>
        <w:tc>
          <w:tcPr>
            <w:tcW w:type="dxa" w:w="1568"/>
          </w:tcPr>
          <w:p>
            <w:r>
              <w:rPr>
                <w:rFonts w:ascii="Meiryo UI" w:hAnsi="Meiryo UI"/>
                <w:sz w:val="18"/>
              </w:rPr>
              <w:t>-0.25%</w:t>
            </w:r>
          </w:p>
        </w:tc>
        <w:tc>
          <w:tcPr>
            <w:tcW w:type="dxa" w:w="1568"/>
          </w:tcPr>
          <w:p>
            <w:r>
              <w:rPr>
                <w:rFonts w:ascii="Meiryo UI" w:hAnsi="Meiryo UI"/>
                <w:sz w:val="18"/>
              </w:rPr>
              <w:t>2.161%</w:t>
            </w:r>
          </w:p>
        </w:tc>
        <w:tc>
          <w:tcPr>
            <w:tcW w:type="dxa" w:w="1568"/>
          </w:tcPr>
          <w:p>
            <w:r>
              <w:rPr>
                <w:rFonts w:ascii="Meiryo UI" w:hAnsi="Meiryo UI"/>
                <w:sz w:val="18"/>
              </w:rPr>
              <w:t>6.836%</w:t>
            </w:r>
          </w:p>
        </w:tc>
        <w:tc>
          <w:tcPr>
            <w:tcW w:type="dxa" w:w="1568"/>
          </w:tcPr>
          <w:p>
            <w:r>
              <w:rPr>
                <w:rFonts w:ascii="Meiryo UI" w:hAnsi="Meiryo UI"/>
                <w:sz w:val="18"/>
              </w:rPr>
              <w:t>4.80%</w:t>
            </w:r>
          </w:p>
        </w:tc>
        <w:tc>
          <w:tcPr>
            <w:tcW w:type="dxa" w:w="1568"/>
          </w:tcPr>
          <w:p>
            <w:r>
              <w:rPr>
                <w:rFonts w:ascii="Meiryo UI" w:hAnsi="Meiryo UI"/>
                <w:sz w:val="18"/>
              </w:rPr>
              <w:t>¥11,580</w:t>
            </w:r>
          </w:p>
        </w:tc>
        <w:tc>
          <w:tcPr>
            <w:tcW w:type="dxa" w:w="1568"/>
          </w:tcPr>
          <w:p>
            <w:r>
              <w:rPr>
                <w:rFonts w:ascii="Meiryo UI" w:hAnsi="Meiryo UI"/>
                <w:sz w:val="18"/>
              </w:rPr>
              <w:t>+208.1%</w:t>
            </w:r>
          </w:p>
        </w:tc>
      </w:tr>
      <w:tr>
        <w:tc>
          <w:tcPr>
            <w:tcW w:type="dxa" w:w="1568"/>
            <w:shd w:val="clear" w:color="auto" w:fill="DDEBF7"/>
          </w:tcPr>
          <w:p>
            <w:r>
              <w:rPr>
                <w:rFonts w:ascii="Meiryo UI" w:hAnsi="Meiryo UI"/>
                <w:sz w:val="18"/>
              </w:rPr>
              <w:t>ベース</w:t>
            </w:r>
          </w:p>
        </w:tc>
        <w:tc>
          <w:tcPr>
            <w:tcW w:type="dxa" w:w="1568"/>
            <w:shd w:val="clear" w:color="auto" w:fill="DDEBF7"/>
          </w:tcPr>
          <w:p>
            <w:r>
              <w:rPr>
                <w:rFonts w:ascii="Meiryo UI" w:hAnsi="Meiryo UI"/>
                <w:sz w:val="18"/>
              </w:rPr>
              <w:t>2.411%</w:t>
            </w:r>
          </w:p>
        </w:tc>
        <w:tc>
          <w:tcPr>
            <w:tcW w:type="dxa" w:w="1568"/>
            <w:shd w:val="clear" w:color="auto" w:fill="DDEBF7"/>
          </w:tcPr>
          <w:p>
            <w:r>
              <w:rPr>
                <w:rFonts w:ascii="Meiryo UI" w:hAnsi="Meiryo UI"/>
                <w:sz w:val="18"/>
              </w:rPr>
              <w:t>7.086%</w:t>
            </w:r>
          </w:p>
        </w:tc>
        <w:tc>
          <w:tcPr>
            <w:tcW w:type="dxa" w:w="1568"/>
            <w:shd w:val="clear" w:color="auto" w:fill="DDEBF7"/>
          </w:tcPr>
          <w:p>
            <w:r>
              <w:rPr>
                <w:rFonts w:ascii="Meiryo UI" w:hAnsi="Meiryo UI"/>
                <w:sz w:val="18"/>
              </w:rPr>
              <w:t>5.00%</w:t>
            </w:r>
          </w:p>
        </w:tc>
        <w:tc>
          <w:tcPr>
            <w:tcW w:type="dxa" w:w="1568"/>
            <w:shd w:val="clear" w:color="auto" w:fill="DDEBF7"/>
          </w:tcPr>
          <w:p>
            <w:r>
              <w:rPr>
                <w:rFonts w:ascii="Meiryo UI" w:hAnsi="Meiryo UI"/>
                <w:sz w:val="18"/>
              </w:rPr>
              <w:t>¥11,031</w:t>
            </w:r>
          </w:p>
        </w:tc>
        <w:tc>
          <w:tcPr>
            <w:tcW w:type="dxa" w:w="1568"/>
            <w:shd w:val="clear" w:color="auto" w:fill="DDEBF7"/>
          </w:tcPr>
          <w:p>
            <w:r>
              <w:rPr>
                <w:rFonts w:ascii="Meiryo UI" w:hAnsi="Meiryo UI"/>
                <w:sz w:val="18"/>
              </w:rPr>
              <w:t>+193.5%</w:t>
            </w:r>
          </w:p>
        </w:tc>
      </w:tr>
      <w:tr>
        <w:tc>
          <w:tcPr>
            <w:tcW w:type="dxa" w:w="1568"/>
          </w:tcPr>
          <w:p>
            <w:r>
              <w:rPr>
                <w:rFonts w:ascii="Meiryo UI" w:hAnsi="Meiryo UI"/>
                <w:sz w:val="18"/>
              </w:rPr>
              <w:t>+0.25%</w:t>
            </w:r>
          </w:p>
        </w:tc>
        <w:tc>
          <w:tcPr>
            <w:tcW w:type="dxa" w:w="1568"/>
          </w:tcPr>
          <w:p>
            <w:r>
              <w:rPr>
                <w:rFonts w:ascii="Meiryo UI" w:hAnsi="Meiryo UI"/>
                <w:sz w:val="18"/>
              </w:rPr>
              <w:t>2.661%</w:t>
            </w:r>
          </w:p>
        </w:tc>
        <w:tc>
          <w:tcPr>
            <w:tcW w:type="dxa" w:w="1568"/>
          </w:tcPr>
          <w:p>
            <w:r>
              <w:rPr>
                <w:rFonts w:ascii="Meiryo UI" w:hAnsi="Meiryo UI"/>
                <w:sz w:val="18"/>
              </w:rPr>
              <w:t>7.336%</w:t>
            </w:r>
          </w:p>
        </w:tc>
        <w:tc>
          <w:tcPr>
            <w:tcW w:type="dxa" w:w="1568"/>
          </w:tcPr>
          <w:p>
            <w:r>
              <w:rPr>
                <w:rFonts w:ascii="Meiryo UI" w:hAnsi="Meiryo UI"/>
                <w:sz w:val="18"/>
              </w:rPr>
              <w:t>5.20%</w:t>
            </w:r>
          </w:p>
        </w:tc>
        <w:tc>
          <w:tcPr>
            <w:tcW w:type="dxa" w:w="1568"/>
          </w:tcPr>
          <w:p>
            <w:r>
              <w:rPr>
                <w:rFonts w:ascii="Meiryo UI" w:hAnsi="Meiryo UI"/>
                <w:sz w:val="18"/>
              </w:rPr>
              <w:t>¥10,320</w:t>
            </w:r>
          </w:p>
        </w:tc>
        <w:tc>
          <w:tcPr>
            <w:tcW w:type="dxa" w:w="1568"/>
          </w:tcPr>
          <w:p>
            <w:r>
              <w:rPr>
                <w:rFonts w:ascii="Meiryo UI" w:hAnsi="Meiryo UI"/>
                <w:sz w:val="18"/>
              </w:rPr>
              <w:t>+174.6%</w:t>
            </w:r>
          </w:p>
        </w:tc>
      </w:tr>
      <w:tr>
        <w:tc>
          <w:tcPr>
            <w:tcW w:type="dxa" w:w="1568"/>
            <w:shd w:val="clear" w:color="auto" w:fill="DDEBF7"/>
          </w:tcPr>
          <w:p>
            <w:r>
              <w:rPr>
                <w:rFonts w:ascii="Meiryo UI" w:hAnsi="Meiryo UI"/>
                <w:sz w:val="18"/>
              </w:rPr>
              <w:t>+0.50%</w:t>
            </w:r>
          </w:p>
        </w:tc>
        <w:tc>
          <w:tcPr>
            <w:tcW w:type="dxa" w:w="1568"/>
            <w:shd w:val="clear" w:color="auto" w:fill="DDEBF7"/>
          </w:tcPr>
          <w:p>
            <w:r>
              <w:rPr>
                <w:rFonts w:ascii="Meiryo UI" w:hAnsi="Meiryo UI"/>
                <w:sz w:val="18"/>
              </w:rPr>
              <w:t>2.911%</w:t>
            </w:r>
          </w:p>
        </w:tc>
        <w:tc>
          <w:tcPr>
            <w:tcW w:type="dxa" w:w="1568"/>
            <w:shd w:val="clear" w:color="auto" w:fill="DDEBF7"/>
          </w:tcPr>
          <w:p>
            <w:r>
              <w:rPr>
                <w:rFonts w:ascii="Meiryo UI" w:hAnsi="Meiryo UI"/>
                <w:sz w:val="18"/>
              </w:rPr>
              <w:t>7.586%</w:t>
            </w:r>
          </w:p>
        </w:tc>
        <w:tc>
          <w:tcPr>
            <w:tcW w:type="dxa" w:w="1568"/>
            <w:shd w:val="clear" w:color="auto" w:fill="DDEBF7"/>
          </w:tcPr>
          <w:p>
            <w:r>
              <w:rPr>
                <w:rFonts w:ascii="Meiryo UI" w:hAnsi="Meiryo UI"/>
                <w:sz w:val="18"/>
              </w:rPr>
              <w:t>5.40%</w:t>
            </w:r>
          </w:p>
        </w:tc>
        <w:tc>
          <w:tcPr>
            <w:tcW w:type="dxa" w:w="1568"/>
            <w:shd w:val="clear" w:color="auto" w:fill="DDEBF7"/>
          </w:tcPr>
          <w:p>
            <w:r>
              <w:rPr>
                <w:rFonts w:ascii="Meiryo UI" w:hAnsi="Meiryo UI"/>
                <w:sz w:val="18"/>
              </w:rPr>
              <w:t>¥9,680</w:t>
            </w:r>
          </w:p>
        </w:tc>
        <w:tc>
          <w:tcPr>
            <w:tcW w:type="dxa" w:w="1568"/>
            <w:shd w:val="clear" w:color="auto" w:fill="DDEBF7"/>
          </w:tcPr>
          <w:p>
            <w:r>
              <w:rPr>
                <w:rFonts w:ascii="Meiryo UI" w:hAnsi="Meiryo UI"/>
                <w:sz w:val="18"/>
              </w:rPr>
              <w:t>+157.6%</w:t>
            </w:r>
          </w:p>
        </w:tc>
      </w:tr>
      <w:tr>
        <w:tc>
          <w:tcPr>
            <w:tcW w:type="dxa" w:w="1568"/>
          </w:tcPr>
          <w:p>
            <w:r>
              <w:rPr>
                <w:rFonts w:ascii="Meiryo UI" w:hAnsi="Meiryo UI"/>
                <w:sz w:val="18"/>
              </w:rPr>
              <w:t>+1.00%</w:t>
            </w:r>
          </w:p>
        </w:tc>
        <w:tc>
          <w:tcPr>
            <w:tcW w:type="dxa" w:w="1568"/>
          </w:tcPr>
          <w:p>
            <w:r>
              <w:rPr>
                <w:rFonts w:ascii="Meiryo UI" w:hAnsi="Meiryo UI"/>
                <w:sz w:val="18"/>
              </w:rPr>
              <w:t>3.411%</w:t>
            </w:r>
          </w:p>
        </w:tc>
        <w:tc>
          <w:tcPr>
            <w:tcW w:type="dxa" w:w="1568"/>
          </w:tcPr>
          <w:p>
            <w:r>
              <w:rPr>
                <w:rFonts w:ascii="Meiryo UI" w:hAnsi="Meiryo UI"/>
                <w:sz w:val="18"/>
              </w:rPr>
              <w:t>8.086%</w:t>
            </w:r>
          </w:p>
        </w:tc>
        <w:tc>
          <w:tcPr>
            <w:tcW w:type="dxa" w:w="1568"/>
          </w:tcPr>
          <w:p>
            <w:r>
              <w:rPr>
                <w:rFonts w:ascii="Meiryo UI" w:hAnsi="Meiryo UI"/>
                <w:sz w:val="18"/>
              </w:rPr>
              <w:t>5.80%</w:t>
            </w:r>
          </w:p>
        </w:tc>
        <w:tc>
          <w:tcPr>
            <w:tcW w:type="dxa" w:w="1568"/>
          </w:tcPr>
          <w:p>
            <w:r>
              <w:rPr>
                <w:rFonts w:ascii="Meiryo UI" w:hAnsi="Meiryo UI"/>
                <w:sz w:val="18"/>
              </w:rPr>
              <w:t>¥8,620</w:t>
            </w:r>
          </w:p>
        </w:tc>
        <w:tc>
          <w:tcPr>
            <w:tcW w:type="dxa" w:w="1568"/>
          </w:tcPr>
          <w:p>
            <w:r>
              <w:rPr>
                <w:rFonts w:ascii="Meiryo UI" w:hAnsi="Meiryo UI"/>
                <w:sz w:val="18"/>
              </w:rPr>
              <w:t>+129.4%</w:t>
            </w:r>
          </w:p>
        </w:tc>
      </w:tr>
    </w:tbl>
    <w:p/>
    <w:p>
      <w:r>
        <w:rPr>
          <w:rFonts w:ascii="Meiryo UI" w:hAnsi="Meiryo UI"/>
          <w:sz w:val="20"/>
        </w:rPr>
        <w:t>※ 理論株価はROE7%（基本シナリオ）、FCF段階的改善、g=1.5%のDCF計算値</w:t>
      </w:r>
    </w:p>
    <w:p/>
    <w:p>
      <w:pPr>
        <w:pStyle w:val="Heading2"/>
      </w:pPr>
      <w:r>
        <w:rPr>
          <w:rFonts w:ascii="Meiryo UI" w:hAnsi="Meiryo UI"/>
          <w:color w:val="2E74B5"/>
        </w:rPr>
        <w:t>9-2. WACC × 成長率（g）クロス感応度テーブル</w:t>
      </w:r>
    </w:p>
    <w:p/>
    <w:p>
      <w:r>
        <w:rPr>
          <w:rFonts w:ascii="Meiryo UI" w:hAnsi="Meiryo UI"/>
          <w:sz w:val="20"/>
        </w:rPr>
        <w:t>理論株価（¥）: ROE7%基本シナリオ</w:t>
      </w:r>
    </w:p>
    <w:p/>
    <w:tbl>
      <w:tblPr>
        <w:tblStyle w:val="TableGrid"/>
        <w:tblW w:type="auto" w:w="0"/>
        <w:jc w:val="center"/>
        <w:tblLook w:firstColumn="1" w:firstRow="1" w:lastColumn="0" w:lastRow="0" w:noHBand="0" w:noVBand="1" w:val="04A0"/>
      </w:tblPr>
      <w:tblGrid>
        <w:gridCol w:w="1568"/>
        <w:gridCol w:w="1568"/>
        <w:gridCol w:w="1568"/>
        <w:gridCol w:w="1568"/>
        <w:gridCol w:w="1568"/>
        <w:gridCol w:w="1568"/>
      </w:tblGrid>
      <w:tr>
        <w:tc>
          <w:tcPr>
            <w:tcW w:type="dxa" w:w="1568"/>
            <w:shd w:val="clear" w:color="auto" w:fill="2E74B5"/>
          </w:tcPr>
          <w:p>
            <w:r>
              <w:rPr>
                <w:rFonts w:ascii="Meiryo UI" w:hAnsi="Meiryo UI"/>
                <w:b/>
                <w:color w:val="FFFFFF"/>
                <w:sz w:val="18"/>
              </w:rPr>
              <w:t>WACC \ g</w:t>
            </w:r>
          </w:p>
        </w:tc>
        <w:tc>
          <w:tcPr>
            <w:tcW w:type="dxa" w:w="1568"/>
            <w:shd w:val="clear" w:color="auto" w:fill="2E74B5"/>
          </w:tcPr>
          <w:p>
            <w:r>
              <w:rPr>
                <w:rFonts w:ascii="Meiryo UI" w:hAnsi="Meiryo UI"/>
                <w:b/>
                <w:color w:val="FFFFFF"/>
                <w:sz w:val="18"/>
              </w:rPr>
              <w:t>g=0.5%</w:t>
            </w:r>
          </w:p>
        </w:tc>
        <w:tc>
          <w:tcPr>
            <w:tcW w:type="dxa" w:w="1568"/>
            <w:shd w:val="clear" w:color="auto" w:fill="2E74B5"/>
          </w:tcPr>
          <w:p>
            <w:r>
              <w:rPr>
                <w:rFonts w:ascii="Meiryo UI" w:hAnsi="Meiryo UI"/>
                <w:b/>
                <w:color w:val="FFFFFF"/>
                <w:sz w:val="18"/>
              </w:rPr>
              <w:t>g=1.0%</w:t>
            </w:r>
          </w:p>
        </w:tc>
        <w:tc>
          <w:tcPr>
            <w:tcW w:type="dxa" w:w="1568"/>
            <w:shd w:val="clear" w:color="auto" w:fill="2E74B5"/>
          </w:tcPr>
          <w:p>
            <w:r>
              <w:rPr>
                <w:rFonts w:ascii="Meiryo UI" w:hAnsi="Meiryo UI"/>
                <w:b/>
                <w:color w:val="FFFFFF"/>
                <w:sz w:val="18"/>
              </w:rPr>
              <w:t>g=1.5%</w:t>
            </w:r>
          </w:p>
        </w:tc>
        <w:tc>
          <w:tcPr>
            <w:tcW w:type="dxa" w:w="1568"/>
            <w:shd w:val="clear" w:color="auto" w:fill="2E74B5"/>
          </w:tcPr>
          <w:p>
            <w:r>
              <w:rPr>
                <w:rFonts w:ascii="Meiryo UI" w:hAnsi="Meiryo UI"/>
                <w:b/>
                <w:color w:val="FFFFFF"/>
                <w:sz w:val="18"/>
              </w:rPr>
              <w:t>g=2.0%</w:t>
            </w:r>
          </w:p>
        </w:tc>
        <w:tc>
          <w:tcPr>
            <w:tcW w:type="dxa" w:w="1568"/>
            <w:shd w:val="clear" w:color="auto" w:fill="2E74B5"/>
          </w:tcPr>
          <w:p>
            <w:r>
              <w:rPr>
                <w:rFonts w:ascii="Meiryo UI" w:hAnsi="Meiryo UI"/>
                <w:b/>
                <w:color w:val="FFFFFF"/>
                <w:sz w:val="18"/>
              </w:rPr>
              <w:t>g=2.5%</w:t>
            </w:r>
          </w:p>
        </w:tc>
      </w:tr>
      <w:tr>
        <w:tc>
          <w:tcPr>
            <w:tcW w:type="dxa" w:w="1568"/>
          </w:tcPr>
          <w:p>
            <w:r>
              <w:rPr>
                <w:rFonts w:ascii="Meiryo UI" w:hAnsi="Meiryo UI"/>
                <w:sz w:val="18"/>
              </w:rPr>
              <w:t>4.0%</w:t>
            </w:r>
          </w:p>
        </w:tc>
        <w:tc>
          <w:tcPr>
            <w:tcW w:type="dxa" w:w="1568"/>
          </w:tcPr>
          <w:p>
            <w:r>
              <w:rPr>
                <w:rFonts w:ascii="Meiryo UI" w:hAnsi="Meiryo UI"/>
                <w:sz w:val="18"/>
              </w:rPr>
              <w:t>¥14,200</w:t>
            </w:r>
          </w:p>
        </w:tc>
        <w:tc>
          <w:tcPr>
            <w:tcW w:type="dxa" w:w="1568"/>
          </w:tcPr>
          <w:p>
            <w:r>
              <w:rPr>
                <w:rFonts w:ascii="Meiryo UI" w:hAnsi="Meiryo UI"/>
                <w:sz w:val="18"/>
              </w:rPr>
              <w:t>¥15,100</w:t>
            </w:r>
          </w:p>
        </w:tc>
        <w:tc>
          <w:tcPr>
            <w:tcW w:type="dxa" w:w="1568"/>
          </w:tcPr>
          <w:p>
            <w:r>
              <w:rPr>
                <w:rFonts w:ascii="Meiryo UI" w:hAnsi="Meiryo UI"/>
                <w:sz w:val="18"/>
              </w:rPr>
              <w:t>¥16,200</w:t>
            </w:r>
          </w:p>
        </w:tc>
        <w:tc>
          <w:tcPr>
            <w:tcW w:type="dxa" w:w="1568"/>
          </w:tcPr>
          <w:p>
            <w:r>
              <w:rPr>
                <w:rFonts w:ascii="Meiryo UI" w:hAnsi="Meiryo UI"/>
                <w:sz w:val="18"/>
              </w:rPr>
              <w:t>¥17,600</w:t>
            </w:r>
          </w:p>
        </w:tc>
        <w:tc>
          <w:tcPr>
            <w:tcW w:type="dxa" w:w="1568"/>
          </w:tcPr>
          <w:p>
            <w:r>
              <w:rPr>
                <w:rFonts w:ascii="Meiryo UI" w:hAnsi="Meiryo UI"/>
                <w:sz w:val="18"/>
              </w:rPr>
              <w:t>¥19,500</w:t>
            </w:r>
          </w:p>
        </w:tc>
      </w:tr>
      <w:tr>
        <w:tc>
          <w:tcPr>
            <w:tcW w:type="dxa" w:w="1568"/>
            <w:shd w:val="clear" w:color="auto" w:fill="DDEBF7"/>
          </w:tcPr>
          <w:p>
            <w:r>
              <w:rPr>
                <w:rFonts w:ascii="Meiryo UI" w:hAnsi="Meiryo UI"/>
                <w:sz w:val="18"/>
              </w:rPr>
              <w:t>4.5%</w:t>
            </w:r>
          </w:p>
        </w:tc>
        <w:tc>
          <w:tcPr>
            <w:tcW w:type="dxa" w:w="1568"/>
            <w:shd w:val="clear" w:color="auto" w:fill="DDEBF7"/>
          </w:tcPr>
          <w:p>
            <w:r>
              <w:rPr>
                <w:rFonts w:ascii="Meiryo UI" w:hAnsi="Meiryo UI"/>
                <w:sz w:val="18"/>
              </w:rPr>
              <w:t>¥12,100</w:t>
            </w:r>
          </w:p>
        </w:tc>
        <w:tc>
          <w:tcPr>
            <w:tcW w:type="dxa" w:w="1568"/>
            <w:shd w:val="clear" w:color="auto" w:fill="DDEBF7"/>
          </w:tcPr>
          <w:p>
            <w:r>
              <w:rPr>
                <w:rFonts w:ascii="Meiryo UI" w:hAnsi="Meiryo UI"/>
                <w:sz w:val="18"/>
              </w:rPr>
              <w:t>¥12,800</w:t>
            </w:r>
          </w:p>
        </w:tc>
        <w:tc>
          <w:tcPr>
            <w:tcW w:type="dxa" w:w="1568"/>
            <w:shd w:val="clear" w:color="auto" w:fill="DDEBF7"/>
          </w:tcPr>
          <w:p>
            <w:r>
              <w:rPr>
                <w:rFonts w:ascii="Meiryo UI" w:hAnsi="Meiryo UI"/>
                <w:sz w:val="18"/>
              </w:rPr>
              <w:t>¥13,700</w:t>
            </w:r>
          </w:p>
        </w:tc>
        <w:tc>
          <w:tcPr>
            <w:tcW w:type="dxa" w:w="1568"/>
            <w:shd w:val="clear" w:color="auto" w:fill="DDEBF7"/>
          </w:tcPr>
          <w:p>
            <w:r>
              <w:rPr>
                <w:rFonts w:ascii="Meiryo UI" w:hAnsi="Meiryo UI"/>
                <w:sz w:val="18"/>
              </w:rPr>
              <w:t>¥14,700</w:t>
            </w:r>
          </w:p>
        </w:tc>
        <w:tc>
          <w:tcPr>
            <w:tcW w:type="dxa" w:w="1568"/>
            <w:shd w:val="clear" w:color="auto" w:fill="DDEBF7"/>
          </w:tcPr>
          <w:p>
            <w:r>
              <w:rPr>
                <w:rFonts w:ascii="Meiryo UI" w:hAnsi="Meiryo UI"/>
                <w:sz w:val="18"/>
              </w:rPr>
              <w:t>¥16,000</w:t>
            </w:r>
          </w:p>
        </w:tc>
      </w:tr>
      <w:tr>
        <w:tc>
          <w:tcPr>
            <w:tcW w:type="dxa" w:w="1568"/>
          </w:tcPr>
          <w:p>
            <w:r>
              <w:rPr>
                <w:rFonts w:ascii="Meiryo UI" w:hAnsi="Meiryo UI"/>
                <w:sz w:val="18"/>
              </w:rPr>
              <w:t>5.0%</w:t>
            </w:r>
          </w:p>
        </w:tc>
        <w:tc>
          <w:tcPr>
            <w:tcW w:type="dxa" w:w="1568"/>
          </w:tcPr>
          <w:p>
            <w:r>
              <w:rPr>
                <w:rFonts w:ascii="Meiryo UI" w:hAnsi="Meiryo UI"/>
                <w:sz w:val="18"/>
              </w:rPr>
              <w:t>¥10,200</w:t>
            </w:r>
          </w:p>
        </w:tc>
        <w:tc>
          <w:tcPr>
            <w:tcW w:type="dxa" w:w="1568"/>
          </w:tcPr>
          <w:p>
            <w:r>
              <w:rPr>
                <w:rFonts w:ascii="Meiryo UI" w:hAnsi="Meiryo UI"/>
                <w:sz w:val="18"/>
              </w:rPr>
              <w:t>¥10,700</w:t>
            </w:r>
          </w:p>
        </w:tc>
        <w:tc>
          <w:tcPr>
            <w:tcW w:type="dxa" w:w="1568"/>
          </w:tcPr>
          <w:p>
            <w:r>
              <w:rPr>
                <w:rFonts w:ascii="Meiryo UI" w:hAnsi="Meiryo UI"/>
                <w:sz w:val="18"/>
              </w:rPr>
              <w:t>¥11,031</w:t>
            </w:r>
          </w:p>
        </w:tc>
        <w:tc>
          <w:tcPr>
            <w:tcW w:type="dxa" w:w="1568"/>
          </w:tcPr>
          <w:p>
            <w:r>
              <w:rPr>
                <w:rFonts w:ascii="Meiryo UI" w:hAnsi="Meiryo UI"/>
                <w:sz w:val="18"/>
              </w:rPr>
              <w:t>¥12,000</w:t>
            </w:r>
          </w:p>
        </w:tc>
        <w:tc>
          <w:tcPr>
            <w:tcW w:type="dxa" w:w="1568"/>
          </w:tcPr>
          <w:p>
            <w:r>
              <w:rPr>
                <w:rFonts w:ascii="Meiryo UI" w:hAnsi="Meiryo UI"/>
                <w:sz w:val="18"/>
              </w:rPr>
              <w:t>¥13,100</w:t>
            </w:r>
          </w:p>
        </w:tc>
      </w:tr>
      <w:tr>
        <w:tc>
          <w:tcPr>
            <w:tcW w:type="dxa" w:w="1568"/>
            <w:shd w:val="clear" w:color="auto" w:fill="DDEBF7"/>
          </w:tcPr>
          <w:p>
            <w:r>
              <w:rPr>
                <w:rFonts w:ascii="Meiryo UI" w:hAnsi="Meiryo UI"/>
                <w:sz w:val="18"/>
              </w:rPr>
              <w:t>5.5%</w:t>
            </w:r>
          </w:p>
        </w:tc>
        <w:tc>
          <w:tcPr>
            <w:tcW w:type="dxa" w:w="1568"/>
            <w:shd w:val="clear" w:color="auto" w:fill="DDEBF7"/>
          </w:tcPr>
          <w:p>
            <w:r>
              <w:rPr>
                <w:rFonts w:ascii="Meiryo UI" w:hAnsi="Meiryo UI"/>
                <w:sz w:val="18"/>
              </w:rPr>
              <w:t>¥8,700</w:t>
            </w:r>
          </w:p>
        </w:tc>
        <w:tc>
          <w:tcPr>
            <w:tcW w:type="dxa" w:w="1568"/>
            <w:shd w:val="clear" w:color="auto" w:fill="DDEBF7"/>
          </w:tcPr>
          <w:p>
            <w:r>
              <w:rPr>
                <w:rFonts w:ascii="Meiryo UI" w:hAnsi="Meiryo UI"/>
                <w:sz w:val="18"/>
              </w:rPr>
              <w:t>¥9,100</w:t>
            </w:r>
          </w:p>
        </w:tc>
        <w:tc>
          <w:tcPr>
            <w:tcW w:type="dxa" w:w="1568"/>
            <w:shd w:val="clear" w:color="auto" w:fill="DDEBF7"/>
          </w:tcPr>
          <w:p>
            <w:r>
              <w:rPr>
                <w:rFonts w:ascii="Meiryo UI" w:hAnsi="Meiryo UI"/>
                <w:sz w:val="18"/>
              </w:rPr>
              <w:t>¥9,600</w:t>
            </w:r>
          </w:p>
        </w:tc>
        <w:tc>
          <w:tcPr>
            <w:tcW w:type="dxa" w:w="1568"/>
            <w:shd w:val="clear" w:color="auto" w:fill="DDEBF7"/>
          </w:tcPr>
          <w:p>
            <w:r>
              <w:rPr>
                <w:rFonts w:ascii="Meiryo UI" w:hAnsi="Meiryo UI"/>
                <w:sz w:val="18"/>
              </w:rPr>
              <w:t>¥10,200</w:t>
            </w:r>
          </w:p>
        </w:tc>
        <w:tc>
          <w:tcPr>
            <w:tcW w:type="dxa" w:w="1568"/>
            <w:shd w:val="clear" w:color="auto" w:fill="DDEBF7"/>
          </w:tcPr>
          <w:p>
            <w:r>
              <w:rPr>
                <w:rFonts w:ascii="Meiryo UI" w:hAnsi="Meiryo UI"/>
                <w:sz w:val="18"/>
              </w:rPr>
              <w:t>¥11,000</w:t>
            </w:r>
          </w:p>
        </w:tc>
      </w:tr>
      <w:tr>
        <w:tc>
          <w:tcPr>
            <w:tcW w:type="dxa" w:w="1568"/>
          </w:tcPr>
          <w:p>
            <w:r>
              <w:rPr>
                <w:rFonts w:ascii="Meiryo UI" w:hAnsi="Meiryo UI"/>
                <w:sz w:val="18"/>
              </w:rPr>
              <w:t>6.0%</w:t>
            </w:r>
          </w:p>
        </w:tc>
        <w:tc>
          <w:tcPr>
            <w:tcW w:type="dxa" w:w="1568"/>
          </w:tcPr>
          <w:p>
            <w:r>
              <w:rPr>
                <w:rFonts w:ascii="Meiryo UI" w:hAnsi="Meiryo UI"/>
                <w:sz w:val="18"/>
              </w:rPr>
              <w:t>¥7,500</w:t>
            </w:r>
          </w:p>
        </w:tc>
        <w:tc>
          <w:tcPr>
            <w:tcW w:type="dxa" w:w="1568"/>
          </w:tcPr>
          <w:p>
            <w:r>
              <w:rPr>
                <w:rFonts w:ascii="Meiryo UI" w:hAnsi="Meiryo UI"/>
                <w:sz w:val="18"/>
              </w:rPr>
              <w:t>¥7,800</w:t>
            </w:r>
          </w:p>
        </w:tc>
        <w:tc>
          <w:tcPr>
            <w:tcW w:type="dxa" w:w="1568"/>
          </w:tcPr>
          <w:p>
            <w:r>
              <w:rPr>
                <w:rFonts w:ascii="Meiryo UI" w:hAnsi="Meiryo UI"/>
                <w:sz w:val="18"/>
              </w:rPr>
              <w:t>¥8,200</w:t>
            </w:r>
          </w:p>
        </w:tc>
        <w:tc>
          <w:tcPr>
            <w:tcW w:type="dxa" w:w="1568"/>
          </w:tcPr>
          <w:p>
            <w:r>
              <w:rPr>
                <w:rFonts w:ascii="Meiryo UI" w:hAnsi="Meiryo UI"/>
                <w:sz w:val="18"/>
              </w:rPr>
              <w:t>¥8,700</w:t>
            </w:r>
          </w:p>
        </w:tc>
        <w:tc>
          <w:tcPr>
            <w:tcW w:type="dxa" w:w="1568"/>
          </w:tcPr>
          <w:p>
            <w:r>
              <w:rPr>
                <w:rFonts w:ascii="Meiryo UI" w:hAnsi="Meiryo UI"/>
                <w:sz w:val="18"/>
              </w:rPr>
              <w:t>¥9,300</w:t>
            </w:r>
          </w:p>
        </w:tc>
      </w:tr>
      <w:tr>
        <w:tc>
          <w:tcPr>
            <w:tcW w:type="dxa" w:w="1568"/>
            <w:shd w:val="clear" w:color="auto" w:fill="DDEBF7"/>
          </w:tcPr>
          <w:p>
            <w:r>
              <w:rPr>
                <w:rFonts w:ascii="Meiryo UI" w:hAnsi="Meiryo UI"/>
                <w:sz w:val="18"/>
              </w:rPr>
              <w:t>6.5%</w:t>
            </w:r>
          </w:p>
        </w:tc>
        <w:tc>
          <w:tcPr>
            <w:tcW w:type="dxa" w:w="1568"/>
            <w:shd w:val="clear" w:color="auto" w:fill="DDEBF7"/>
          </w:tcPr>
          <w:p>
            <w:r>
              <w:rPr>
                <w:rFonts w:ascii="Meiryo UI" w:hAnsi="Meiryo UI"/>
                <w:sz w:val="18"/>
              </w:rPr>
              <w:t>¥6,500</w:t>
            </w:r>
          </w:p>
        </w:tc>
        <w:tc>
          <w:tcPr>
            <w:tcW w:type="dxa" w:w="1568"/>
            <w:shd w:val="clear" w:color="auto" w:fill="DDEBF7"/>
          </w:tcPr>
          <w:p>
            <w:r>
              <w:rPr>
                <w:rFonts w:ascii="Meiryo UI" w:hAnsi="Meiryo UI"/>
                <w:sz w:val="18"/>
              </w:rPr>
              <w:t>¥6,800</w:t>
            </w:r>
          </w:p>
        </w:tc>
        <w:tc>
          <w:tcPr>
            <w:tcW w:type="dxa" w:w="1568"/>
            <w:shd w:val="clear" w:color="auto" w:fill="DDEBF7"/>
          </w:tcPr>
          <w:p>
            <w:r>
              <w:rPr>
                <w:rFonts w:ascii="Meiryo UI" w:hAnsi="Meiryo UI"/>
                <w:sz w:val="18"/>
              </w:rPr>
              <w:t>¥7,100</w:t>
            </w:r>
          </w:p>
        </w:tc>
        <w:tc>
          <w:tcPr>
            <w:tcW w:type="dxa" w:w="1568"/>
            <w:shd w:val="clear" w:color="auto" w:fill="DDEBF7"/>
          </w:tcPr>
          <w:p>
            <w:r>
              <w:rPr>
                <w:rFonts w:ascii="Meiryo UI" w:hAnsi="Meiryo UI"/>
                <w:sz w:val="18"/>
              </w:rPr>
              <w:t>¥7,500</w:t>
            </w:r>
          </w:p>
        </w:tc>
        <w:tc>
          <w:tcPr>
            <w:tcW w:type="dxa" w:w="1568"/>
            <w:shd w:val="clear" w:color="auto" w:fill="DDEBF7"/>
          </w:tcPr>
          <w:p>
            <w:r>
              <w:rPr>
                <w:rFonts w:ascii="Meiryo UI" w:hAnsi="Meiryo UI"/>
                <w:sz w:val="18"/>
              </w:rPr>
              <w:t>¥8,000</w:t>
            </w:r>
          </w:p>
        </w:tc>
      </w:tr>
    </w:tbl>
    <w:p/>
    <w:p>
      <w:r>
        <w:rPr>
          <w:rFonts w:ascii="Meiryo UI" w:hAnsi="Meiryo UI"/>
          <w:sz w:val="20"/>
        </w:rPr>
        <w:t>→ どの組み合わせでも現在株価¥3,758を大幅に上回る → バリュー割安の頑健性確認</w:t>
      </w:r>
    </w:p>
    <w:p/>
    <w:p>
      <w:pPr>
        <w:pStyle w:val="Heading2"/>
      </w:pPr>
      <w:r>
        <w:rPr>
          <w:rFonts w:ascii="Meiryo UI" w:hAnsi="Meiryo UI"/>
          <w:color w:val="2E74B5"/>
        </w:rPr>
        <w:t>9-3. ROEシナリオ × WACC感応度テーブル</w:t>
      </w:r>
    </w:p>
    <w:p/>
    <w:p>
      <w:r>
        <w:rPr>
          <w:rFonts w:ascii="Meiryo UI" w:hAnsi="Meiryo UI"/>
          <w:sz w:val="20"/>
        </w:rPr>
        <w:t>目標株価（18ヶ月、Margin of Safety 30%割引後）</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WACC \ ROEシナリオ</w:t>
            </w:r>
          </w:p>
        </w:tc>
        <w:tc>
          <w:tcPr>
            <w:tcW w:type="dxa" w:w="2351"/>
            <w:shd w:val="clear" w:color="auto" w:fill="2E74B5"/>
          </w:tcPr>
          <w:p>
            <w:r>
              <w:rPr>
                <w:rFonts w:ascii="Meiryo UI" w:hAnsi="Meiryo UI"/>
                <w:b/>
                <w:color w:val="FFFFFF"/>
                <w:sz w:val="18"/>
              </w:rPr>
              <w:t>ROE5%（保守）</w:t>
            </w:r>
          </w:p>
        </w:tc>
        <w:tc>
          <w:tcPr>
            <w:tcW w:type="dxa" w:w="2351"/>
            <w:shd w:val="clear" w:color="auto" w:fill="2E74B5"/>
          </w:tcPr>
          <w:p>
            <w:r>
              <w:rPr>
                <w:rFonts w:ascii="Meiryo UI" w:hAnsi="Meiryo UI"/>
                <w:b/>
                <w:color w:val="FFFFFF"/>
                <w:sz w:val="18"/>
              </w:rPr>
              <w:t>ROE7%（基本）</w:t>
            </w:r>
          </w:p>
        </w:tc>
        <w:tc>
          <w:tcPr>
            <w:tcW w:type="dxa" w:w="2351"/>
            <w:shd w:val="clear" w:color="auto" w:fill="2E74B5"/>
          </w:tcPr>
          <w:p>
            <w:r>
              <w:rPr>
                <w:rFonts w:ascii="Meiryo UI" w:hAnsi="Meiryo UI"/>
                <w:b/>
                <w:color w:val="FFFFFF"/>
                <w:sz w:val="18"/>
              </w:rPr>
              <w:t>ROE10%（強気）</w:t>
            </w:r>
          </w:p>
        </w:tc>
      </w:tr>
      <w:tr>
        <w:tc>
          <w:tcPr>
            <w:tcW w:type="dxa" w:w="2351"/>
          </w:tcPr>
          <w:p>
            <w:r>
              <w:rPr>
                <w:rFonts w:ascii="Meiryo UI" w:hAnsi="Meiryo UI"/>
                <w:sz w:val="18"/>
              </w:rPr>
              <w:t>4.5%</w:t>
            </w:r>
          </w:p>
        </w:tc>
        <w:tc>
          <w:tcPr>
            <w:tcW w:type="dxa" w:w="2351"/>
          </w:tcPr>
          <w:p>
            <w:r>
              <w:rPr>
                <w:rFonts w:ascii="Meiryo UI" w:hAnsi="Meiryo UI"/>
                <w:sz w:val="18"/>
              </w:rPr>
              <w:t>¥7,800</w:t>
            </w:r>
          </w:p>
        </w:tc>
        <w:tc>
          <w:tcPr>
            <w:tcW w:type="dxa" w:w="2351"/>
          </w:tcPr>
          <w:p>
            <w:r>
              <w:rPr>
                <w:rFonts w:ascii="Meiryo UI" w:hAnsi="Meiryo UI"/>
                <w:sz w:val="18"/>
              </w:rPr>
              <w:t>¥9,600</w:t>
            </w:r>
          </w:p>
        </w:tc>
        <w:tc>
          <w:tcPr>
            <w:tcW w:type="dxa" w:w="2351"/>
          </w:tcPr>
          <w:p>
            <w:r>
              <w:rPr>
                <w:rFonts w:ascii="Meiryo UI" w:hAnsi="Meiryo UI"/>
                <w:sz w:val="18"/>
              </w:rPr>
              <w:t>¥12,800</w:t>
            </w:r>
          </w:p>
        </w:tc>
      </w:tr>
      <w:tr>
        <w:tc>
          <w:tcPr>
            <w:tcW w:type="dxa" w:w="2351"/>
            <w:shd w:val="clear" w:color="auto" w:fill="DDEBF7"/>
          </w:tcPr>
          <w:p>
            <w:r>
              <w:rPr>
                <w:rFonts w:ascii="Meiryo UI" w:hAnsi="Meiryo UI"/>
                <w:sz w:val="18"/>
              </w:rPr>
              <w:t>5.0%（ベース）</w:t>
            </w:r>
          </w:p>
        </w:tc>
        <w:tc>
          <w:tcPr>
            <w:tcW w:type="dxa" w:w="2351"/>
            <w:shd w:val="clear" w:color="auto" w:fill="DDEBF7"/>
          </w:tcPr>
          <w:p>
            <w:r>
              <w:rPr>
                <w:rFonts w:ascii="Meiryo UI" w:hAnsi="Meiryo UI"/>
                <w:sz w:val="18"/>
              </w:rPr>
              <w:t>¥5,778</w:t>
            </w:r>
          </w:p>
        </w:tc>
        <w:tc>
          <w:tcPr>
            <w:tcW w:type="dxa" w:w="2351"/>
            <w:shd w:val="clear" w:color="auto" w:fill="DDEBF7"/>
          </w:tcPr>
          <w:p>
            <w:r>
              <w:rPr>
                <w:rFonts w:ascii="Meiryo UI" w:hAnsi="Meiryo UI"/>
                <w:sz w:val="18"/>
              </w:rPr>
              <w:t>¥7,722</w:t>
            </w:r>
          </w:p>
        </w:tc>
        <w:tc>
          <w:tcPr>
            <w:tcW w:type="dxa" w:w="2351"/>
            <w:shd w:val="clear" w:color="auto" w:fill="DDEBF7"/>
          </w:tcPr>
          <w:p>
            <w:r>
              <w:rPr>
                <w:rFonts w:ascii="Meiryo UI" w:hAnsi="Meiryo UI"/>
                <w:sz w:val="18"/>
              </w:rPr>
              <w:t>¥11,250</w:t>
            </w:r>
          </w:p>
        </w:tc>
      </w:tr>
      <w:tr>
        <w:tc>
          <w:tcPr>
            <w:tcW w:type="dxa" w:w="2351"/>
          </w:tcPr>
          <w:p>
            <w:r>
              <w:rPr>
                <w:rFonts w:ascii="Meiryo UI" w:hAnsi="Meiryo UI"/>
                <w:sz w:val="18"/>
              </w:rPr>
              <w:t>5.5%</w:t>
            </w:r>
          </w:p>
        </w:tc>
        <w:tc>
          <w:tcPr>
            <w:tcW w:type="dxa" w:w="2351"/>
          </w:tcPr>
          <w:p>
            <w:r>
              <w:rPr>
                <w:rFonts w:ascii="Meiryo UI" w:hAnsi="Meiryo UI"/>
                <w:sz w:val="18"/>
              </w:rPr>
              <w:t>¥4,900</w:t>
            </w:r>
          </w:p>
        </w:tc>
        <w:tc>
          <w:tcPr>
            <w:tcW w:type="dxa" w:w="2351"/>
          </w:tcPr>
          <w:p>
            <w:r>
              <w:rPr>
                <w:rFonts w:ascii="Meiryo UI" w:hAnsi="Meiryo UI"/>
                <w:sz w:val="18"/>
              </w:rPr>
              <w:t>¥6,720</w:t>
            </w:r>
          </w:p>
        </w:tc>
        <w:tc>
          <w:tcPr>
            <w:tcW w:type="dxa" w:w="2351"/>
          </w:tcPr>
          <w:p>
            <w:r>
              <w:rPr>
                <w:rFonts w:ascii="Meiryo UI" w:hAnsi="Meiryo UI"/>
                <w:sz w:val="18"/>
              </w:rPr>
              <w:t>¥9,800</w:t>
            </w:r>
          </w:p>
        </w:tc>
      </w:tr>
      <w:tr>
        <w:tc>
          <w:tcPr>
            <w:tcW w:type="dxa" w:w="2351"/>
            <w:shd w:val="clear" w:color="auto" w:fill="DDEBF7"/>
          </w:tcPr>
          <w:p>
            <w:r>
              <w:rPr>
                <w:rFonts w:ascii="Meiryo UI" w:hAnsi="Meiryo UI"/>
                <w:sz w:val="18"/>
              </w:rPr>
              <w:t>6.0%</w:t>
            </w:r>
          </w:p>
        </w:tc>
        <w:tc>
          <w:tcPr>
            <w:tcW w:type="dxa" w:w="2351"/>
            <w:shd w:val="clear" w:color="auto" w:fill="DDEBF7"/>
          </w:tcPr>
          <w:p>
            <w:r>
              <w:rPr>
                <w:rFonts w:ascii="Meiryo UI" w:hAnsi="Meiryo UI"/>
                <w:sz w:val="18"/>
              </w:rPr>
              <w:t>¥4,200</w:t>
            </w:r>
          </w:p>
        </w:tc>
        <w:tc>
          <w:tcPr>
            <w:tcW w:type="dxa" w:w="2351"/>
            <w:shd w:val="clear" w:color="auto" w:fill="DDEBF7"/>
          </w:tcPr>
          <w:p>
            <w:r>
              <w:rPr>
                <w:rFonts w:ascii="Meiryo UI" w:hAnsi="Meiryo UI"/>
                <w:sz w:val="18"/>
              </w:rPr>
              <w:t>¥5,740</w:t>
            </w:r>
          </w:p>
        </w:tc>
        <w:tc>
          <w:tcPr>
            <w:tcW w:type="dxa" w:w="2351"/>
            <w:shd w:val="clear" w:color="auto" w:fill="DDEBF7"/>
          </w:tcPr>
          <w:p>
            <w:r>
              <w:rPr>
                <w:rFonts w:ascii="Meiryo UI" w:hAnsi="Meiryo UI"/>
                <w:sz w:val="18"/>
              </w:rPr>
              <w:t>¥8,400</w:t>
            </w:r>
          </w:p>
        </w:tc>
      </w:tr>
    </w:tbl>
    <w:p/>
    <w:p>
      <w:r>
        <w:rPr>
          <w:rFonts w:ascii="Meiryo UI" w:hAnsi="Meiryo UI"/>
          <w:sz w:val="20"/>
        </w:rPr>
        <w:t>→ WACC6.0%・ROE5%の最保守ケースでも ¥4,200（+11.8%）のアップサイドあり</w:t>
      </w:r>
    </w:p>
    <w:p/>
    <w:p>
      <w:r>
        <w:t>──────────────────────────────────────────────────</w:t>
      </w:r>
    </w:p>
    <w:p/>
    <w:p>
      <w:pPr>
        <w:pStyle w:val="Heading2"/>
      </w:pPr>
      <w:r>
        <w:rPr>
          <w:rFonts w:ascii="Meiryo UI" w:hAnsi="Meiryo UI"/>
          <w:color w:val="2E74B5"/>
        </w:rPr>
        <w:t>レポートサマリー（エグゼクティブ・サマリー）</w:t>
      </w:r>
    </w:p>
    <w:p/>
    <w:p>
      <w:pPr>
        <w:shd w:val="clear" w:color="auto" w:fill="F2F2F2"/>
      </w:pPr>
      <w:r>
        <w:rPr>
          <w:rFonts w:ascii="Courier New" w:hAnsi="Courier New"/>
          <w:sz w:val="16"/>
        </w:rPr>
        <w:t>╔════════════════════════════════════════════════════════════════════╗</w:t>
        <w:br/>
        <w:t>║          太平洋セメント（5233.T）深井レポート エグゼクティブサマリー   ║</w:t>
        <w:br/>
        <w:t>╠════════════════════════════════════════════════════════════════════╣</w:t>
        <w:br/>
        <w:t>║                                                                    ║</w:t>
        <w:br/>
        <w:t>║  現在株価:  ¥3,758                                                 ║</w:t>
        <w:br/>
        <w:t>║  目標株価:  ¥6,000（18ヶ月、MoS30%割引後）                         ║</w:t>
        <w:br/>
        <w:t>║  投資判断:  買い（条件付き）★★★★☆                                 ║</w:t>
        <w:br/>
        <w:t>║  損切り:    ¥3,000（▲20.2%）                                       ║</w:t>
        <w:br/>
        <w:t>║                                                                    ║</w:t>
        <w:br/>
        <w:t>║  【最重要発見事項】                                                  ║</w:t>
        <w:br/>
        <w:t>║  1. PBR0.66倍は「低ROEの罠+石灰石鉱山NAVの合成」                   ║</w:t>
        <w:br/>
        <w:t>║     →NAV対比74%ディスカウント = 本物バリューの根拠                   ║</w:t>
        <w:br/>
        <w:t>║                                                                    ║</w:t>
        <w:br/>
        <w:t>║  2. ROE3.7%は確かに低いが、廃棄物処理+米国事業で                    ║</w:t>
        <w:br/>
        <w:t>║     3〜4年でROE5〜7%への改善シナリオは現実的                        ║</w:t>
        <w:br/>
        <w:t>║                                                                    ║</w:t>
        <w:br/>
        <w:t>║  3. 石灰石鉱山NAV（中央値¥14,749/株）は現在株価の約4倍              ║</w:t>
        <w:br/>
        <w:t>║     → 市場はこの価値を完全に無視している                            ║</w:t>
        <w:br/>
        <w:t>║                                                                    ║</w:t>
        <w:br/>
        <w:t>║  4. 生コン+0.8%（3月）= 底打ちシグナル                              ║</w:t>
        <w:br/>
        <w:t>║     2027〜2028年が需要回復の本番フェーズ                            ║</w:t>
        <w:br/>
        <w:t>║                                                                    ║</w:t>
        <w:br/>
        <w:t>║  5. 自社株買い1年不実施=カタリスト不在だが、                         ║</w:t>
        <w:br/>
        <w:t>║     「1年後の再開前に仕込む」が最適戦略                              ║</w:t>
        <w:br/>
        <w:t>║                                                                    ║</w:t>
        <w:br/>
        <w:t>║  【リスク】LPG急騰・石炭高・国内需要低迷の長期化                      ║</w:t>
        <w:br/>
        <w:t>║  【カタリスト】自社株買い再開・ROE改善・能登需要・IIJAピーク          ║</w:t>
        <w:br/>
        <w:t>║                                                                    ║</w:t>
        <w:br/>
        <w:t>╚════════════════════════════════════════════════════════════════════╝</w:t>
      </w:r>
    </w:p>
    <w:p/>
    <w:p>
      <w:r>
        <w:t>──────────────────────────────────────────────────</w:t>
      </w:r>
    </w:p>
    <w:p/>
    <w:p>
      <w:r>
        <w:rPr>
          <w:rFonts w:ascii="Meiryo UI" w:hAnsi="Meiryo UI"/>
          <w:sz w:val="20"/>
        </w:rPr>
        <w:t>本レポートは竹村トレードカンパニー 深井による分析レポートです。</w:t>
      </w:r>
    </w:p>
    <w:p>
      <w:r>
        <w:rPr>
          <w:rFonts w:ascii="Meiryo UI" w:hAnsi="Meiryo UI"/>
          <w:sz w:val="20"/>
        </w:rPr>
        <w:t>使用財務指標はYahoo Finance / Bloomberg（2026-04-09 05:20 JST）のリアルタイム取得値です。</w:t>
      </w:r>
    </w:p>
    <w:p>
      <w:r>
        <w:rPr>
          <w:rFonts w:ascii="Meiryo UI" w:hAnsi="Meiryo UI"/>
          <w:sz w:val="20"/>
        </w:rPr>
        <w:t>BPS¥5,719 / PBR0.66倍 / ROE3.7% / EPS¥461 / PER8.2倍 / 株価¥3,758は確認済み唯一の正解値。</w:t>
      </w:r>
    </w:p>
    <w:p>
      <w:r>
        <w:rPr>
          <w:rFonts w:ascii="Meiryo UI" w:hAnsi="Meiryo UI"/>
          <w:sz w:val="20"/>
        </w:rPr>
        <w:t>Rf=2.411%（JGB10Y、財務省R8.4.7）を唯一のリスクフリーレートとして使用。</w:t>
      </w:r>
    </w:p>
    <w:p>
      <w:r>
        <w:rPr>
          <w:rFonts w:ascii="Meiryo UI" w:hAnsi="Meiryo UI"/>
          <w:sz w:val="20"/>
        </w:rPr>
        <w:t>本レポートは投資判断の参考資料であり、投資の結果を保証するものではありません。</w:t>
      </w:r>
    </w:p>
    <w:p/>
    <w:p>
      <w:r>
        <w:t>──────────────────────────────────────────────────</w:t>
      </w:r>
    </w:p>
    <w:p/>
    <w:p>
      <w:pPr>
        <w:pStyle w:val="Heading2"/>
      </w:pPr>
      <w:r>
        <w:rPr>
          <w:rFonts w:ascii="Meiryo UI" w:hAnsi="Meiryo UI"/>
          <w:color w:val="2E74B5"/>
        </w:rPr>
        <w:t>金利エビデンス（レポート末尾必須記載）</w:t>
      </w:r>
    </w:p>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2E74B5"/>
          </w:tcPr>
          <w:p>
            <w:r>
              <w:rPr>
                <w:rFonts w:ascii="Meiryo UI" w:hAnsi="Meiryo UI"/>
                <w:b/>
                <w:color w:val="FFFFFF"/>
                <w:sz w:val="18"/>
              </w:rPr>
              <w:t>項目</w:t>
            </w:r>
          </w:p>
        </w:tc>
        <w:tc>
          <w:tcPr>
            <w:tcW w:type="dxa" w:w="4703"/>
            <w:shd w:val="clear" w:color="auto" w:fill="2E74B5"/>
          </w:tcPr>
          <w:p>
            <w:r>
              <w:rPr>
                <w:rFonts w:ascii="Meiryo UI" w:hAnsi="Meiryo UI"/>
                <w:b/>
                <w:color w:val="FFFFFF"/>
                <w:sz w:val="18"/>
              </w:rPr>
              <w:t>値</w:t>
            </w:r>
          </w:p>
        </w:tc>
      </w:tr>
      <w:tr>
        <w:tc>
          <w:tcPr>
            <w:tcW w:type="dxa" w:w="4703"/>
          </w:tcPr>
          <w:p>
            <w:r>
              <w:rPr>
                <w:rFonts w:ascii="Meiryo UI" w:hAnsi="Meiryo UI"/>
                <w:sz w:val="18"/>
              </w:rPr>
              <w:t>リスクフリーレート（Rf）</w:t>
            </w:r>
          </w:p>
        </w:tc>
        <w:tc>
          <w:tcPr>
            <w:tcW w:type="dxa" w:w="4703"/>
          </w:tcPr>
          <w:p>
            <w:r>
              <w:rPr>
                <w:rFonts w:ascii="Meiryo UI" w:hAnsi="Meiryo UI"/>
                <w:sz w:val="18"/>
              </w:rPr>
              <w:t>2.411%</w:t>
            </w:r>
          </w:p>
        </w:tc>
      </w:tr>
      <w:tr>
        <w:tc>
          <w:tcPr>
            <w:tcW w:type="dxa" w:w="4703"/>
            <w:shd w:val="clear" w:color="auto" w:fill="DDEBF7"/>
          </w:tcPr>
          <w:p>
            <w:r>
              <w:rPr>
                <w:rFonts w:ascii="Meiryo UI" w:hAnsi="Meiryo UI"/>
                <w:sz w:val="18"/>
              </w:rPr>
              <w:t>参照指標</w:t>
            </w:r>
          </w:p>
        </w:tc>
        <w:tc>
          <w:tcPr>
            <w:tcW w:type="dxa" w:w="4703"/>
            <w:shd w:val="clear" w:color="auto" w:fill="DDEBF7"/>
          </w:tcPr>
          <w:p>
            <w:r>
              <w:rPr>
                <w:rFonts w:ascii="Meiryo UI" w:hAnsi="Meiryo UI"/>
                <w:sz w:val="18"/>
              </w:rPr>
              <w:t>日本10年国債（JGB10Y）2.411%</w:t>
            </w:r>
          </w:p>
        </w:tc>
      </w:tr>
      <w:tr>
        <w:tc>
          <w:tcPr>
            <w:tcW w:type="dxa" w:w="4703"/>
          </w:tcPr>
          <w:p>
            <w:r>
              <w:rPr>
                <w:rFonts w:ascii="Meiryo UI" w:hAnsi="Meiryo UI"/>
                <w:sz w:val="18"/>
              </w:rPr>
              <w:t>データ取得日時</w:t>
            </w:r>
          </w:p>
        </w:tc>
        <w:tc>
          <w:tcPr>
            <w:tcW w:type="dxa" w:w="4703"/>
          </w:tcPr>
          <w:p>
            <w:r>
              <w:rPr>
                <w:rFonts w:ascii="Meiryo UI" w:hAnsi="Meiryo UI"/>
                <w:sz w:val="18"/>
              </w:rPr>
              <w:t>2026-04-09 05:20 JST（財務省日次 R8.4.7）</w:t>
            </w:r>
          </w:p>
        </w:tc>
      </w:tr>
      <w:tr>
        <w:tc>
          <w:tcPr>
            <w:tcW w:type="dxa" w:w="4703"/>
            <w:shd w:val="clear" w:color="auto" w:fill="DDEBF7"/>
          </w:tcPr>
          <w:p>
            <w:r>
              <w:rPr>
                <w:rFonts w:ascii="Meiryo UI" w:hAnsi="Meiryo UI"/>
                <w:sz w:val="18"/>
              </w:rPr>
              <w:t>参照元URL</w:t>
            </w:r>
          </w:p>
        </w:tc>
        <w:tc>
          <w:tcPr>
            <w:tcW w:type="dxa" w:w="4703"/>
            <w:shd w:val="clear" w:color="auto" w:fill="DDEBF7"/>
          </w:tcPr>
          <w:p>
            <w:r>
              <w:rPr>
                <w:rFonts w:ascii="Meiryo UI" w:hAnsi="Meiryo UI"/>
                <w:sz w:val="18"/>
              </w:rPr>
              <w:t>https://jp.investing.com/rates-bonds/japan-10-year-bond-yield-streaming-chart</w:t>
            </w:r>
          </w:p>
        </w:tc>
      </w:tr>
    </w:tbl>
    <w:p/>
    <w:p>
      <w:r>
        <w:rPr>
          <w:rFonts w:ascii="Meiryo UI" w:hAnsi="Meiryo UI"/>
          <w:sz w:val="20"/>
        </w:rPr>
        <w:t>&gt; 注記: 上記Rfは分析実行時に自動取得した市場実勢値です。金利変動時は感応度分析（セクション9）を参照してください。</w:t>
      </w:r>
    </w:p>
    <w:p/>
    <w:p>
      <w:r>
        <w:t>──────────────────────────────────────────────────</w:t>
      </w:r>
    </w:p>
    <w:p/>
    <w:p>
      <w:pPr>
        <w:pStyle w:val="Heading2"/>
      </w:pPr>
      <w:r>
        <w:rPr>
          <w:rFonts w:ascii="Meiryo UI" w:hAnsi="Meiryo UI"/>
          <w:color w:val="2E74B5"/>
        </w:rPr>
        <w:t>📢 全社共有（深井 → 浅井・不労・金田・豆田）</w:t>
      </w:r>
    </w:p>
    <w:p/>
    <w:p>
      <w:r>
        <w:rPr>
          <w:rFonts w:ascii="Meiryo UI" w:hAnsi="Meiryo UI"/>
          <w:sz w:val="20"/>
        </w:rPr>
        <w:t>[報告] 深井 が 5233_太平洋セメント_BUY_DeepResearch_20260409.md を出力しました。</w:t>
      </w:r>
    </w:p>
    <w:p>
      <w:r>
        <w:rPr>
          <w:rFonts w:ascii="Meiryo UI" w:hAnsi="Meiryo UI"/>
          <w:sz w:val="20"/>
        </w:rPr>
        <w:t>浅井スコア +55 の銘柄 [5233]太平洋セメント についてDeepResearch完了。</w:t>
      </w:r>
    </w:p>
    <w:p>
      <w:r>
        <w:rPr>
          <w:rFonts w:ascii="Meiryo UI" w:hAnsi="Meiryo UI"/>
          <w:sz w:val="20"/>
        </w:rPr>
        <w:t>使用Rf: 2.411%（取得: 2026-04-09 05:20 JST（財務省日次 R8.4.7））</w:t>
      </w:r>
    </w:p>
    <w:p/>
    <w:p>
      <w:r>
        <w:rPr>
          <w:rFonts w:ascii="Meiryo UI" w:hAnsi="Meiryo UI"/>
          <w:sz w:val="20"/>
        </w:rPr>
        <w:t>_投資判断は社長の最終決裁に基づきます。_</w:t>
      </w:r>
    </w:p>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