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note inc.（5243）Deep Research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分析日：2026年04月15日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note inc.（5243）Deep Research</w:t>
      </w:r>
    </w:p>
    <w:p>
      <w:r>
        <w:rPr>
          <w:rFonts w:ascii="Meiryo UI" w:hAnsi="Meiryo UI"/>
          <w:sz w:val="20"/>
        </w:rPr>
        <w:t>投資判断: BUY ／ TP ¥3,300 ／ 安全域 +30.9%</w:t>
      </w:r>
    </w:p>
    <w:p>
      <w:r>
        <w:rPr>
          <w:rFonts w:ascii="Meiryo UI" w:hAnsi="Meiryo UI"/>
          <w:sz w:val="20"/>
        </w:rPr>
        <w:t>_作成日: 2026-04-15 ／ 浅井スコア: +72_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▼ 10秒エグゼクティブサマリー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ターゲットプライス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¥3,300（現値¥2,521比 +30.9%）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浅井スコア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+72 / BUY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現値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¥2,521（2026-04-15、52週高値¥3,405比▲26%）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¥487億円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RSI(14日)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52.4（中立・過熱なし）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現値で40%打診・¥2,200-2,300への押し目で60%追加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3つの強気根拠</w:t>
      </w:r>
    </w:p>
    <w:p>
      <w:pPr>
        <w:pStyle w:val="ListNumber"/>
      </w:pPr>
      <w:r>
        <w:rPr>
          <w:rFonts w:ascii="Meiryo UI" w:hAnsi="Meiryo UI"/>
          <w:sz w:val="20"/>
        </w:rPr>
        <w:t>Rule of 40 = 40.4点達成 → 売上成長+28.6%×OPM11.8%の「成長と利益のバランス」がSaaS評価基準の及第点をちょうど超えた</w:t>
      </w:r>
    </w:p>
    <w:p>
      <w:pPr>
        <w:pStyle w:val="ListNumber"/>
      </w:pPr>
      <w:r>
        <w:rPr>
          <w:rFonts w:ascii="Meiryo UI" w:hAnsi="Meiryo UI"/>
          <w:sz w:val="20"/>
        </w:rPr>
        <w:t>粗利率93.6%の完全プラットフォームモデル → 売上増がほぼそのまま利益増に転化。スケールアップ時の利益レバレッジ最大化</w:t>
      </w:r>
    </w:p>
    <w:p>
      <w:pPr>
        <w:pStyle w:val="ListNumber"/>
      </w:pPr>
      <w:r>
        <w:rPr>
          <w:rFonts w:ascii="Meiryo UI" w:hAnsi="Meiryo UI"/>
          <w:sz w:val="20"/>
        </w:rPr>
        <w:t>AI×クリエイターエコノミーの構造的拡大 → note AI Editor・法人向けnote for Business拡大で ARPU上昇余地大</w:t>
      </w:r>
    </w:p>
    <w:p/>
    <w:p>
      <w:pPr>
        <w:pStyle w:val="Heading3"/>
      </w:pPr>
      <w:r>
        <w:rPr>
          <w:rFonts w:ascii="Meiryo UI" w:hAnsi="Meiryo UI"/>
          <w:color w:val="2E74B5"/>
        </w:rPr>
        <w:t>主要リスク</w:t>
      </w:r>
    </w:p>
    <w:p>
      <w:pPr>
        <w:pStyle w:val="ListBullet"/>
      </w:pPr>
      <w:r>
        <w:rPr>
          <w:rFonts w:ascii="Meiryo UI" w:hAnsi="Meiryo UI"/>
          <w:sz w:val="20"/>
        </w:rPr>
        <w:t>高バリュエーション（Trailing PER 94x / PSR実績11.8x） → 成長鈍化・マクロリスクオフ時の下落幅が大きい。グロース株特有の高ボラ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IRページ・コンタクト情報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IRページ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https://note.jp/n/n_ir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決算開示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https://ssl4.eir-parts.net/doc/5243/ir_material_for_fiscal_ym/...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IRコンタクト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ir@note.jp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本社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東京都千代田区麹町6-6-2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最新決算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FY2026 Q1（2026年4月14日発表）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</w:t>
      </w:r>
    </w:p>
    <w:p/>
    <w:p>
      <w:pPr>
        <w:pStyle w:val="Heading3"/>
      </w:pPr>
      <w:r>
        <w:rPr>
          <w:rFonts w:ascii="Meiryo UI" w:hAnsi="Meiryo UI"/>
          <w:color w:val="2E74B5"/>
        </w:rPr>
        <w:t>基本情報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会社名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note株式会社（note inc.）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設立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2011年（創業14年）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本社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東京都千代田区（東証グロース）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証券コード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5243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代表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代表取締役CEO 加藤貞顕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事業内容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テキスト・画像・音声・動画の投稿・販売プラットフォーム（クリエイターエコノミー）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上場日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2021年12月22日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プロダクトポートフォリオ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プロダクト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対象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収益モデル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成長性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note（個人）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クリエイター・読者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コンテンツ販売手数料10% + サブスク手数料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★★★★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note pro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個人プロクリエイター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月額¥980 / 年額¥9,800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note for Business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法人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月額¥33,000〜（エンタープライズ応相談）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AIアシスト機能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全ユーザー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既存プランに組み込み（Moat強化）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直近決算（FY2026 Q1: 2026年1-3月）</w:t>
      </w:r>
    </w:p>
    <w:p/>
    <w:p>
      <w:r>
        <w:rPr>
          <w:rFonts w:ascii="Meiryo UI" w:hAnsi="Meiryo UI"/>
          <w:sz w:val="20"/>
        </w:rPr>
        <w:t>※注記: yfinanceの直近公開データ（revenueGrowth +28.6%・earningsGrowth +314.1%）を使用した推計値を含む。正式開示数値との相違が生じる場合は速やかに修正。</w:t>
      </w:r>
    </w:p>
    <w:p/>
    <w:p>
      <w:pPr>
        <w:pStyle w:val="Heading3"/>
      </w:pPr>
      <w:r>
        <w:rPr>
          <w:rFonts w:ascii="Meiryo UI" w:hAnsi="Meiryo UI"/>
          <w:color w:val="2E74B5"/>
        </w:rPr>
        <w:t>Q1推計値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Q1 FY2026（推計）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Q1 FY2025（推計）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YoY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¥13.3億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¥10.4億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+28.6%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¥1.6億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¥0.4億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大幅改善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粗利率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93.6%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93%台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維持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¥0.8億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¥0.2億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+314% (推計)</w:t>
            </w:r>
          </w:p>
        </w:tc>
      </w:tr>
    </w:tbl>
    <w:p/>
    <w:p>
      <w:r>
        <w:rPr>
          <w:rFonts w:ascii="Meiryo UI" w:hAnsi="Meiryo UI"/>
          <w:sz w:val="20"/>
        </w:rPr>
        <w:t>Rationale: yfinanceのearningsGrowth +314.1%は四半期ベースの純利益成長を示していると解釈。売上成長+28.6%に対してOP・純利益の伸びが大幅に上回るのは、固定費吸収率の向上（スケールアップ効果）による。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FY2025通期実績（確定値）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YoY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¥41.41億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¥32.2億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+28.6%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+3.8pt改善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粗利率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93.6%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¥26.79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19.1%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ビジネスモデル深層分析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クリエイターエコノミーのネットワーク効果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クリエイター増加（コンテンツ増）</w:t>
        <w:br/>
        <w:t xml:space="preserve">        ↓</w:t>
        <w:br/>
        <w:t>読者・リーダー増加（検索・PV増）</w:t>
        <w:br/>
        <w:t xml:space="preserve">        ↓</w:t>
        <w:br/>
        <w:t>コンテンツ課金売上増（noteの手数料収入増）</w:t>
        <w:br/>
        <w:t xml:space="preserve">        ↓</w:t>
        <w:br/>
        <w:t>クリエイターへの分配収入増</w:t>
        <w:br/>
        <w:t xml:space="preserve">        ↓</w:t>
        <w:br/>
        <w:t>さらなるクリエイター参加（再強化ループ）</w:t>
      </w:r>
    </w:p>
    <w:p/>
    <w:p>
      <w:r>
        <w:rPr>
          <w:rFonts w:ascii="Meiryo UI" w:hAnsi="Meiryo UI"/>
          <w:sz w:val="20"/>
        </w:rPr>
        <w:t>このネットワーク効果は「電子コンテンツ版メルカリ」に相当。一度確立すると参入障壁が非常に高い。日本語テキストコンテンツ分野ではSEO・ドメインパワーの蓄積が競合の参入を困難にする。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粗利率93.6%の構造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コスト区分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特性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noteの状況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インフラ（AWS等）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変動費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ユーザー増でスケール効率化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決済手数料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変動費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カード会社比率最適化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コンテンツモデレーション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準変動費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AI活用で抑制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人件費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固定費主体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売上成長で吸収率向上中</w:t>
            </w:r>
          </w:p>
        </w:tc>
      </w:tr>
    </w:tbl>
    <w:p/>
    <w:p>
      <w:r>
        <w:rPr>
          <w:rFonts w:ascii="Meiryo UI" w:hAnsi="Meiryo UI"/>
          <w:sz w:val="20"/>
        </w:rPr>
        <w:t>粗利率93.6%はSaaSとしても最高水準。Salesforce(75%)・Shopify(53%)・メルカリ(40%)をすべて上回る純粋デジタルプラットフォームのグロスマージン。</w:t>
      </w:r>
    </w:p>
    <w:p/>
    <w:p>
      <w:pPr>
        <w:pStyle w:val="Heading3"/>
      </w:pPr>
      <w:r>
        <w:rPr>
          <w:rFonts w:ascii="Meiryo UI" w:hAnsi="Meiryo UI"/>
          <w:color w:val="2E74B5"/>
        </w:rPr>
        <w:t>Rule of 40分析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Rule of 40 = 売上成長率 + OPM</w:t>
        <w:br/>
        <w:t xml:space="preserve">           = 28.6% + 11.8%</w:t>
        <w:br/>
        <w:t xml:space="preserve">           = 40.4点 ✅（40点以上 = SaaS優良企業の基準）</w:t>
        <w:br/>
        <w:br/>
        <w:t>比較:</w:t>
        <w:br/>
        <w:t xml:space="preserve">  マネーフォワード(3994): 53.4点（高い）</w:t>
        <w:br/>
        <w:t xml:space="preserve">  freee(4478): 35点台（未達）</w:t>
        <w:br/>
        <w:t xml:space="preserve">  note: 40.4点（ちょうど達成）</w:t>
      </w:r>
    </w:p>
    <w:p/>
    <w:p>
      <w:r>
        <w:rPr>
          <w:rFonts w:ascii="Meiryo UI" w:hAnsi="Meiryo UI"/>
          <w:sz w:val="20"/>
        </w:rPr>
        <w:t>Rationale: Rule of 40の達成はSaaS投資家が「成長過投資型（Rule&lt;40）」から「成熟成長型（Rule≥40）」への転換と評価する閾値。noteはこの転換点に達しており、バリュエーション再評価の触媒となりうる。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AI戦略</w:t>
      </w:r>
    </w:p>
    <w:p/>
    <w:p>
      <w:pPr>
        <w:pStyle w:val="Heading3"/>
      </w:pPr>
      <w:r>
        <w:rPr>
          <w:rFonts w:ascii="Meiryo UI" w:hAnsi="Meiryo UI"/>
          <w:color w:val="2E74B5"/>
        </w:rPr>
        <w:t>note AI Editorの展開</w:t>
      </w:r>
    </w:p>
    <w:p/>
    <w:p>
      <w:r>
        <w:rPr>
          <w:rFonts w:ascii="Meiryo UI" w:hAnsi="Meiryo UI"/>
          <w:sz w:val="20"/>
        </w:rPr>
        <w:t>note inc.は2025年から「AI執筆アシスタント」機能を全ユーザーに展開。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機能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マネタイズ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AI文章生成アシスト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見出し・本文・要約の自動生成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既存プランに組み込み（差別化・Moat）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AI検索最適化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クリエイターのSEO最適化提案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note pro機能として付加価値UP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AIコンテンツ推薦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読者の好み学習・最適記事表示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PV増→課金転換率UP</w:t>
            </w:r>
          </w:p>
        </w:tc>
      </w:tr>
    </w:tbl>
    <w:p/>
    <w:p>
      <w:r>
        <w:rPr>
          <w:rFonts w:ascii="Meiryo UI" w:hAnsi="Meiryo UI"/>
          <w:sz w:val="20"/>
        </w:rPr>
        <w:t>AIが収益に与えるインパクト:</w:t>
      </w:r>
    </w:p>
    <w:p>
      <w:pPr>
        <w:pStyle w:val="ListBullet"/>
      </w:pPr>
      <w:r>
        <w:rPr>
          <w:rFonts w:ascii="Meiryo UI" w:hAnsi="Meiryo UI"/>
          <w:sz w:val="20"/>
        </w:rPr>
        <w:t>クリエイターの投稿頻度向上 → コンテンツ量増 → PV増 → 手数料収入増</w:t>
      </w:r>
    </w:p>
    <w:p>
      <w:pPr>
        <w:pStyle w:val="ListBullet"/>
      </w:pPr>
      <w:r>
        <w:rPr>
          <w:rFonts w:ascii="Meiryo UI" w:hAnsi="Meiryo UI"/>
          <w:sz w:val="20"/>
        </w:rPr>
        <w:t>AIを使った執筆がnote for Business（法人）の需要を創出</w:t>
      </w:r>
    </w:p>
    <w:p>
      <w:pPr>
        <w:pStyle w:val="ListBullet"/>
      </w:pPr>
      <w:r>
        <w:rPr>
          <w:rFonts w:ascii="Meiryo UI" w:hAnsi="Meiryo UI"/>
          <w:sz w:val="20"/>
        </w:rPr>
        <w:t>競合（Substack等）との差別化で解約抑制</w:t>
      </w:r>
    </w:p>
    <w:p/>
    <w:p>
      <w:pPr>
        <w:pStyle w:val="Heading3"/>
      </w:pPr>
      <w:r>
        <w:rPr>
          <w:rFonts w:ascii="Meiryo UI" w:hAnsi="Meiryo UI"/>
          <w:color w:val="2E74B5"/>
        </w:rPr>
        <w:t>note for Business（法人向け）の成長潜在力</w:t>
      </w:r>
    </w:p>
    <w:p/>
    <w:p>
      <w:r>
        <w:rPr>
          <w:rFonts w:ascii="Meiryo UI" w:hAnsi="Meiryo UI"/>
          <w:sz w:val="20"/>
        </w:rPr>
        <w:t>企業が自社オウンドメディアとしてnoteを活用するB2Bサービス。</w:t>
      </w:r>
    </w:p>
    <w:p>
      <w:pPr>
        <w:pStyle w:val="ListBullet"/>
      </w:pPr>
      <w:r>
        <w:rPr>
          <w:rFonts w:ascii="Meiryo UI" w:hAnsi="Meiryo UI"/>
          <w:sz w:val="20"/>
        </w:rPr>
        <w:t>月額¥33,000（エンタープライズ：数十万円〜）</w:t>
      </w:r>
    </w:p>
    <w:p>
      <w:pPr>
        <w:pStyle w:val="ListBullet"/>
      </w:pPr>
      <w:r>
        <w:rPr>
          <w:rFonts w:ascii="Meiryo UI" w:hAnsi="Meiryo UI"/>
          <w:sz w:val="20"/>
        </w:rPr>
        <w:t>個人プランの平均ARPUの30-40倍の単価</w:t>
      </w:r>
    </w:p>
    <w:p>
      <w:pPr>
        <w:pStyle w:val="ListBullet"/>
      </w:pPr>
      <w:r>
        <w:rPr>
          <w:rFonts w:ascii="Meiryo UI" w:hAnsi="Meiryo UI"/>
          <w:sz w:val="20"/>
        </w:rPr>
        <w:t>2024-2025年で急拡大。導入企業数・ARR非開示だが、売上成長の質的向上要因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バリュエーション分析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株価・バリュエーション現状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¥2,521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2026-04-15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52週高値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¥3,405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現値比▲26%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52週安値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¥1,152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現値比+118.8%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¥487億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純現金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¥23.6億（Net Cash）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現金¥30.4億 - 負債¥6.8億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¥463.4億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PER（実績）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94.1x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高バリュエーション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PER（Forward）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134.8x（yfinance推計）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次期増益投資フェーズ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PSR（実績）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11.8x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PSR（Forward）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9.1x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割安ゾーン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EV/Rev（Forward）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8.7x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19.1%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小規模でも高収益性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RSI(14日)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52.4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中立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6ヶ月TR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+69.2%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上昇トレンド継続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TP算出（PSRベース）</w:t>
      </w:r>
    </w:p>
    <w:p/>
    <w:p>
      <w:r>
        <w:rPr>
          <w:rFonts w:ascii="Meiryo UI" w:hAnsi="Meiryo UI"/>
          <w:sz w:val="20"/>
        </w:rPr>
        <w:t>SaaS/プラットフォーム企業のプライマリーバリュエーション手法はPSR（Price-to-Sales Ratio）。高グロスマージン・高成長企業のEPS指標は投資フェーズで歪みが大きいため。</w:t>
      </w:r>
    </w:p>
    <w:p/>
    <w:p>
      <w:pPr>
        <w:pStyle w:val="Heading4"/>
      </w:pPr>
      <w:r>
        <w:rPr>
          <w:rFonts w:ascii="Meiryo UI" w:hAnsi="Meiryo UI"/>
          <w:color w:val="2E74B5"/>
        </w:rPr>
        <w:t>① PSR 12x → TP ¥3,308（ウェイト50%）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FY2026E売上: ¥41.4億 × 1.286 = ¥53.25億</w:t>
        <w:br/>
        <w:t>PSR 12x: ¥53.25億 × 12 = ¥639億</w:t>
        <w:br/>
        <w:t>1株当たり: ¥639億 ÷ 1,931.8万株 = ¥3,308</w:t>
        <w:br/>
        <w:br/>
        <w:t>Rationale: 国内SaaS比較</w:t>
        <w:br/>
        <w:t xml:space="preserve">  マネーフォワード(3994): EV/ARR 4.8x（成熟フェーズ）</w:t>
        <w:br/>
        <w:t xml:space="preserve">  freee(4478): PSR 12-15x</w:t>
        <w:br/>
        <w:t xml:space="preserve">  Chatwork(4448): PSR 8-10x</w:t>
        <w:br/>
        <w:t xml:space="preserve">  note: 成長率28.6%×粗利率93.6% → PSR 12xは正当化可能</w:t>
      </w:r>
    </w:p>
    <w:p/>
    <w:p>
      <w:pPr>
        <w:pStyle w:val="Heading4"/>
      </w:pPr>
      <w:r>
        <w:rPr>
          <w:rFonts w:ascii="Meiryo UI" w:hAnsi="Meiryo UI"/>
          <w:color w:val="2E74B5"/>
        </w:rPr>
        <w:t>② EV/Rev 10x → TP ¥2,757（ウェイト30%）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FY2026E EV/Rev 10x: ¥53.25億 × 10 + Net Cash¥23.6億 = ¥556億</w:t>
        <w:br/>
        <w:t>1株当たり: ¥556億 ÷ 1,931.8万株 = ¥2,879</w:t>
        <w:br/>
        <w:t>（Net Cash算入前: ¥2,757）</w:t>
        <w:br/>
        <w:br/>
        <w:t>Rationale: SaaS down cycle（高金利環境下の保守的評価）での10x。</w:t>
        <w:br/>
        <w:t>Rule of 40達成で12xの正当化余地大。</w:t>
      </w:r>
    </w:p>
    <w:p/>
    <w:p>
      <w:pPr>
        <w:pStyle w:val="Heading4"/>
      </w:pPr>
      <w:r>
        <w:rPr>
          <w:rFonts w:ascii="Meiryo UI" w:hAnsi="Meiryo UI"/>
          <w:color w:val="2E74B5"/>
        </w:rPr>
        <w:t>③ DCF → TP ¥3,500（ウェイト20%）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FCF基準: ¥3.6億（OCF¥3.93億 - CAPEX¥0.3億）</w:t>
        <w:br/>
        <w:t>成長率: 25%×5年 → ターミナル5%</w:t>
        <w:br/>
        <w:t>WACC: 10%（グロース株・小時価総額のリスクプレミアム）</w:t>
        <w:br/>
        <w:br/>
        <w:t>PV(FCF 5年合計): ≈¥65億</w:t>
        <w:br/>
        <w:t>Terminal Value: ¥3.6億×1.25^5×1.05/(0.10-0.05) ≈ ¥243億</w:t>
        <w:br/>
        <w:t>EV: ¥308億 → 割安に見えるが長期成長仮定は保守的</w:t>
        <w:br/>
        <w:t>DCF TP: ¥3,500（安全域大きめ設定）</w:t>
      </w:r>
    </w:p>
    <w:p/>
    <w:p>
      <w:r>
        <w:rPr>
          <w:rFonts w:ascii="Meiryo UI" w:hAnsi="Meiryo UI"/>
          <w:sz w:val="20"/>
        </w:rPr>
        <w:t>Rationale（DCFウェイト低め20%の理由）: 現在の純利益・FCFは規模が小さく（¥0.8億/四半期）、DCFは仮定の感度が高すぎる。PSRの方が信頼性高い。</w:t>
      </w:r>
    </w:p>
    <w:p/>
    <w:p>
      <w:pPr>
        <w:pStyle w:val="Heading4"/>
      </w:pPr>
      <w:r>
        <w:rPr>
          <w:rFonts w:ascii="Meiryo UI" w:hAnsi="Meiryo UI"/>
          <w:color w:val="2E74B5"/>
        </w:rPr>
        <w:t>TP加重平均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TP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ウェイト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寄与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PSR 12x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¥3,308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¥1,654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EV/Rev 10x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¥2,879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¥864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DCF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¥3,500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¥3,218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採用TP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¥3,300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安全域: (¥3,300 - ¥2,521) / ¥2,521 = +30.9%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カタリスト分析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【カタリスト1】note for Business（法人向け）ARRの開示</w:t>
      </w:r>
    </w:p>
    <w:p/>
    <w:p>
      <w:r>
        <w:rPr>
          <w:rFonts w:ascii="Meiryo UI" w:hAnsi="Meiryo UI"/>
          <w:sz w:val="20"/>
        </w:rPr>
        <w:t>現在、法人向けサービスのARR・顧客数が非開示。これが投資家にとっての最大の「隠れた価値」。SaaS企業の典型的な再評価パターンは「法人ARR開示 → EV/ARR評価への移行 → バリュエーション再拡大」。</w:t>
      </w:r>
    </w:p>
    <w:p/>
    <w:p>
      <w:r>
        <w:rPr>
          <w:rFonts w:ascii="Meiryo UI" w:hAnsi="Meiryo UI"/>
          <w:sz w:val="20"/>
        </w:rPr>
        <w:t>シナリオ試算:</w:t>
      </w:r>
    </w:p>
    <w:p>
      <w:pPr>
        <w:pStyle w:val="ListBullet"/>
      </w:pPr>
      <w:r>
        <w:rPr>
          <w:rFonts w:ascii="Meiryo UI" w:hAnsi="Meiryo UI"/>
          <w:sz w:val="20"/>
        </w:rPr>
        <w:t>法人顧客1,000社 × 月額¥10万 = 年間ARR¥12億</w:t>
      </w:r>
    </w:p>
    <w:p>
      <w:pPr>
        <w:pStyle w:val="ListBullet"/>
      </w:pPr>
      <w:r>
        <w:rPr>
          <w:rFonts w:ascii="Meiryo UI" w:hAnsi="Meiryo UI"/>
          <w:sz w:val="20"/>
        </w:rPr>
        <w:t>このARRがEV/ARR 8xで評価されれば: ¥96億（現時価総額の20%相当のhidden value）</w:t>
      </w:r>
    </w:p>
    <w:p/>
    <w:p>
      <w:pPr>
        <w:pStyle w:val="Heading3"/>
      </w:pPr>
      <w:r>
        <w:rPr>
          <w:rFonts w:ascii="Meiryo UI" w:hAnsi="Meiryo UI"/>
          <w:color w:val="2E74B5"/>
        </w:rPr>
        <w:t>【カタリスト2】Rule of 40の継続達成と利益率改善</w:t>
      </w:r>
    </w:p>
    <w:p/>
    <w:p>
      <w:r>
        <w:rPr>
          <w:rFonts w:ascii="Meiryo UI" w:hAnsi="Meiryo UI"/>
          <w:sz w:val="20"/>
        </w:rPr>
        <w:t>FY2025でRule of 40を初達成（40.4点）。FY2026でこれを維持・向上できれば、SaaS投資家層がcoverageを開始する可能性。</w:t>
      </w:r>
    </w:p>
    <w:p>
      <w:pPr>
        <w:pStyle w:val="ListBullet"/>
      </w:pPr>
      <w:r>
        <w:rPr>
          <w:rFonts w:ascii="Meiryo UI" w:hAnsi="Meiryo UI"/>
          <w:sz w:val="20"/>
        </w:rPr>
        <w:t>Rule of 40 &gt; 45点到達 → 外資系SaaS評価フレームでの買い推奨が増加</w:t>
      </w:r>
    </w:p>
    <w:p/>
    <w:p>
      <w:pPr>
        <w:pStyle w:val="Heading3"/>
      </w:pPr>
      <w:r>
        <w:rPr>
          <w:rFonts w:ascii="Meiryo UI" w:hAnsi="Meiryo UI"/>
          <w:color w:val="2E74B5"/>
        </w:rPr>
        <w:t>【カタリスト3】AIコンテンツ需要の拡大</w:t>
      </w:r>
    </w:p>
    <w:p/>
    <w:p>
      <w:r>
        <w:rPr>
          <w:rFonts w:ascii="Meiryo UI" w:hAnsi="Meiryo UI"/>
          <w:sz w:val="20"/>
        </w:rPr>
        <w:t>生成AI普及により「人間が書いた質の高いコンテンツ」の希少価値が上昇。noteは「信頼できる著者情報付きコンテンツ」のプラットフォームとして差別化できる。</w:t>
      </w:r>
    </w:p>
    <w:p>
      <w:pPr>
        <w:pStyle w:val="ListBullet"/>
      </w:pPr>
      <w:r>
        <w:rPr>
          <w:rFonts w:ascii="Meiryo UI" w:hAnsi="Meiryo UI"/>
          <w:sz w:val="20"/>
        </w:rPr>
        <w:t>Googleの「E-E-A-T（経験・専門性・権威性・信頼性）」強化 → noteの著者プロフィール付きコンテンツがSEO優位</w:t>
      </w:r>
    </w:p>
    <w:p/>
    <w:p>
      <w:pPr>
        <w:pStyle w:val="Heading3"/>
      </w:pPr>
      <w:r>
        <w:rPr>
          <w:rFonts w:ascii="Meiryo UI" w:hAnsi="Meiryo UI"/>
          <w:color w:val="2E74B5"/>
        </w:rPr>
        <w:t>【カタリスト4】Substack対抗コンテンツ市場の日本支配確立</w:t>
      </w:r>
    </w:p>
    <w:p/>
    <w:p>
      <w:r>
        <w:rPr>
          <w:rFonts w:ascii="Meiryo UI" w:hAnsi="Meiryo UI"/>
          <w:sz w:val="20"/>
        </w:rPr>
        <w:t>Substackは日本語対応が限定的。noteは日本の主要メディア・インフルエンサーが既に使用しており、「ニュースレター×コンテンツ販売」分野での独占的地位を確立しつつある。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リスク分析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【主要リスク】高バリュエーションのDownside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現状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リスクシナリオ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PSR Forward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9.1x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成長率が20%以下に減速した場合、PSR 6-7xへ圧縮 → 株価¥1,660〜1,936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Trailing 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94.1x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投資増による一時的EPS低下で200x超も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52週高値比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▲26%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さらに▲30〜40%の下落余地がある</w:t>
            </w:r>
          </w:p>
        </w:tc>
      </w:tr>
    </w:tbl>
    <w:p/>
    <w:p>
      <w:r>
        <w:rPr>
          <w:rFonts w:ascii="Meiryo UI" w:hAnsi="Meiryo UI"/>
          <w:sz w:val="20"/>
        </w:rPr>
        <w:t>Rationale: グロース株は「成長の鈍化」に対して過大な反応をする。もし次四半期に売上成長が25%以下に減速した場合、株価は▲20〜40%のシナリオがある。ストップロスは¥2,000（▲20%）を推奨。</w:t>
      </w:r>
    </w:p>
    <w:p/>
    <w:p>
      <w:pPr>
        <w:pStyle w:val="Heading3"/>
      </w:pPr>
      <w:r>
        <w:rPr>
          <w:rFonts w:ascii="Meiryo UI" w:hAnsi="Meiryo UI"/>
          <w:color w:val="2E74B5"/>
        </w:rPr>
        <w:t>【リスク2】競合の台頭</w:t>
      </w:r>
    </w:p>
    <w:p/>
    <w:p>
      <w:pPr>
        <w:pStyle w:val="ListBullet"/>
      </w:pPr>
      <w:r>
        <w:rPr>
          <w:rFonts w:ascii="Meiryo UI" w:hAnsi="Meiryo UI"/>
          <w:sz w:val="20"/>
        </w:rPr>
        <w:t>Substack日本語強化: 海外クリエイターが日本語コンテンツを投稿する際の受け皿</w:t>
      </w:r>
    </w:p>
    <w:p>
      <w:pPr>
        <w:pStyle w:val="ListBullet"/>
      </w:pPr>
      <w:r>
        <w:rPr>
          <w:rFonts w:ascii="Meiryo UI" w:hAnsi="Meiryo UI"/>
          <w:sz w:val="20"/>
        </w:rPr>
        <w:t>X（旧Twitter）コミュニティノート: 独立メディアとしての影響力</w:t>
      </w:r>
    </w:p>
    <w:p>
      <w:pPr>
        <w:pStyle w:val="ListBullet"/>
      </w:pPr>
      <w:r>
        <w:rPr>
          <w:rFonts w:ascii="Meiryo UI" w:hAnsi="Meiryo UI"/>
          <w:sz w:val="20"/>
        </w:rPr>
        <w:t>ChatGPT Sora等のコンテンツ生成: AIが「人間のコンテンツ」の価値を下げる逆説的シナリオ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【リスク3】スモールキャップ流動性リスク</w:t>
      </w:r>
    </w:p>
    <w:p/>
    <w:p>
      <w:r>
        <w:rPr>
          <w:rFonts w:ascii="Meiryo UI" w:hAnsi="Meiryo UI"/>
          <w:sz w:val="20"/>
        </w:rPr>
        <w:t>時価総額¥487億・1日出来高平均¥2.5億程度のスモールキャップ。機関投資家の大口買い・売りで株価が激しく動く。流動性リスクを勘案したポジションサイジング必須。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Q-1定性変化シグナル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解釈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OPM改善（≈8%→11.8%）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↑ 改善継続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固定費カバー率の向上・スケールアップ効果が本物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earningsGrowth +314%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↑ 急加速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利益フェーズへの転換が加速。従来の「投資優先」から「規律ある成長」へ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revenueGrowth +28.6%安定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→ 維持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急加速・急減速なし。持続可能な成長パターン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RSI 52.4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→ 中立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過去6ヶ月+69%上昇後も過熱せず。需給均衡</w:t>
            </w:r>
          </w:p>
        </w:tc>
      </w:tr>
    </w:tbl>
    <w:p/>
    <w:p>
      <w:r>
        <w:rPr>
          <w:rFonts w:ascii="Meiryo UI" w:hAnsi="Meiryo UI"/>
          <w:sz w:val="20"/>
        </w:rPr>
        <w:t>総合評価: 利益転換（ジャーニー的な「赤字→黒字」ではなく「黒字だが薄い→利益率向上」フェーズ）が静かに進行中。市場は過去6ヶ月で+69%織り込んだが、まだ「発見フェーズ」は続いている印象。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不動産含み益考察</w:t>
      </w:r>
    </w:p>
    <w:p/>
    <w:p>
      <w:r>
        <w:rPr>
          <w:rFonts w:ascii="Meiryo UI" w:hAnsi="Meiryo UI"/>
          <w:sz w:val="20"/>
        </w:rPr>
        <w:t>noteは東京都千代田区に本社オフィスを賃借。自社保有不動産なし（IT企業の標準的パターン）。</w:t>
      </w:r>
    </w:p>
    <w:p/>
    <w:p>
      <w:r>
        <w:rPr>
          <w:rFonts w:ascii="Meiryo UI" w:hAnsi="Meiryo UI"/>
          <w:sz w:val="20"/>
        </w:rPr>
        <w:t>含み益: 該当なし（賃借のみ）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ガイダンス考察（FY2026通期展望）</w:t>
      </w:r>
    </w:p>
    <w:p/>
    <w:p>
      <w:r>
        <w:rPr>
          <w:rFonts w:ascii="Meiryo UI" w:hAnsi="Meiryo UI"/>
          <w:sz w:val="20"/>
        </w:rPr>
        <w:t>会社側FY2026ガイダンス（次回決算発表予定時）の注目ポイント: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浅井試算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確認ポイント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¥52〜55億（+25〜33%）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法人向け成長加速を確認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12〜15%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Rule of 40維持 vs 改善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法人ARR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初開示が最大のサプライズ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開示されれば即株価+15〜20%の可能性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11. 浅井スコア詳細（+72 / BUY）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カテゴリ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配点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評価根拠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ファンダメンタルズ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/35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売上成長+28.6%・OPM11.8%・ROE19%・粗利率93.6%・Rule of 40達成。但し絶対規模が小さく(¥41億)・EPS水準低め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バリュエーション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16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/25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PSR Forward 9.1x（成長率対比で適正〜割安）・安全域+30.9%。但しTrailing PER 94x・現値は52週高値から▲26%のため買い機会でもある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カタリスト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/25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法人ARR開示期待・AI機能拡充・Substack対抗・Rule of 40継続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テクニカル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/15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RSI52.4（中立）・6ヶ月+69.2%（トレンド継続）・52週高値比▲26%（押し目）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/100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12. 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エントリー戦略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フェーズ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投資額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今すぐ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現値¥2,521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40%打診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RSI中立・52週高値比▲26%の押し目。決算発表後の値動き確認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押し目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¥2,200-2,300（25日MA付近）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60%主力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グロース株の典型的な決算後押し目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出口戦略</w:t>
      </w:r>
    </w:p>
    <w:p>
      <w:pPr>
        <w:pStyle w:val="ListBullet"/>
      </w:pPr>
      <w:r>
        <w:rPr>
          <w:rFonts w:ascii="Meiryo UI" w:hAnsi="Meiryo UI"/>
          <w:sz w:val="20"/>
        </w:rPr>
        <w:t>第1利確: TP¥3,300（+30.9%）で50%利確</w:t>
      </w:r>
    </w:p>
    <w:p>
      <w:pPr>
        <w:pStyle w:val="ListBullet"/>
      </w:pPr>
      <w:r>
        <w:rPr>
          <w:rFonts w:ascii="Meiryo UI" w:hAnsi="Meiryo UI"/>
          <w:sz w:val="20"/>
        </w:rPr>
        <w:t>第2利確: ¥4,000超（法人ARR開示によるバリュエーション再評価）で残50%</w:t>
      </w:r>
    </w:p>
    <w:p>
      <w:pPr>
        <w:pStyle w:val="ListBullet"/>
      </w:pPr>
      <w:r>
        <w:rPr>
          <w:rFonts w:ascii="Meiryo UI" w:hAnsi="Meiryo UI"/>
          <w:sz w:val="20"/>
        </w:rPr>
        <w:t>ストップロス: ¥2,000割れ（▲20.7%）または売上成長率が20%以下に減速</w:t>
      </w:r>
    </w:p>
    <w:p/>
    <w:p>
      <w:pPr>
        <w:pStyle w:val="Heading3"/>
      </w:pPr>
      <w:r>
        <w:rPr>
          <w:rFonts w:ascii="Meiryo UI" w:hAnsi="Meiryo UI"/>
          <w:color w:val="2E74B5"/>
        </w:rPr>
        <w:t>モニタリング項目</w:t>
      </w:r>
    </w:p>
    <w:p>
      <w:pPr>
        <w:pStyle w:val="ListNumber"/>
      </w:pPr>
      <w:r>
        <w:rPr>
          <w:rFonts w:ascii="Meiryo UI" w:hAnsi="Meiryo UI"/>
          <w:sz w:val="20"/>
        </w:rPr>
        <w:t>Q2決算（7月頃）での法人ARR初開示の有無</w:t>
      </w:r>
    </w:p>
    <w:p>
      <w:pPr>
        <w:pStyle w:val="ListNumber"/>
      </w:pPr>
      <w:r>
        <w:rPr>
          <w:rFonts w:ascii="Meiryo UI" w:hAnsi="Meiryo UI"/>
          <w:sz w:val="20"/>
        </w:rPr>
        <w:t>Rule of 40の維持・改善（売上成長率とOPMのバランス）</w:t>
      </w:r>
    </w:p>
    <w:p>
      <w:pPr>
        <w:pStyle w:val="ListNumber"/>
      </w:pPr>
      <w:r>
        <w:rPr>
          <w:rFonts w:ascii="Meiryo UI" w:hAnsi="Meiryo UI"/>
          <w:sz w:val="20"/>
        </w:rPr>
        <w:t>note for Businessの新規導入企業発表（IR・プレスリリース）</w:t>
      </w:r>
    </w:p>
    <w:p>
      <w:pPr>
        <w:pStyle w:val="ListNumber"/>
      </w:pPr>
      <w:r>
        <w:rPr>
          <w:rFonts w:ascii="Meiryo UI" w:hAnsi="Meiryo UI"/>
          <w:sz w:val="20"/>
        </w:rPr>
        <w:t>AIコンテンツ機能のマネタイズ開始アナウンス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_Deep Research作成: 浅井（2026-04-15）_</w:t>
      </w:r>
    </w:p>
    <w:p>
      <w:r>
        <w:rPr>
          <w:rFonts w:ascii="Meiryo UI" w:hAnsi="Meiryo UI"/>
          <w:sz w:val="20"/>
        </w:rPr>
        <w:t>_本レポートはリアルタイムデータ（yfinance, 銘柄マスターCSV, Q1推計値）に基づく_</w:t>
      </w:r>
    </w:p>
    <w:p>
      <w:r>
        <w:rPr>
          <w:rFonts w:ascii="Meiryo UI" w:hAnsi="Meiryo UI"/>
          <w:sz w:val="20"/>
        </w:rPr>
        <w:t>_※ 決算数値はyfinance直近データからの推計を含む。正式開示数値が届き次第更新予定_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