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[5304] SECカーボン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分析日：2026-04-15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[5304] SECカーボン</w:t>
      </w:r>
    </w:p>
    <w:p>
      <w:r>
        <w:rPr>
          <w:rFonts w:ascii="Meiryo UI" w:hAnsi="Meiryo UI"/>
          <w:sz w:val="20"/>
        </w:rPr>
        <w:t>作成日: 2026-04-15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SECカーボン（5304.T）DeepResearch レポート</w:t>
      </w:r>
    </w:p>
    <w:p>
      <w:pPr>
        <w:pStyle w:val="Heading2"/>
      </w:pPr>
      <w:r>
        <w:rPr>
          <w:rFonts w:ascii="Meiryo UI" w:hAnsi="Meiryo UI"/>
          <w:color w:val="2E74B5"/>
        </w:rPr>
        <w:t>竹村トレードカンパニー｜アナリスト：深井｜分析日：2026-04-15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【条件付き買い】 — PBR0.61倍×PER12.5倍の割安圏にあるが、鉄鋼需要低迷・中国黒鉛電極ダンピング圧力が構造的逆風。EV/半導体向け特殊炭素の回復待ち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¥2,393 ／ 理論株価（FV）¥2,820〜¥3,150（基本ケース¥2,980） ／ 上値余地 +24.5%（基本ケース）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①2026年5月期本決算発表（5月下旬予定）での通期EPS・配当方針確認　②中国鉄鋼生産調整→黒鉛電極需給改善（2026年H2期待）　③半導体グレード等方性黒鉛の受注拡大（AI/パワー半導体向け）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中国製黒鉛電極の更なる価格破壊＋グローバル鉄鋼減産長期化によるEPS¥150割れ。その場合DCF理論値は¥2,100を下回り損切り確定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今日の下落は需給・マクロ悪化の連鎖売り。本源的割安は確認済み。¥2,350〜¥2,420で第1トランシェ40%エントリー可。残60%は5月決算×配当確認後。損切りライン¥2,050（BPS×0.52相当）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セクション0：損益の「毒」と「薬」の仕分け ＆ 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Good/Bad分析（毒と薬の仕分け）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半導体グレード等方性黒鉛の需要拡大（SiC・パワー半導体製造用）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売上構成比推定10〜15%・成長率+15%/年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AIブームの恩恵。この分野は中国に技術模倣が困難で参入障壁高い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EV向け炭素製品（電池材料・モーター用カーボンブラシ）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売上構成比推定8〜12%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電動化トレンドの直接受益。長期で最も明るいセグメント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PBR0.61倍の純資産割安（BPS¥3,927に対し株価¥2,393）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含み資産バッファ¥1,534/株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清算価値でも株主守れる水準。TOB・自社株買い余地あり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配当維持姿勢（直近配当方針継続）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配当利回り推定2.5〜3.0%水準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下値を支える安定インカム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黒鉛電極主力セグメントの市況低迷（電炉向け鉄鋼減産継続）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売上の推定35〜45%を占める主力品の価格下落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構造的（中期）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中国供給過剰が主因。鉄鋼市況が回復しないと本業苦しい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中国製黒鉛電極のダンピング圧力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価格差拡大：中国品が国産品比▲30〜40%安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構造的（長期継続）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価格競争力で真っ向勝負は不可。高付加価値品へのシフト急務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原材料（石油コークス・タールピッチ）コスト高止まり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コスト押し上げ要因・マージン圧縮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一過性〜構造的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原油WTI¥90.73水準では仕入コスト高止まり継続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円高リスク（輸出比率高い銘柄のため為替感応度あり）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1円円高→利益影響推定▲数千万〜億円レベル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現在の為替水準次第で上下に振れる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本日の株価急落：需給悪化・マクロリスクオフ連鎖売り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▲推定2〜4%（本日の下落幅）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実態より売られている。パニック売りの可能性高い</w:t>
            </w:r>
          </w:p>
        </w:tc>
      </w:tr>
    </w:tbl>
    <w:p/>
    <w:p>
      <w:r>
        <w:rPr>
          <w:rFonts w:ascii="Meiryo UI" w:hAnsi="Meiryo UI"/>
          <w:sz w:val="20"/>
        </w:rPr>
        <w:t>【実力ベース純利益・EPSの推計】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公式報告値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毒除去後（実力ベース）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¥191（報告値）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¥210〜¥230（一過性コスト・為替損除去）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+¥19〜¥39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PER（実力ベース）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12.5倍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10.4〜11.4倍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実態はより割安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純利益（推計）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BPS・ROE逆算：約¥18〜19億円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¥20〜22億円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+10〜15%上振れ余地</w:t>
            </w:r>
          </w:p>
        </w:tc>
      </w:tr>
    </w:tbl>
    <w:p/>
    <w:p>
      <w:r>
        <w:rPr>
          <w:rFonts w:ascii="Meiryo UI" w:hAnsi="Meiryo UI"/>
          <w:sz w:val="20"/>
        </w:rPr>
        <w:t>&gt; 深井注記： ROE4.6%×BPS¥3,927＝実力EPS¥180.6（ROEベース整合）。報告EPS¥191との差はROEの期中変動・自社株効果等。実力EPSは¥191を基準値として採用するが、上記一過性除去後は¥210〜¥230レンジが妥当。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開示制限注記： SECカーボン（5304.T）は四半期ごとの詳細セグメント別開示が限定的。以下はH1/H2比較および直近通期・中間決算ベースの最細粒度分析。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H1（上半期）実績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H2（下半期）推定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推定¥120〜130億円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推定¥115〜125億円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▲3〜5%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構造的（電炉需要低迷）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推定6〜8%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推定5〜7%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▲1〜2%pt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構造的（価格競争激化）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主要顧客構成比変化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鉄鋼系70%／半導体・EV系30%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鉄鋼系65%／半導体・EV系35%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構造シフト進行中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構造的（ポジティブ方向）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受注残高消化スピード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標準的水準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やや鈍化傾向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▲5〜10%鈍化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一過性〜構造的（要注意）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原材料コスト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WTI連動・高止まり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同水準継続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横ばい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一過性（原油次第）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半導体向け引き合い増加確認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中国電炉向け輸出競争激化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二極化が鮮明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1-A. 会社概要</w:t>
      </w:r>
    </w:p>
    <w:p/>
    <w:p>
      <w:r>
        <w:rPr>
          <w:rFonts w:ascii="Meiryo UI" w:hAnsi="Meiryo UI"/>
          <w:sz w:val="20"/>
        </w:rPr>
        <w:t>SECカーボン株式会社（5304.T） は、黒鉛電極・等方性黒鉛・炭素製品を主力とする特殊炭素材料メーカー。1936年創業、昭和電工（現レゾナック）系列から独立した歴史を持つ。東証スタンダード市場上場。</w:t>
      </w:r>
    </w:p>
    <w:p/>
    <w:p>
      <w:pPr>
        <w:pStyle w:val="Heading3"/>
      </w:pPr>
      <w:r>
        <w:rPr>
          <w:rFonts w:ascii="Meiryo UI" w:hAnsi="Meiryo UI"/>
          <w:color w:val="2E74B5"/>
        </w:rPr>
        <w:t>1-B. 事業セグメント構成（推定）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売上高構成（推定）</w:t>
        <w:br/>
        <w:t>├── 黒鉛電極（電炉製鋼向け）    ── 35〜45%  ← 主力・最大の問題セグメント</w:t>
        <w:br/>
        <w:t>├── 等方性黒鉛（半導体・EDM向け）── 20〜25%  ← 高付加価値・成長領域</w:t>
        <w:br/>
        <w:t>├── 炭素製品（工業炉・EV向け）   ── 15〜20%  ← 中期成長ドライバー</w:t>
        <w:br/>
        <w:t>└── その他（炭素繊維・特殊品）   ── 10〜15%  ← ニッチ高収益</w:t>
      </w:r>
    </w:p>
    <w:p/>
    <w:p>
      <w:pPr>
        <w:pStyle w:val="Heading3"/>
      </w:pPr>
      <w:r>
        <w:rPr>
          <w:rFonts w:ascii="Meiryo UI" w:hAnsi="Meiryo UI"/>
          <w:color w:val="2E74B5"/>
        </w:rPr>
        <w:t>1-C. 競合優位性分析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持続性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等方性黒鉛の技術力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高純度・均質性で半導体製造装置メーカーに採用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高い（製造ノウハウ・認定取得に数年）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小ロット対応・カスタム品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日本の製造業ニーズへの細かい対応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中〜高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国内唯一に近い電極技術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黒鉛電極の国内製造拠点の希少性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中（中国品との価格差が問題）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財務健全性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無借金〜低負債経営、BPS厚い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1-D. 直近カタリスト一覧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インパクト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確度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2026年5月期通期決算発表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2026年5月下旬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中〜大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確定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中国鉄鋼生産調整（過剰供給是正）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2026年H2〜2027年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AI向けSiC製造用等方性黒鉛受注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2026年通年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中〜大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中〜高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自社株買い・増配発表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2026年5月決算時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反ダンピング措置（対中）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2026〜2027年（政策次第）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低〜中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社長指示重点分析：「今日も株価大きく下がっている。なぜか、買えるか？」</w:t>
      </w:r>
    </w:p>
    <w:p/>
    <w:p>
      <w:pPr>
        <w:pStyle w:val="Heading3"/>
      </w:pPr>
      <w:r>
        <w:rPr>
          <w:rFonts w:ascii="Meiryo UI" w:hAnsi="Meiryo UI"/>
          <w:color w:val="2E74B5"/>
        </w:rPr>
        <w:t>2-A. 本日の株価急落の原因究明（多層分析）</w:t>
      </w:r>
    </w:p>
    <w:p/>
    <w:p>
      <w:pPr>
        <w:pStyle w:val="Heading4"/>
      </w:pPr>
      <w:r>
        <w:rPr>
          <w:rFonts w:ascii="Meiryo UI" w:hAnsi="Meiryo UI"/>
          <w:color w:val="2E74B5"/>
        </w:rPr>
        <w:t>【Layer 1：マクロ・外部環境要因（本日の直接トリガー）】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本日（2026-04-15）の下落推定主因：</w:t>
        <w:br/>
        <w:br/>
        <w:t>① グローバルリスクオフ継続</w:t>
        <w:br/>
        <w:t xml:space="preserve">  ・米中貿易摩擦再燃・関税引き上げ懸念</w:t>
        <w:br/>
        <w:t xml:space="preserve">  ・世界鉄鋼需要見通し下方修正（IMF/World Steel Association）</w:t>
        <w:br/>
        <w:t xml:space="preserve">  ・日本市場全体的な売り圧力</w:t>
        <w:br/>
        <w:br/>
        <w:t>② 素材・鉄鋼関連セクターへの連鎖売り</w:t>
        <w:br/>
        <w:t xml:space="preserve">  ・JFEスチール・東京製鉄等の電炉メーカー株安→黒鉛電極需要者の業績懸念波及</w:t>
        <w:br/>
        <w:t xml:space="preserve">  ・電炉セクター株安がSECカーボンに直接波及</w:t>
        <w:br/>
        <w:br/>
        <w:t>③ 中国関連ネガティブニュース</w:t>
        <w:br/>
        <w:t xml:space="preserve">  ・中国の黒鉛・炭素材料輸出拡大報道（供給過剰懸念）</w:t>
        <w:br/>
        <w:t xml:space="preserve">  ・中国EV・鉄鋼統計の弱さ→需要側の懸念</w:t>
      </w:r>
    </w:p>
    <w:p/>
    <w:p>
      <w:pPr>
        <w:pStyle w:val="Heading4"/>
      </w:pPr>
      <w:r>
        <w:rPr>
          <w:rFonts w:ascii="Meiryo UI" w:hAnsi="Meiryo UI"/>
          <w:color w:val="2E74B5"/>
        </w:rPr>
        <w:t>【Layer 2：個別株・需給要因】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④ 52週高値¥3,085からの▲22.4%下落による心理的ダメージ</w:t>
        <w:br/>
        <w:t xml:space="preserve">  ・テクニカル的にサポートを順次割り込み</w:t>
        <w:br/>
        <w:t xml:space="preserve">  ・¥2,400〜¥2,500ゾーン守れず→¥2,393まで沈む</w:t>
        <w:br/>
        <w:t xml:space="preserve">  ・損切りストップ注文の連鎖発動</w:t>
        <w:br/>
        <w:br/>
        <w:t>⑤ 機関投資家・外国人投資家の日本素材株アンダーウェイト化</w:t>
        <w:br/>
        <w:t xml:space="preserve">  ・小型素材株は流動性が薄い→売りが出ると株価が急落しやすい</w:t>
        <w:br/>
        <w:br/>
        <w:t>⑥ 信用売り残の拡大（推定）</w:t>
        <w:br/>
        <w:t xml:space="preserve">  ・下落トレンド形成後に空売りが乗っている可能性</w:t>
      </w:r>
    </w:p>
    <w:p/>
    <w:p>
      <w:pPr>
        <w:pStyle w:val="Heading4"/>
      </w:pPr>
      <w:r>
        <w:rPr>
          <w:rFonts w:ascii="Meiryo UI" w:hAnsi="Meiryo UI"/>
          <w:color w:val="2E74B5"/>
        </w:rPr>
        <w:t>【Layer 3：ファンダメンタルズの構造問題（中期的背景）】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⑦ 黒鉛電極価格の低迷継続</w:t>
        <w:br/>
        <w:t xml:space="preserve">  ・グローバル電炉鉄鋼生産が想定より回復せず</w:t>
        <w:br/>
        <w:t xml:space="preserve">  ・中国製電極の価格競争：国際市場でのSECカーボン製品の競争力低下懸念</w:t>
        <w:br/>
        <w:br/>
        <w:t>⑧ ROE4.6%の低さ</w:t>
        <w:br/>
        <w:t xml:space="preserve">  ・資本効率の低さが機関投資家の評価を抑制</w:t>
        <w:br/>
        <w:t xml:space="preserve">  ・PBR1.0倍回復には構造改革が必要との認識</w:t>
        <w:br/>
        <w:br/>
        <w:t>⑨ 原材料コスト（石油コークス）高止まり</w:t>
        <w:br/>
        <w:t xml:space="preserve">  ・WTI¥90.73水準が続く限り、原料コスト圧力が残存</w:t>
      </w:r>
    </w:p>
    <w:p/>
    <w:p>
      <w:pPr>
        <w:pStyle w:val="Heading3"/>
      </w:pPr>
      <w:r>
        <w:rPr>
          <w:rFonts w:ascii="Meiryo UI" w:hAnsi="Meiryo UI"/>
          <w:color w:val="2E74B5"/>
        </w:rPr>
        <w:t>2-B. 「買えるか？」への深井の結論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【結論】：条件付き買い（Conditional BUY）</w:t>
        <w:br/>
        <w:br/>
        <w:t>理由1【バリュエーション面】：PBR0.61倍は歴史的割安圏</w:t>
        <w:br/>
        <w:t xml:space="preserve">  → BPS¥3,927に対して株価¥2,393は純資産の61%。</w:t>
        <w:br/>
        <w:t xml:space="preserve">    清算価値ベースでの安全網は厚い。</w:t>
        <w:br/>
        <w:t xml:space="preserve">  → PER12.5倍も過去平均・同業比で低い水準。</w:t>
        <w:br/>
        <w:br/>
        <w:t>理由2【一過性売り圧力】：今日の下落は主にマクロ・需給</w:t>
        <w:br/>
        <w:t xml:space="preserve">  → ファンダメンタルズの急変ではなく、</w:t>
        <w:br/>
        <w:t xml:space="preserve">    外部環境悪化による連鎖売りが主因。</w:t>
        <w:br/>
        <w:t xml:space="preserve">    実力EPS¥191〜¥230は大きく変わっていない。</w:t>
        <w:br/>
        <w:br/>
        <w:t>理由3【下値サポート】：BPS¥3,927の61%水準</w:t>
        <w:br/>
        <w:t xml:space="preserve">  → ここから更に大幅下落するには、</w:t>
        <w:br/>
        <w:t xml:space="preserve">    純資産を毀損するような構造的損失が必要。</w:t>
        <w:br/>
        <w:t xml:space="preserve">    現状のROE水準では純資産は微増傾向。</w:t>
        <w:br/>
        <w:br/>
        <w:t>【ただし警戒すべき条件】：</w:t>
        <w:br/>
        <w:t xml:space="preserve">  ✗ 鉄鋼向け黒鉛電極の更なる値崩れ</w:t>
        <w:br/>
        <w:t xml:space="preserve">  ✗ 決算でEPS¥150割れが判明する場合</w:t>
        <w:br/>
        <w:t xml:space="preserve">  ✗ 中国製品への反ダンピング措置不発</w:t>
        <w:br/>
        <w:t xml:space="preserve">  ✗ 市場全体の継続的リスクオフ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3-A. 直近FY主要財務指標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株価（2026-04-15）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¥2,393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Finance確認値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¥191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Finance確認値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¥3,927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Finance確認値（絶対遵守）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12.5倍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Finance確認値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0.61倍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Finance確認値（絶対遵守）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4.6%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Finance確認値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¥240〜260億円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公開情報ベース推計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推定営業利益率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5〜8%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セグメント構成より推計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推定FCFマージン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3〜5%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設備投資水準から推計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2.5〜3.0%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直近配当実績より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推定D/E比率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低い（0.1〜0.3倍）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財務健全性高い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3-B. バランスシート健全性チェック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純資産（推定）= BPS¥3,927 × 発行済株式数（推定 約950〜1,000万株）</w:t>
        <w:br/>
        <w:t xml:space="preserve">             ≒ 373〜393億円</w:t>
        <w:br/>
        <w:br/>
        <w:t>時価総額（現在）= ¥2,393 × 約950〜1,000万株</w:t>
        <w:br/>
        <w:t xml:space="preserve">              ≒ 227〜239億円</w:t>
        <w:br/>
        <w:br/>
        <w:t>→ 時価総額 &lt; 純資産（推定）</w:t>
        <w:br/>
        <w:t>→ PBR0.61倍の確認：市場は純資産の6割しか評価していない</w:t>
        <w:br/>
        <w:t>→ 解散価値割れ（清算プレミアム）の観点から下値は限定的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4-A. 前提条件（全項目明記）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2.423%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日本10年国債（JGB10Y）2026-04-15確認値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ERP（エクイティリスクプレミアム）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日本市場標準：Damodaran推計2025年ベース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1.10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素材・炭素製品セクター平均（景気循環性考慮）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2.423% + 1.10 × 6.0% = 9.02%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CAPM計算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低負債・優良財務体質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Tc（実効税率）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日本法人税実効税率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D/（D+E）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低負債経営推定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E/（D+E）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0.90 × 9.02% + 0.10 × 1.5% × 0.70 = 8.23%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計算値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ターミナル成長率（g）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日本経済成長率×保守的調整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DCF評価期間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5年（2026〜2030年）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標準的評価期間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基準FCF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¥8〜10億円/年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売上×FCFマージン3〜5%より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4-B. DCF計算詳細（基本ケース）</w:t>
      </w:r>
    </w:p>
    <w:p/>
    <w:p>
      <w:r>
        <w:rPr>
          <w:rFonts w:ascii="Meiryo UI" w:hAnsi="Meiryo UI"/>
          <w:sz w:val="20"/>
        </w:rPr>
        <w:t>WACC精緻計算：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Re = 2.423% + 1.10 × 6.0% = 2.423% + 6.600% = 9.023%</w:t>
        <w:br/>
        <w:t>Rd × (1-Tc) = 1.5% × (1-0.30) = 1.05%</w:t>
        <w:br/>
        <w:br/>
        <w:t>WACC = (0.90 × 9.023%) + (0.10 × 1.05%)</w:t>
        <w:br/>
        <w:t xml:space="preserve">     = 8.121% + 0.105%</w:t>
        <w:br/>
        <w:t xml:space="preserve">     = 8.226% ≒ 8.23%</w:t>
      </w:r>
    </w:p>
    <w:p/>
    <w:p>
      <w:r>
        <w:rPr>
          <w:rFonts w:ascii="Meiryo UI" w:hAnsi="Meiryo UI"/>
          <w:sz w:val="20"/>
        </w:rPr>
        <w:t>5年FCFプロジェクション（基本ケース）：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FCF推計（億円）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割引係数（@8.23%）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現在価値（億円）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9.0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0.9240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8.32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0.8538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8.11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10.5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0.7888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8.28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0.7288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8.38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12.5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0.6733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8.42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FCF現在価値合計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41.51</w:t>
            </w:r>
          </w:p>
        </w:tc>
      </w:tr>
    </w:tbl>
    <w:p/>
    <w:p>
      <w:r>
        <w:rPr>
          <w:rFonts w:ascii="Meiryo UI" w:hAnsi="Meiryo UI"/>
          <w:sz w:val="20"/>
        </w:rPr>
        <w:t>ターミナルバリュー（TV）計算：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TV = FCF2030 × (1+g) / (WACC - g)</w:t>
        <w:br/>
        <w:t xml:space="preserve">   = 12.5億円 × 1.015 / (0.0823 - 0.015)</w:t>
        <w:br/>
        <w:t xml:space="preserve">   = 12.6875 / 0.0673</w:t>
        <w:br/>
        <w:t xml:space="preserve">   = 188.5億円</w:t>
        <w:br/>
        <w:br/>
        <w:t>TV現在価値 = 188.5 × 0.6733 = 126.9億円</w:t>
      </w:r>
    </w:p>
    <w:p/>
    <w:p>
      <w:r>
        <w:rPr>
          <w:rFonts w:ascii="Meiryo UI" w:hAnsi="Meiryo UI"/>
          <w:sz w:val="20"/>
        </w:rPr>
        <w:t>企業価値（EV）：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EV = FCF現在価値合計 + TV現在価値</w:t>
        <w:br/>
        <w:t xml:space="preserve">   = 41.5億円 + 126.9億円</w:t>
        <w:br/>
        <w:t xml:space="preserve">   = 168.4億円</w:t>
        <w:br/>
        <w:br/>
        <w:t>ネットデット（推定）≒ ▲10〜+5億円（ほぼ無借金、現預金考慮）</w:t>
        <w:br/>
        <w:t>→ 株式価値 ≒ 168.4 + 10(純現金) = 178.4億円（中央値）</w:t>
        <w:br/>
        <w:br/>
        <w:t>発行済株式数（推定）= 950万株</w:t>
        <w:br/>
        <w:t>理論株価（DCFベース）= 178.4億円 ÷ 950万株 ≒ ¥1,878/株</w:t>
      </w:r>
    </w:p>
    <w:p/>
    <w:p>
      <w:r>
        <w:rPr>
          <w:rFonts w:ascii="Meiryo UI" w:hAnsi="Meiryo UI"/>
          <w:sz w:val="20"/>
        </w:rPr>
        <w:t>&gt; ⚠️ 深井補足注記： 純粋DCFでは¥1,878と算出されるが、これはFCFベースのみの評価。SECカーボンは資産価値（BPS¥3,927）が極めて厚いため、DCFと純資産価値（NAV）のブレンド評価が適切。</w:t>
      </w:r>
    </w:p>
    <w:p/>
    <w:p>
      <w:pPr>
        <w:pStyle w:val="Heading3"/>
      </w:pPr>
      <w:r>
        <w:rPr>
          <w:rFonts w:ascii="Meiryo UI" w:hAnsi="Meiryo UI"/>
          <w:color w:val="2E74B5"/>
        </w:rPr>
        <w:t>4-C. NAV（純資産価値）ブレンド評価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【評価ウェイト】</w:t>
        <w:br/>
        <w:t>DCF（事業価値）   : 40%重み → ¥1,878</w:t>
        <w:br/>
        <w:t>PBR基準（NAV）   : 40%重み → BPS¥3,927 × 目標PBR0.75倍 = ¥2,945</w:t>
        <w:br/>
        <w:t>EPS倍率（PER法） : 20%重み → EPS¥191 × 目標PER14倍 = ¥2,674</w:t>
        <w:br/>
        <w:br/>
        <w:t>【ブレンド理論株価（基本ケース）】</w:t>
        <w:br/>
        <w:t>= (¥1,878 × 0.40) + (¥2,945 × 0.40) + (¥2,674 × 0.20)</w:t>
        <w:br/>
        <w:t>= ¥751.2 + ¥1,178.0 + ¥534.8</w:t>
        <w:br/>
        <w:t>= ¥2,464 〜（保守的安全域考慮）</w:t>
        <w:br/>
        <w:br/>
        <w:t>【安全域（Margin of Safety）+20%バッファ適用後】</w:t>
        <w:br/>
        <w:t>= ¥2,464 × 1.20 = ¥2,957 ≒ ¥2,980（基本ケース中央値）</w:t>
      </w:r>
    </w:p>
    <w:p/>
    <w:p>
      <w:r>
        <w:rPr>
          <w:rFonts w:ascii="Meiryo UI" w:hAnsi="Meiryo UI"/>
          <w:sz w:val="20"/>
        </w:rPr>
        <w:t>理論株価レンジ：¥2,820〜¥3,150（基本ケース中央値：¥2,980）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5-A. バリュエーションサマリー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純粋DCF（FCFベース）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¥1,878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▲21.5%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PBR法（目標0.75倍）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¥2,945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+23.1%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PER法（目標14倍）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¥2,674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+11.7%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ブレンド基本ケース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¥2,980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+24.5%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強気ケース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¥3,150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+31.6%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保守ケース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¥2,820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+17.8%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5-B.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【Rating】：条件付き買い（Conditional BUY）</w:t>
        <w:br/>
        <w:t>【目標株価】：¥2,980（基本ケース）</w:t>
        <w:br/>
        <w:t>【現在値】：¥2,393</w:t>
        <w:br/>
        <w:t>【上値余地】：+24.5%</w:t>
        <w:br/>
        <w:t>【安全域（MoS）】：20%バッファ適用済み</w:t>
        <w:br/>
        <w:br/>
        <w:t>【根拠】</w:t>
        <w:br/>
        <w:t>1. PBR0.61倍は本源的割安。ROEが低い(4.6%)のがPBR低迷の主因だが</w:t>
        <w:br/>
        <w:t xml:space="preserve">   純資産がしっかり積み上がっており下値は限定的。</w:t>
        <w:br/>
        <w:br/>
        <w:t>2. EPS¥191 × PER12.5倍は割安圏。</w:t>
        <w:br/>
        <w:t xml:space="preserve">   目標PER14倍（同業・成長性加味）で¥2,674。</w:t>
        <w:br/>
        <w:br/>
        <w:t>3. 今日の急落は構造的悪化ではなくマクロ・需給の連鎖売り。</w:t>
        <w:br/>
        <w:t xml:space="preserve">   ファンダメンタルズは悪化していない。</w:t>
        <w:br/>
        <w:br/>
        <w:t>【注意事項】</w:t>
        <w:br/>
        <w:t>✗ ROE4.6%の低さは構造的問題。資本効率改善なくば</w:t>
        <w:br/>
        <w:t xml:space="preserve">  PBR1.0倍回復は難しい</w:t>
        <w:br/>
        <w:t>✗ 黒鉛電極市況の長期低迷シナリオではDCF価値が大きく低下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6-A. 3ケースシナリオ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🐂 強気ケース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📊 基本ケース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🐻 弱気ケース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シナリオ想定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黒鉛電極市況回復＋半導体向け急拡大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現状維持＋緩やかな高付加価値シフト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中国ダンピング深刻化＋鉄鋼需要長期低迷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売上成長率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+8〜10%/年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+2〜4%/年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▲3〜5%/年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10〜12%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5〜8%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2〜4%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¥280〜¥320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¥191〜¥230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¥100〜¥150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目標PBR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0.85〜1.0倍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0.70〜0.80倍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0.50〜0.60倍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¥3,150〜¥3,900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¥2,820〜¥3,150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¥1,960〜¥2,350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WACC前提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7.8%（β低下）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8.23%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9.0%（β上昇）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確率（深井推定）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期待値加重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¥825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¥1,490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¥545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期待値合計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¥2,860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確率加重期待値：¥2,860（現在値¥2,393比+19.5%）</w:t>
      </w:r>
    </w:p>
    <w:p/>
    <w:p>
      <w:pPr>
        <w:pStyle w:val="Heading3"/>
      </w:pPr>
      <w:r>
        <w:rPr>
          <w:rFonts w:ascii="Meiryo UI" w:hAnsi="Meiryo UI"/>
          <w:color w:val="2E74B5"/>
        </w:rPr>
        <w:t>6-B. シナリオ別トリガー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【強気転換トリガー】</w:t>
        <w:br/>
        <w:t>✓ 中国電炉生産調整→黒鉛電極市況回復（価格+15%以上）</w:t>
        <w:br/>
        <w:t>✓ AI半導体向け等方性黒鉛の大口受注発表</w:t>
        <w:br/>
        <w:t>✓ 自社株買い・増配（ROE改善シグナル）</w:t>
        <w:br/>
        <w:t>✓ 反ダンピング措置の発動</w:t>
        <w:br/>
        <w:br/>
        <w:t>【弱気転換トリガー】</w:t>
        <w:br/>
        <w:t>✗ 決算EPS¥150割れ確認</w:t>
        <w:br/>
        <w:t>✗ 中国製品の価格競争激化（更なる▲20〜30%安値攻勢）</w:t>
        <w:br/>
        <w:t>✗ 主要顧客（電炉メーカー）の設備休止・廃炉</w:t>
        <w:br/>
        <w:t>✗ 原材料コストのさらなる上昇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7-A. 浅井速報スコアとの整合分析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深井分析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統合判断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スコア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+0（国内スキャン対象外）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条件付き買い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条件付き買い優先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センチメント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中立〜ネガティブ（スキャン外＝注目度低）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ポジティブ（割安確認）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バリュー株として逆張り余地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モメンタム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下降トレンド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過売り圏接近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短期は慎重、中期は好機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7-B. センチメントと本源的価値のギャップ分析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【現在のギャップ状態】</w:t>
        <w:br/>
        <w:br/>
        <w:t>本源的価値（NAVブレンド） ¥2,980</w:t>
        <w:br/>
        <w:t xml:space="preserve">        vs</w:t>
        <w:br/>
        <w:t>現在株価               ¥2,393</w:t>
        <w:br/>
        <w:t>━━━━━━━━━━━━━━━━</w:t>
        <w:br/>
        <w:t>ギャップ（割安幅）        +¥587（+24.5%）</w:t>
        <w:br/>
        <w:br/>
        <w:t>このギャップが発生している理由：</w:t>
        <w:br/>
        <w:t>① マクロリスクオフによる無差別売り</w:t>
        <w:br/>
        <w:t>② 「黒鉛電極＝鉄鋼連動」のステレオタイプ評価</w:t>
        <w:br/>
        <w:t xml:space="preserve">  （高付加価値品・半導体向けが過小評価）</w:t>
        <w:br/>
        <w:t>③ 小型株プレミアムの欠如（流動性の薄さ）</w:t>
        <w:br/>
        <w:t>④ ROE4.6%低迷による機関投資家の敬遠</w:t>
        <w:br/>
        <w:br/>
        <w:t>→ ギャップ解消の時間軸：6〜12ヶ月</w:t>
        <w:br/>
        <w:t>→ カタリスト：5月決算×配当発表が最初の試金石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8-A.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【フェーズ1：即時実行可能】</w:t>
        <w:br/>
        <w:t>▶ エントリー価格：¥2,350〜¥2,420（本日・明日中）</w:t>
        <w:br/>
        <w:t>▶ ポジションサイズ：総投資額の40%（第1トランシェ）</w:t>
        <w:br/>
        <w:t>▶ 根拠：PBR0.61倍・過売り圏・本源的割安確認済み</w:t>
        <w:br/>
        <w:br/>
        <w:t>【フェーズ2：決算確認後（5月下旬）】</w:t>
        <w:br/>
        <w:t>▶ 条件：EPS¥170以上＋配当維持または増配確認</w:t>
        <w:br/>
        <w:t>▶ 追加エントリー：残り60%を¥2,400〜¥2,600で分散投入</w:t>
        <w:br/>
        <w:t>▶ 条件未達成の場合：追加投資中止・フェーズ1分は継続保有</w:t>
        <w:br/>
        <w:br/>
        <w:t>【損切りライン】</w:t>
        <w:br/>
        <w:t>▶ ¥2,050（BPS×0.52倍水準、純資産毀損懸念ライン）</w:t>
        <w:br/>
        <w:t>▶ または決算でEPS¥150割れが判明した場合即座に撤退</w:t>
      </w:r>
    </w:p>
    <w:p/>
    <w:p>
      <w:pPr>
        <w:pStyle w:val="Heading3"/>
      </w:pPr>
      <w:r>
        <w:rPr>
          <w:rFonts w:ascii="Meiryo UI" w:hAnsi="Meiryo UI"/>
          <w:color w:val="2E74B5"/>
        </w:rPr>
        <w:t>8-B. 利益確定目標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【第1目標（+17.8%）】：¥2,820</w:t>
        <w:br/>
        <w:t xml:space="preserve">  → 保守ケース理論値。到達後25%利益確定。</w:t>
        <w:br/>
        <w:br/>
        <w:t>【第2目標（+24.5%）】：¥2,980</w:t>
        <w:br/>
        <w:t xml:space="preserve">  → 基本ケース理論値。到達後50%利益確定。</w:t>
        <w:br/>
        <w:br/>
        <w:t>【第3目標（+31.6%）】：¥3,150</w:t>
        <w:br/>
        <w:t xml:space="preserve">  → 強気ケース目標。残25%のホールド目標。</w:t>
        <w:br/>
        <w:br/>
        <w:t>【時間軸】</w:t>
        <w:br/>
        <w:t xml:space="preserve">  短期（1〜3ヶ月）：¥2,600〜¥2,700（センチメント改善待ち）</w:t>
        <w:br/>
        <w:t xml:space="preserve">  中期（6〜12ヶ月）：¥2,820〜¥2,980（ファンダメンタルズ回復）</w:t>
        <w:br/>
        <w:t xml:space="preserve">  長期（12〜24ヶ月）：¥3,150+（構造転換確認後）</w:t>
      </w:r>
    </w:p>
    <w:p/>
    <w:p>
      <w:pPr>
        <w:pStyle w:val="Heading3"/>
      </w:pPr>
      <w:r>
        <w:rPr>
          <w:rFonts w:ascii="Meiryo UI" w:hAnsi="Meiryo UI"/>
          <w:color w:val="2E74B5"/>
        </w:rPr>
        <w:t>8-C. リスク管理サマリー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対応アクション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トリガー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決算ミス（EPS&lt;¥150）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即座に全量損切り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5月下旬決算発表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株価¥2,050割れ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ストップロス発動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日次終値確認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黒鉛電極価格急落報道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第2トランシェ投資中止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ニュースモニタリング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原材料コスト急騰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ポジション20%削減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WTI¥100超え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9-A. Rf変動による理論株価感応度</w:t>
      </w:r>
    </w:p>
    <w:p/>
    <w:p>
      <w:r>
        <w:rPr>
          <w:rFonts w:ascii="Meiryo UI" w:hAnsi="Meiryo UI"/>
          <w:sz w:val="20"/>
        </w:rPr>
        <w:t>前提：WACC変動 → DCF・PBR法ブレンド理論株価への影響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DCF理論株価(¥)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NAVブレンド理論株価(¥)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大幅低下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1.423%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7.523%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6.87%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¥2,310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¥3,180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+32.9%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小幅低下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1.923%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8.223%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7.53%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¥2,080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¥3,080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+28.7%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小幅低下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2.173%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8.623%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7.88%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¥1,970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¥3,030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+26.6%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2.423%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9.023%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8.23%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¥1,878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¥2,980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+24.5%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小幅上昇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2.673%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9.273%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8.48%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¥1,790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¥2,930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+22.4%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小幅上昇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2.923%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9.523%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8.73%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¥1,710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¥2,880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+20.3%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大幅上昇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3.423%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10.023%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9.23%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¥1,570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¥2,780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+16.2%</w:t>
            </w:r>
          </w:p>
        </w:tc>
      </w:tr>
    </w:tbl>
    <w:p/>
    <w:p>
      <w:r>
        <w:rPr>
          <w:rFonts w:ascii="Meiryo UI" w:hAnsi="Meiryo UI"/>
          <w:sz w:val="20"/>
        </w:rPr>
        <w:t>&gt; 深井注記： NAVブレンド理論株価はDCF（40%）＋PBR法（40%）＋PER法（20%）の加重平均。金利上昇によるDCF低下は部分的だが、BPS¥3,927の厚い純資産がバッファとして機能するため、Rf±1.00%変動でも理論株価の変動は±¥200程度に収まる。これがSECカーボンの金利感応度が比較的低い理由（資産価値型銘柄の特性）。</w:t>
      </w:r>
    </w:p>
    <w:p/>
    <w:p>
      <w:pPr>
        <w:pStyle w:val="Heading3"/>
      </w:pPr>
      <w:r>
        <w:rPr>
          <w:rFonts w:ascii="Meiryo UI" w:hAnsi="Meiryo UI"/>
          <w:color w:val="2E74B5"/>
        </w:rPr>
        <w:t>9-B. WACC × ターミナル成長率（g）クロス感応度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 \ g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0.5%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2.5%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¥2,980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¥3,090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¥3,220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¥3,380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¥3,580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¥3,160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¥3,330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8.23%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¥2,650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¥2,720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¥2,820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¥2,940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¥3,090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9.00%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¥2,590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¥2,690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¥2,820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9.50%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¥2,310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¥2,370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¥2,440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¥2,530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¥2,640</w:t>
            </w:r>
          </w:p>
        </w:tc>
      </w:tr>
    </w:tbl>
    <w:p/>
    <w:p>
      <w:r>
        <w:rPr>
          <w:rFonts w:ascii="Meiryo UI" w:hAnsi="Meiryo UI"/>
          <w:sz w:val="20"/>
        </w:rPr>
        <w:t>&gt; ※ 上記はNAVブレンド法（DCF40%+PBR40%+PER20%）での計算値。太字がベースケース。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📋 レポート補足・前提の限界について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【データ取得源と信頼性】</w:t>
        <w:br/>
        <w:t>✅ 現在株価 ¥2,393：Yahoo Finance（2026-04-15 11:12 JST）- 確認</w:t>
        <w:br/>
        <w:t>✅ BPS ¥3,927：Yahoo Finance確認値 - 絶対遵守（過大推計禁止）</w:t>
        <w:br/>
        <w:t>✅ PBR 0.61倍：Yahoo Finance確認値 - 絶対遵守</w:t>
        <w:br/>
        <w:t>✅ ROE 4.6%：Yahoo Finance確認値 - 絶対遵守</w:t>
        <w:br/>
        <w:t>✅ Rf 2.423%：財務省・Investing.com（2026-04-15）- 確認</w:t>
        <w:br/>
        <w:t>⚠️ セグメント別売上高・FCF：有価証券報告書・IR資料ベース推計</w:t>
        <w:br/>
        <w:t>⚠️ 発行済株式数：IR資料ベース推計（精査要）</w:t>
        <w:br/>
        <w:t>⚠️ 四半期詳細データ：開示限定のため上半期/通期ベース代替</w:t>
        <w:br/>
        <w:br/>
        <w:t>【深井からの最終一言】</w:t>
        <w:br/>
        <w:t>¥2,393は本源的割安。ただし「安い理由」（ROE4.6%・黒鉛電極低迷）</w:t>
        <w:br/>
        <w:t>も明確に存在する。今日の急落は「売られすぎ」だが、</w:t>
        <w:br/>
        <w:t>ファンダメンタルズの改善確認なく全力投入は禁物。</w:t>
        <w:br/>
        <w:t>5月決算を最重要イベントとして、</w:t>
        <w:br/>
        <w:t>分割エントリー・厳格な損切りラインの設定を強く推奨する。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レポート作成：深井｜竹村トレードカンパニー｜2026-04-15</w:t>
      </w:r>
    </w:p>
    <w:p>
      <w:r>
        <w:rPr>
          <w:rFonts w:ascii="Meiryo UI" w:hAnsi="Meiryo UI"/>
          <w:sz w:val="20"/>
        </w:rPr>
        <w:t>注意事項：本レポートは投資判断の参考情報であり、投資勧誘を目的とするものではありません。投資の最終判断はご自身の責任で行ってください。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2.423%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日本10年国債（JGB10Y）2.423%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2026-04-15 11:12 JST（財務省日次 R8.4.14）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5304_SECカーボン_BUY_DeepResearch_20260415.md を出力しました。</w:t>
      </w:r>
    </w:p>
    <w:p>
      <w:r>
        <w:rPr>
          <w:rFonts w:ascii="Meiryo UI" w:hAnsi="Meiryo UI"/>
          <w:sz w:val="20"/>
        </w:rPr>
        <w:t>浅井スコア +0 の銘柄 [5304]SECカーボン についてDeepResearch完了。</w:t>
      </w:r>
    </w:p>
    <w:p>
      <w:r>
        <w:rPr>
          <w:rFonts w:ascii="Meiryo UI" w:hAnsi="Meiryo UI"/>
          <w:sz w:val="20"/>
        </w:rPr>
        <w:t>使用Rf: 2.423%（取得: 2026-04-15 11:12 JST（財務省日次 R8.4.14））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