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[5304] SECカーボン</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[5304] SECカーボン</w:t>
      </w:r>
    </w:p>
    <w:p>
      <w:r>
        <w:rPr>
          <w:rFonts w:ascii="Meiryo UI" w:hAnsi="Meiryo UI"/>
          <w:sz w:val="20"/>
        </w:rPr>
        <w:t>作成日: 2026-04-22  |  アナリスト: 深井  |  分類: BUY</w:t>
      </w:r>
    </w:p>
    <w:p>
      <w:r>
        <w:rPr>
          <w:rFonts w:ascii="Meiryo UI" w:hAnsi="Meiryo UI"/>
          <w:sz w:val="20"/>
        </w:rPr>
        <w:t>浅井スコア: +85  |  ソース: TDnet + 公開情報 + 浅井マスターDB</w:t>
      </w:r>
    </w:p>
    <w:p/>
    <w:p>
      <w:r>
        <w:t>──────────────────────────────────────────────────</w:t>
      </w:r>
    </w:p>
    <w:p/>
    <w:p>
      <w:pPr>
        <w:pStyle w:val="Heading1"/>
      </w:pPr>
      <w:r>
        <w:rPr>
          <w:rFonts w:ascii="Meiryo UI" w:hAnsi="Meiryo UI"/>
          <w:color w:val="1F3864"/>
        </w:rPr>
        <w:t>SECカーボン（5304.T） DeepResearch レポート</w:t>
      </w:r>
    </w:p>
    <w:p>
      <w:r>
        <w:rPr>
          <w:rFonts w:ascii="Meiryo UI" w:hAnsi="Meiryo UI"/>
          <w:sz w:val="20"/>
        </w:rPr>
        <w:t>作成者: 深井（竹村トレードカンパニー）｜分析日: 2026-04-22</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低PBR0.61倍×高自己資本比率×炭素製品ニッチ独占。解散価値以下で放置された実質含み益案件。PBR1.0倍回帰だけで+64%余地。</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¥2,391 ／ 理論株価（FV） ¥3,200〜¥3,600（基本ケースDCF: ¥3,280）／ 上値余地 +37〜+51%</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①2026年5月〜6月 本決算発表×配当確定（配当利回り4.1%の実現確認）　②電炉鋼メーカーの黒鉛電極需要回復（DRI/EAF拡大トレンド、2026年下期に顕在化見込み）　③自社株買い・資本効率改善策の公表（低PBR是正プレッシャー：東証PBR1倍割れ要請継続）</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黒鉛電極価格の長期低迷継続：中国過剰供給により製品単価下落が構造化→ROE4.6%がさらに悪化すると、DCF理論値は¥2,200割れ。5月本決算でEPS¥170割れ＋無配・減配サプライズは即時損切りトリガー。</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今すぐ第1トランシェをBPS¥3,927対比61%ディスカウントの現値¥2,350〜¥2,430で40%エントリー。残り60%は5〜6月本決算×配当・自社株買い方針確認後に追加。損切りライン¥2,050（BPS比47%、DCF弱気ケース下限）。</w:t>
            </w:r>
          </w:p>
        </w:tc>
      </w:tr>
    </w:tbl>
    <w:p/>
    <w:p>
      <w:r>
        <w:t>──────────────────────────────────────────────────</w:t>
      </w:r>
    </w:p>
    <w:p/>
    <w:p>
      <w:pPr>
        <w:pStyle w:val="Heading2"/>
      </w:pPr>
      <w:r>
        <w:rPr>
          <w:rFonts w:ascii="Meiryo UI" w:hAnsi="Meiryo UI"/>
          <w:color w:val="2E74B5"/>
        </w:rPr>
        <w:t>セクション0：Good/Bad分析 &amp; 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金額・規模（推定）</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黒鉛電極の国内電炉向け安定受注（長期契約）</w:t>
            </w:r>
          </w:p>
        </w:tc>
        <w:tc>
          <w:tcPr>
            <w:tcW w:type="dxa" w:w="1881"/>
          </w:tcPr>
          <w:p>
            <w:r>
              <w:rPr>
                <w:rFonts w:ascii="Meiryo UI" w:hAnsi="Meiryo UI"/>
                <w:sz w:val="18"/>
              </w:rPr>
              <w:t>売上構成比～60%を占める基盤収益</w:t>
            </w:r>
          </w:p>
        </w:tc>
        <w:tc>
          <w:tcPr>
            <w:tcW w:type="dxa" w:w="1881"/>
          </w:tcPr>
          <w:p>
            <w:r>
              <w:rPr>
                <w:rFonts w:ascii="Meiryo UI" w:hAnsi="Meiryo UI"/>
                <w:sz w:val="18"/>
              </w:rPr>
              <w:t>構造的</w:t>
            </w:r>
          </w:p>
        </w:tc>
        <w:tc>
          <w:tcPr>
            <w:tcW w:type="dxa" w:w="1881"/>
          </w:tcPr>
          <w:p>
            <w:r>
              <w:rPr>
                <w:rFonts w:ascii="Meiryo UI" w:hAnsi="Meiryo UI"/>
                <w:sz w:val="18"/>
              </w:rPr>
              <w:t>「電炉への置き換えはEV・脱炭素でむしろ加速。長期需要の床は固い」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高自己資本比率（推定60%超）→財務リスク極小</w:t>
            </w:r>
          </w:p>
        </w:tc>
        <w:tc>
          <w:tcPr>
            <w:tcW w:type="dxa" w:w="1881"/>
            <w:shd w:val="clear" w:color="auto" w:fill="DDEBF7"/>
          </w:tcPr>
          <w:p>
            <w:r>
              <w:rPr>
                <w:rFonts w:ascii="Meiryo UI" w:hAnsi="Meiryo UI"/>
                <w:sz w:val="18"/>
              </w:rPr>
              <w:t>純資産¥約380億円（BPS×発行済み株数）</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「借金がほぼない。金利上昇局面でも財務コストは上がらない堅固な体質」</w:t>
            </w:r>
          </w:p>
        </w:tc>
      </w:tr>
      <w:tr>
        <w:tc>
          <w:tcPr>
            <w:tcW w:type="dxa" w:w="1881"/>
          </w:tcPr>
          <w:p>
            <w:r>
              <w:rPr>
                <w:rFonts w:ascii="Meiryo UI" w:hAnsi="Meiryo UI"/>
                <w:sz w:val="18"/>
              </w:rPr>
              <w:t>💊 薬</w:t>
            </w:r>
          </w:p>
        </w:tc>
        <w:tc>
          <w:tcPr>
            <w:tcW w:type="dxa" w:w="1881"/>
          </w:tcPr>
          <w:p>
            <w:r>
              <w:rPr>
                <w:rFonts w:ascii="Meiryo UI" w:hAnsi="Meiryo UI"/>
                <w:sz w:val="18"/>
              </w:rPr>
              <w:t>配当利回り4.1%（現在値¥2,391ベース：DPS≒¥98）</w:t>
            </w:r>
          </w:p>
        </w:tc>
        <w:tc>
          <w:tcPr>
            <w:tcW w:type="dxa" w:w="1881"/>
          </w:tcPr>
          <w:p>
            <w:r>
              <w:rPr>
                <w:rFonts w:ascii="Meiryo UI" w:hAnsi="Meiryo UI"/>
                <w:sz w:val="18"/>
              </w:rPr>
              <w:t>年間配当総額: 推定¥9〜10億円規模</w:t>
            </w:r>
          </w:p>
        </w:tc>
        <w:tc>
          <w:tcPr>
            <w:tcW w:type="dxa" w:w="1881"/>
          </w:tcPr>
          <w:p>
            <w:r>
              <w:rPr>
                <w:rFonts w:ascii="Meiryo UI" w:hAnsi="Meiryo UI"/>
                <w:sz w:val="18"/>
              </w:rPr>
              <w:t>継続性高</w:t>
            </w:r>
          </w:p>
        </w:tc>
        <w:tc>
          <w:tcPr>
            <w:tcW w:type="dxa" w:w="1881"/>
          </w:tcPr>
          <w:p>
            <w:r>
              <w:rPr>
                <w:rFonts w:ascii="Meiryo UI" w:hAnsi="Meiryo UI"/>
                <w:sz w:val="18"/>
              </w:rPr>
              <w:t>「配当4%超は債券代替として機関投資家を引きつける。インカム需要の下値サポート」</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黒鉛化炉・特殊炭素製品の参入障壁（高温処理技術）</w:t>
            </w:r>
          </w:p>
        </w:tc>
        <w:tc>
          <w:tcPr>
            <w:tcW w:type="dxa" w:w="1881"/>
            <w:shd w:val="clear" w:color="auto" w:fill="DDEBF7"/>
          </w:tcPr>
          <w:p>
            <w:r>
              <w:rPr>
                <w:rFonts w:ascii="Meiryo UI" w:hAnsi="Meiryo UI"/>
                <w:sz w:val="18"/>
              </w:rPr>
              <w:t>ニッチ独占：国内競合ほぼ不在</w:t>
            </w:r>
          </w:p>
        </w:tc>
        <w:tc>
          <w:tcPr>
            <w:tcW w:type="dxa" w:w="1881"/>
            <w:shd w:val="clear" w:color="auto" w:fill="DDEBF7"/>
          </w:tcPr>
          <w:p>
            <w:r>
              <w:rPr>
                <w:rFonts w:ascii="Meiryo UI" w:hAnsi="Meiryo UI"/>
                <w:sz w:val="18"/>
              </w:rPr>
              <w:t>構造的・長期</w:t>
            </w:r>
          </w:p>
        </w:tc>
        <w:tc>
          <w:tcPr>
            <w:tcW w:type="dxa" w:w="1881"/>
            <w:shd w:val="clear" w:color="auto" w:fill="DDEBF7"/>
          </w:tcPr>
          <w:p>
            <w:r>
              <w:rPr>
                <w:rFonts w:ascii="Meiryo UI" w:hAnsi="Meiryo UI"/>
                <w:sz w:val="18"/>
              </w:rPr>
              <w:t>「簡単にコピーできない製造技術。中国勢も高品質品では代替困難」</w:t>
            </w:r>
          </w:p>
        </w:tc>
      </w:tr>
      <w:tr>
        <w:tc>
          <w:tcPr>
            <w:tcW w:type="dxa" w:w="1881"/>
          </w:tcPr>
          <w:p>
            <w:r>
              <w:rPr>
                <w:rFonts w:ascii="Meiryo UI" w:hAnsi="Meiryo UI"/>
                <w:sz w:val="18"/>
              </w:rPr>
              <w:t>☠️ 毒</w:t>
            </w:r>
          </w:p>
        </w:tc>
        <w:tc>
          <w:tcPr>
            <w:tcW w:type="dxa" w:w="1881"/>
          </w:tcPr>
          <w:p>
            <w:r>
              <w:rPr>
                <w:rFonts w:ascii="Meiryo UI" w:hAnsi="Meiryo UI"/>
                <w:sz w:val="18"/>
              </w:rPr>
              <w:t>黒鉛電極の国際スポット価格低迷（中国過剰供給）</w:t>
            </w:r>
          </w:p>
        </w:tc>
        <w:tc>
          <w:tcPr>
            <w:tcW w:type="dxa" w:w="1881"/>
          </w:tcPr>
          <w:p>
            <w:r>
              <w:rPr>
                <w:rFonts w:ascii="Meiryo UI" w:hAnsi="Meiryo UI"/>
                <w:sz w:val="18"/>
              </w:rPr>
              <w:t>製品単価：ピーク比▲50〜60%水準（2023〜2025年継続）</w:t>
            </w:r>
          </w:p>
        </w:tc>
        <w:tc>
          <w:tcPr>
            <w:tcW w:type="dxa" w:w="1881"/>
          </w:tcPr>
          <w:p>
            <w:r>
              <w:rPr>
                <w:rFonts w:ascii="Meiryo UI" w:hAnsi="Meiryo UI"/>
                <w:sz w:val="18"/>
              </w:rPr>
              <w:t>構造的リスク（回復時期不透明）</w:t>
            </w:r>
          </w:p>
        </w:tc>
        <w:tc>
          <w:tcPr>
            <w:tcW w:type="dxa" w:w="1881"/>
          </w:tcPr>
          <w:p>
            <w:r>
              <w:rPr>
                <w:rFonts w:ascii="Meiryo UI" w:hAnsi="Meiryo UI"/>
                <w:sz w:val="18"/>
              </w:rPr>
              <w:t>「中国の電炉設備過剰が解消しない限り、価格回復は遅い。最大の構造的headwind」</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ROE低位（4.6%）：資本効率が資本コストをかろうじて上回る水準</w:t>
            </w:r>
          </w:p>
        </w:tc>
        <w:tc>
          <w:tcPr>
            <w:tcW w:type="dxa" w:w="1881"/>
            <w:shd w:val="clear" w:color="auto" w:fill="DDEBF7"/>
          </w:tcPr>
          <w:p>
            <w:r>
              <w:rPr>
                <w:rFonts w:ascii="Meiryo UI" w:hAnsi="Meiryo UI"/>
                <w:sz w:val="18"/>
              </w:rPr>
              <w:t>株主資本コスト（Re）推定6〜7%に対し4.6%→EVA負</w:t>
            </w:r>
          </w:p>
        </w:tc>
        <w:tc>
          <w:tcPr>
            <w:tcW w:type="dxa" w:w="1881"/>
            <w:shd w:val="clear" w:color="auto" w:fill="DDEBF7"/>
          </w:tcPr>
          <w:p>
            <w:r>
              <w:rPr>
                <w:rFonts w:ascii="Meiryo UI" w:hAnsi="Meiryo UI"/>
                <w:sz w:val="18"/>
              </w:rPr>
              <w:t>構造的（改善要）</w:t>
            </w:r>
          </w:p>
        </w:tc>
        <w:tc>
          <w:tcPr>
            <w:tcW w:type="dxa" w:w="1881"/>
            <w:shd w:val="clear" w:color="auto" w:fill="DDEBF7"/>
          </w:tcPr>
          <w:p>
            <w:r>
              <w:rPr>
                <w:rFonts w:ascii="Meiryo UI" w:hAnsi="Meiryo UI"/>
                <w:sz w:val="18"/>
              </w:rPr>
              <w:t>「資産は大きいが稼ぐ力が弱い。このまま放置するとPBR1倍への回帰シナリオが遠のく」</w:t>
            </w:r>
          </w:p>
        </w:tc>
      </w:tr>
      <w:tr>
        <w:tc>
          <w:tcPr>
            <w:tcW w:type="dxa" w:w="1881"/>
          </w:tcPr>
          <w:p>
            <w:r>
              <w:rPr>
                <w:rFonts w:ascii="Meiryo UI" w:hAnsi="Meiryo UI"/>
                <w:sz w:val="18"/>
              </w:rPr>
              <w:t>☠️ 毒</w:t>
            </w:r>
          </w:p>
        </w:tc>
        <w:tc>
          <w:tcPr>
            <w:tcW w:type="dxa" w:w="1881"/>
          </w:tcPr>
          <w:p>
            <w:r>
              <w:rPr>
                <w:rFonts w:ascii="Meiryo UI" w:hAnsi="Meiryo UI"/>
                <w:sz w:val="18"/>
              </w:rPr>
              <w:t>原材料コスト（石油コークス・ニードルコークス）の高止まり</w:t>
            </w:r>
          </w:p>
        </w:tc>
        <w:tc>
          <w:tcPr>
            <w:tcW w:type="dxa" w:w="1881"/>
          </w:tcPr>
          <w:p>
            <w:r>
              <w:rPr>
                <w:rFonts w:ascii="Meiryo UI" w:hAnsi="Meiryo UI"/>
                <w:sz w:val="18"/>
              </w:rPr>
              <w:t>コスト構造の30〜40%を原材料が占める推定</w:t>
            </w:r>
          </w:p>
        </w:tc>
        <w:tc>
          <w:tcPr>
            <w:tcW w:type="dxa" w:w="1881"/>
          </w:tcPr>
          <w:p>
            <w:r>
              <w:rPr>
                <w:rFonts w:ascii="Meiryo UI" w:hAnsi="Meiryo UI"/>
                <w:sz w:val="18"/>
              </w:rPr>
              <w:t>一部構造的（原油価格連動）</w:t>
            </w:r>
          </w:p>
        </w:tc>
        <w:tc>
          <w:tcPr>
            <w:tcW w:type="dxa" w:w="1881"/>
          </w:tcPr>
          <w:p>
            <w:r>
              <w:rPr>
                <w:rFonts w:ascii="Meiryo UI" w:hAnsi="Meiryo UI"/>
                <w:sz w:val="18"/>
              </w:rPr>
              <w:t>「WTI89ドル水準は仕入れコストにじわり効く。スプレッド圧縮要因として注視必要」</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小型株・低流動性（1日売買代金数千万円規模）</w:t>
            </w:r>
          </w:p>
        </w:tc>
        <w:tc>
          <w:tcPr>
            <w:tcW w:type="dxa" w:w="1881"/>
            <w:shd w:val="clear" w:color="auto" w:fill="DDEBF7"/>
          </w:tcPr>
          <w:p>
            <w:r>
              <w:rPr>
                <w:rFonts w:ascii="Meiryo UI" w:hAnsi="Meiryo UI"/>
                <w:sz w:val="18"/>
              </w:rPr>
              <w:t>流動性プレミアムの存在</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「まとまったポジション構築に時間がかかる。急落時の脱出も困難。サイズ管理が必須」</w:t>
            </w:r>
          </w:p>
        </w:tc>
      </w:tr>
    </w:tbl>
    <w:p/>
    <w:p>
      <w:r>
        <w:rPr>
          <w:rFonts w:ascii="Meiryo UI" w:hAnsi="Meiryo UI"/>
          <w:sz w:val="20"/>
        </w:rPr>
        <w:t>▶ 実力ベース純利益・EPSの試算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報告値</w:t>
            </w:r>
          </w:p>
        </w:tc>
        <w:tc>
          <w:tcPr>
            <w:tcW w:type="dxa" w:w="2351"/>
            <w:shd w:val="clear" w:color="auto" w:fill="2E74B5"/>
          </w:tcPr>
          <w:p>
            <w:r>
              <w:rPr>
                <w:rFonts w:ascii="Meiryo UI" w:hAnsi="Meiryo UI"/>
                <w:b/>
                <w:color w:val="FFFFFF"/>
                <w:sz w:val="18"/>
              </w:rPr>
              <w:t>調整内容</w:t>
            </w:r>
          </w:p>
        </w:tc>
        <w:tc>
          <w:tcPr>
            <w:tcW w:type="dxa" w:w="2351"/>
            <w:shd w:val="clear" w:color="auto" w:fill="2E74B5"/>
          </w:tcPr>
          <w:p>
            <w:r>
              <w:rPr>
                <w:rFonts w:ascii="Meiryo UI" w:hAnsi="Meiryo UI"/>
                <w:b/>
                <w:color w:val="FFFFFF"/>
                <w:sz w:val="18"/>
              </w:rPr>
              <w:t>実力ベース</w:t>
            </w:r>
          </w:p>
        </w:tc>
      </w:tr>
      <w:tr>
        <w:tc>
          <w:tcPr>
            <w:tcW w:type="dxa" w:w="2351"/>
          </w:tcPr>
          <w:p>
            <w:r>
              <w:rPr>
                <w:rFonts w:ascii="Meiryo UI" w:hAnsi="Meiryo UI"/>
                <w:sz w:val="18"/>
              </w:rPr>
              <w:t>EPS</w:t>
            </w:r>
          </w:p>
        </w:tc>
        <w:tc>
          <w:tcPr>
            <w:tcW w:type="dxa" w:w="2351"/>
          </w:tcPr>
          <w:p>
            <w:r>
              <w:rPr>
                <w:rFonts w:ascii="Meiryo UI" w:hAnsi="Meiryo UI"/>
                <w:sz w:val="18"/>
              </w:rPr>
              <w:t>¥191</w:t>
            </w:r>
          </w:p>
        </w:tc>
        <w:tc>
          <w:tcPr>
            <w:tcW w:type="dxa" w:w="2351"/>
          </w:tcPr>
          <w:p>
            <w:r>
              <w:rPr>
                <w:rFonts w:ascii="Meiryo UI" w:hAnsi="Meiryo UI"/>
                <w:sz w:val="18"/>
              </w:rPr>
              <w:t>電極価格低迷による一時的スプレッド縮小を「構造的」と見なして保守維持</w:t>
            </w:r>
          </w:p>
        </w:tc>
        <w:tc>
          <w:tcPr>
            <w:tcW w:type="dxa" w:w="2351"/>
          </w:tcPr>
          <w:p>
            <w:r>
              <w:rPr>
                <w:rFonts w:ascii="Meiryo UI" w:hAnsi="Meiryo UI"/>
                <w:sz w:val="18"/>
              </w:rPr>
              <w:t>¥191（追加調整なし：現時点では保守的に報告値＝実力値と見る）</w:t>
            </w:r>
          </w:p>
        </w:tc>
      </w:tr>
      <w:tr>
        <w:tc>
          <w:tcPr>
            <w:tcW w:type="dxa" w:w="2351"/>
            <w:shd w:val="clear" w:color="auto" w:fill="DDEBF7"/>
          </w:tcPr>
          <w:p>
            <w:r>
              <w:rPr>
                <w:rFonts w:ascii="Meiryo UI" w:hAnsi="Meiryo UI"/>
                <w:sz w:val="18"/>
              </w:rPr>
              <w:t>純利益（推定）</w:t>
            </w:r>
          </w:p>
        </w:tc>
        <w:tc>
          <w:tcPr>
            <w:tcW w:type="dxa" w:w="2351"/>
            <w:shd w:val="clear" w:color="auto" w:fill="DDEBF7"/>
          </w:tcPr>
          <w:p>
            <w:r>
              <w:rPr>
                <w:rFonts w:ascii="Meiryo UI" w:hAnsi="Meiryo UI"/>
                <w:sz w:val="18"/>
              </w:rPr>
              <w:t>≒¥18.5億円</w:t>
            </w:r>
          </w:p>
        </w:tc>
        <w:tc>
          <w:tcPr>
            <w:tcW w:type="dxa" w:w="2351"/>
            <w:shd w:val="clear" w:color="auto" w:fill="DDEBF7"/>
          </w:tcPr>
          <w:p>
            <w:r>
              <w:rPr>
                <w:rFonts w:ascii="Meiryo UI" w:hAnsi="Meiryo UI"/>
                <w:sz w:val="18"/>
              </w:rPr>
              <w:t>特段の一過性損益は確認されず</w:t>
            </w:r>
          </w:p>
        </w:tc>
        <w:tc>
          <w:tcPr>
            <w:tcW w:type="dxa" w:w="2351"/>
            <w:shd w:val="clear" w:color="auto" w:fill="DDEBF7"/>
          </w:tcPr>
          <w:p>
            <w:r>
              <w:rPr>
                <w:rFonts w:ascii="Meiryo UI" w:hAnsi="Meiryo UI"/>
                <w:sz w:val="18"/>
              </w:rPr>
              <w:t>¥18.5億円</w:t>
            </w:r>
          </w:p>
        </w:tc>
      </w:tr>
      <w:tr>
        <w:tc>
          <w:tcPr>
            <w:tcW w:type="dxa" w:w="2351"/>
          </w:tcPr>
          <w:p>
            <w:r>
              <w:rPr>
                <w:rFonts w:ascii="Meiryo UI" w:hAnsi="Meiryo UI"/>
                <w:sz w:val="18"/>
              </w:rPr>
              <w:t>公式値との差分</w:t>
            </w:r>
          </w:p>
        </w:tc>
        <w:tc>
          <w:tcPr>
            <w:tcW w:type="dxa" w:w="2351"/>
          </w:tcPr>
          <w:p>
            <w:r>
              <w:rPr>
                <w:rFonts w:ascii="Meiryo UI" w:hAnsi="Meiryo UI"/>
                <w:sz w:val="18"/>
              </w:rPr>
              <w:t>—</w:t>
            </w:r>
          </w:p>
        </w:tc>
        <w:tc>
          <w:tcPr>
            <w:tcW w:type="dxa" w:w="2351"/>
          </w:tcPr>
          <w:p>
            <w:r>
              <w:rPr>
                <w:rFonts w:ascii="Meiryo UI" w:hAnsi="Meiryo UI"/>
                <w:sz w:val="18"/>
              </w:rPr>
              <w:t>一過性調整はゼロ</w:t>
            </w:r>
          </w:p>
        </w:tc>
        <w:tc>
          <w:tcPr>
            <w:tcW w:type="dxa" w:w="2351"/>
          </w:tcPr>
          <w:p>
            <w:r>
              <w:rPr>
                <w:rFonts w:ascii="Meiryo UI" w:hAnsi="Meiryo UI"/>
                <w:sz w:val="18"/>
              </w:rPr>
              <w:t>—</w:t>
            </w:r>
          </w:p>
        </w:tc>
      </w:tr>
    </w:tbl>
    <w:p/>
    <w:p>
      <w:r>
        <w:rPr>
          <w:rFonts w:ascii="Meiryo UI" w:hAnsi="Meiryo UI"/>
          <w:sz w:val="20"/>
        </w:rPr>
        <w:t>&gt; ※SECカーボンは四半期別の詳細セグメント開示が限定的。上記は直近通期決算（FY2025/3月期推定）ベース。5月〜6月発表の本決算での確認が必須。</w:t>
      </w:r>
    </w:p>
    <w:p/>
    <w:p>
      <w:r>
        <w:t>──────────────────────────────────────────────────</w:t>
      </w:r>
    </w:p>
    <w:p/>
    <w:p>
      <w:pPr>
        <w:pStyle w:val="Heading3"/>
      </w:pPr>
      <w:r>
        <w:rPr>
          <w:rFonts w:ascii="Meiryo UI" w:hAnsi="Meiryo UI"/>
          <w:color w:val="2E74B5"/>
        </w:rPr>
        <w:t>0-B. 直近四半期（QonQ）変調分析</w:t>
      </w:r>
    </w:p>
    <w:p/>
    <w:p>
      <w:r>
        <w:rPr>
          <w:rFonts w:ascii="Meiryo UI" w:hAnsi="Meiryo UI"/>
          <w:sz w:val="20"/>
        </w:rPr>
        <w:t>&gt; ⚠️ 開示制約の注記: SECカーボン（5304）は四半期ごとの詳細セグメント別開示が限定的。以下はH1（上半期）/H2（下半期）の対比および利用可能な直近情報から構成。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H1（上半期）推定</w:t>
            </w:r>
          </w:p>
        </w:tc>
        <w:tc>
          <w:tcPr>
            <w:tcW w:type="dxa" w:w="1881"/>
            <w:shd w:val="clear" w:color="auto" w:fill="2E74B5"/>
          </w:tcPr>
          <w:p>
            <w:r>
              <w:rPr>
                <w:rFonts w:ascii="Meiryo UI" w:hAnsi="Meiryo UI"/>
                <w:b/>
                <w:color w:val="FFFFFF"/>
                <w:sz w:val="18"/>
              </w:rPr>
              <w:t>H2（下半期）推定</w:t>
            </w:r>
          </w:p>
        </w:tc>
        <w:tc>
          <w:tcPr>
            <w:tcW w:type="dxa" w:w="1881"/>
            <w:shd w:val="clear" w:color="auto" w:fill="2E74B5"/>
          </w:tcPr>
          <w:p>
            <w:r>
              <w:rPr>
                <w:rFonts w:ascii="Meiryo UI" w:hAnsi="Meiryo UI"/>
                <w:b/>
                <w:color w:val="FFFFFF"/>
                <w:sz w:val="18"/>
              </w:rPr>
              <w:t>変化方向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約¥65〜70億円</w:t>
            </w:r>
          </w:p>
        </w:tc>
        <w:tc>
          <w:tcPr>
            <w:tcW w:type="dxa" w:w="1881"/>
          </w:tcPr>
          <w:p>
            <w:r>
              <w:rPr>
                <w:rFonts w:ascii="Meiryo UI" w:hAnsi="Meiryo UI"/>
                <w:sz w:val="18"/>
              </w:rPr>
              <w:t>約¥65〜72億円</w:t>
            </w:r>
          </w:p>
        </w:tc>
        <w:tc>
          <w:tcPr>
            <w:tcW w:type="dxa" w:w="1881"/>
          </w:tcPr>
          <w:p>
            <w:r>
              <w:rPr>
                <w:rFonts w:ascii="Meiryo UI" w:hAnsi="Meiryo UI"/>
                <w:sz w:val="18"/>
              </w:rPr>
              <w:t>ほぼ横ばい～微増</w:t>
            </w:r>
          </w:p>
        </w:tc>
        <w:tc>
          <w:tcPr>
            <w:tcW w:type="dxa" w:w="1881"/>
          </w:tcPr>
          <w:p>
            <w:r>
              <w:rPr>
                <w:rFonts w:ascii="Meiryo UI" w:hAnsi="Meiryo UI"/>
                <w:sz w:val="18"/>
              </w:rPr>
              <w:t>季節性（下期に電炉向け需要やや集中）・構造的停滞</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推定5〜7%</w:t>
            </w:r>
          </w:p>
        </w:tc>
        <w:tc>
          <w:tcPr>
            <w:tcW w:type="dxa" w:w="1881"/>
            <w:shd w:val="clear" w:color="auto" w:fill="DDEBF7"/>
          </w:tcPr>
          <w:p>
            <w:r>
              <w:rPr>
                <w:rFonts w:ascii="Meiryo UI" w:hAnsi="Meiryo UI"/>
                <w:sz w:val="18"/>
              </w:rPr>
              <w:t>推定6〜8%</w:t>
            </w:r>
          </w:p>
        </w:tc>
        <w:tc>
          <w:tcPr>
            <w:tcW w:type="dxa" w:w="1881"/>
            <w:shd w:val="clear" w:color="auto" w:fill="DDEBF7"/>
          </w:tcPr>
          <w:p>
            <w:r>
              <w:rPr>
                <w:rFonts w:ascii="Meiryo UI" w:hAnsi="Meiryo UI"/>
                <w:sz w:val="18"/>
              </w:rPr>
              <w:t>微改善傾向</w:t>
            </w:r>
          </w:p>
        </w:tc>
        <w:tc>
          <w:tcPr>
            <w:tcW w:type="dxa" w:w="1881"/>
            <w:shd w:val="clear" w:color="auto" w:fill="DDEBF7"/>
          </w:tcPr>
          <w:p>
            <w:r>
              <w:rPr>
                <w:rFonts w:ascii="Meiryo UI" w:hAnsi="Meiryo UI"/>
                <w:sz w:val="18"/>
              </w:rPr>
              <w:t>原材料費の若干の落ち着き（一過性要素含む）</w:t>
            </w:r>
          </w:p>
        </w:tc>
      </w:tr>
      <w:tr>
        <w:tc>
          <w:tcPr>
            <w:tcW w:type="dxa" w:w="1881"/>
          </w:tcPr>
          <w:p>
            <w:r>
              <w:rPr>
                <w:rFonts w:ascii="Meiryo UI" w:hAnsi="Meiryo UI"/>
                <w:sz w:val="18"/>
              </w:rPr>
              <w:t>主要顧客構成比変化</w:t>
            </w:r>
          </w:p>
        </w:tc>
        <w:tc>
          <w:tcPr>
            <w:tcW w:type="dxa" w:w="1881"/>
          </w:tcPr>
          <w:p>
            <w:r>
              <w:rPr>
                <w:rFonts w:ascii="Meiryo UI" w:hAnsi="Meiryo UI"/>
                <w:sz w:val="18"/>
              </w:rPr>
              <w:t>国内電炉メーカー中心（変化なし）</w:t>
            </w:r>
          </w:p>
        </w:tc>
        <w:tc>
          <w:tcPr>
            <w:tcW w:type="dxa" w:w="1881"/>
          </w:tcPr>
          <w:p>
            <w:r>
              <w:rPr>
                <w:rFonts w:ascii="Meiryo UI" w:hAnsi="Meiryo UI"/>
                <w:sz w:val="18"/>
              </w:rPr>
              <w:t>同左</w:t>
            </w:r>
          </w:p>
        </w:tc>
        <w:tc>
          <w:tcPr>
            <w:tcW w:type="dxa" w:w="1881"/>
          </w:tcPr>
          <w:p>
            <w:r>
              <w:rPr>
                <w:rFonts w:ascii="Meiryo UI" w:hAnsi="Meiryo UI"/>
                <w:sz w:val="18"/>
              </w:rPr>
              <w:t>変化なし</w:t>
            </w:r>
          </w:p>
        </w:tc>
        <w:tc>
          <w:tcPr>
            <w:tcW w:type="dxa" w:w="1881"/>
          </w:tcPr>
          <w:p>
            <w:r>
              <w:rPr>
                <w:rFonts w:ascii="Meiryo UI" w:hAnsi="Meiryo UI"/>
                <w:sz w:val="18"/>
              </w:rPr>
              <w:t>構造的（安定顧客基盤）</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長期契約主体：スポット比率低い</w:t>
            </w:r>
          </w:p>
        </w:tc>
        <w:tc>
          <w:tcPr>
            <w:tcW w:type="dxa" w:w="1881"/>
            <w:shd w:val="clear" w:color="auto" w:fill="DDEBF7"/>
          </w:tcPr>
          <w:p>
            <w:r>
              <w:rPr>
                <w:rFonts w:ascii="Meiryo UI" w:hAnsi="Meiryo UI"/>
                <w:sz w:val="18"/>
              </w:rPr>
              <w:t>同左</w:t>
            </w:r>
          </w:p>
        </w:tc>
        <w:tc>
          <w:tcPr>
            <w:tcW w:type="dxa" w:w="1881"/>
            <w:shd w:val="clear" w:color="auto" w:fill="DDEBF7"/>
          </w:tcPr>
          <w:p>
            <w:r>
              <w:rPr>
                <w:rFonts w:ascii="Meiryo UI" w:hAnsi="Meiryo UI"/>
                <w:sz w:val="18"/>
              </w:rPr>
              <w:t>安定的</w:t>
            </w:r>
          </w:p>
        </w:tc>
        <w:tc>
          <w:tcPr>
            <w:tcW w:type="dxa" w:w="1881"/>
            <w:shd w:val="clear" w:color="auto" w:fill="DDEBF7"/>
          </w:tcPr>
          <w:p>
            <w:r>
              <w:rPr>
                <w:rFonts w:ascii="Meiryo UI" w:hAnsi="Meiryo UI"/>
                <w:sz w:val="18"/>
              </w:rPr>
              <w:t>構造的（長期契約でバッファ）</w:t>
            </w:r>
          </w:p>
        </w:tc>
      </w:tr>
      <w:tr>
        <w:tc>
          <w:tcPr>
            <w:tcW w:type="dxa" w:w="1881"/>
          </w:tcPr>
          <w:p>
            <w:r>
              <w:rPr>
                <w:rFonts w:ascii="Meiryo UI" w:hAnsi="Meiryo UI"/>
                <w:sz w:val="18"/>
              </w:rPr>
              <w:t>特記事項</w:t>
            </w:r>
          </w:p>
        </w:tc>
        <w:tc>
          <w:tcPr>
            <w:tcW w:type="dxa" w:w="1881"/>
          </w:tcPr>
          <w:p>
            <w:r>
              <w:rPr>
                <w:rFonts w:ascii="Meiryo UI" w:hAnsi="Meiryo UI"/>
                <w:sz w:val="18"/>
              </w:rPr>
              <w:t>黒鉛電極スポット価格：低水準継続</w:t>
            </w:r>
          </w:p>
        </w:tc>
        <w:tc>
          <w:tcPr>
            <w:tcW w:type="dxa" w:w="1881"/>
          </w:tcPr>
          <w:p>
            <w:r>
              <w:rPr>
                <w:rFonts w:ascii="Meiryo UI" w:hAnsi="Meiryo UI"/>
                <w:sz w:val="18"/>
              </w:rPr>
              <w:t>下期末にかけてDRI向け問い合わせ増加の兆し</w:t>
            </w:r>
          </w:p>
        </w:tc>
        <w:tc>
          <w:tcPr>
            <w:tcW w:type="dxa" w:w="1881"/>
          </w:tcPr>
          <w:p>
            <w:r>
              <w:rPr>
                <w:rFonts w:ascii="Meiryo UI" w:hAnsi="Meiryo UI"/>
                <w:sz w:val="18"/>
              </w:rPr>
              <w:t>要監視</w:t>
            </w:r>
          </w:p>
        </w:tc>
        <w:tc>
          <w:tcPr>
            <w:tcW w:type="dxa" w:w="1881"/>
          </w:tcPr>
          <w:p>
            <w:r>
              <w:rPr>
                <w:rFonts w:ascii="Meiryo UI" w:hAnsi="Meiryo UI"/>
                <w:sz w:val="18"/>
              </w:rPr>
              <w:t>一過性→構造的転換の可能性あり</w:t>
            </w:r>
          </w:p>
        </w:tc>
      </w:tr>
    </w:tbl>
    <w:p/>
    <w:p>
      <w:r>
        <w:rPr>
          <w:rFonts w:ascii="Meiryo UI" w:hAnsi="Meiryo UI"/>
          <w:sz w:val="20"/>
        </w:rPr>
        <w:t>&gt; 総括: H1→H2で業績の急変は確認されていない。電炉需要の緩やかな回復期待が下期に若干反映されつつあるが、スポット価格回復の決定打は未確認。安定だが低成長という現状維持フェーズ。</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事業概要</w:t>
      </w:r>
    </w:p>
    <w:p/>
    <w:p>
      <w:r>
        <w:rPr>
          <w:rFonts w:ascii="Meiryo UI" w:hAnsi="Meiryo UI"/>
          <w:sz w:val="20"/>
        </w:rPr>
        <w:t>SECカーボン（5304.T）は、黒鉛電極・特殊炭素製品を主力とする日本の炭素製品専業メーカーである。1936年創業の老舗で、高温焼成・黒鉛化技術に特化したニッチ独占型の事業構造を持つ。</w:t>
      </w:r>
    </w:p>
    <w:p/>
    <w:p>
      <w:r>
        <w:rPr>
          <w:rFonts w:ascii="Meiryo UI" w:hAnsi="Meiryo UI"/>
          <w:sz w:val="20"/>
        </w:rPr>
        <w:t>主要製品セグメント: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用途</w:t>
            </w:r>
          </w:p>
        </w:tc>
        <w:tc>
          <w:tcPr>
            <w:tcW w:type="dxa" w:w="3135"/>
            <w:shd w:val="clear" w:color="auto" w:fill="2E74B5"/>
          </w:tcPr>
          <w:p>
            <w:r>
              <w:rPr>
                <w:rFonts w:ascii="Meiryo UI" w:hAnsi="Meiryo UI"/>
                <w:b/>
                <w:color w:val="FFFFFF"/>
                <w:sz w:val="18"/>
              </w:rPr>
              <w:t>市場地位</w:t>
            </w:r>
          </w:p>
        </w:tc>
      </w:tr>
      <w:tr>
        <w:tc>
          <w:tcPr>
            <w:tcW w:type="dxa" w:w="3135"/>
          </w:tcPr>
          <w:p>
            <w:r>
              <w:rPr>
                <w:rFonts w:ascii="Meiryo UI" w:hAnsi="Meiryo UI"/>
                <w:sz w:val="18"/>
              </w:rPr>
              <w:t>黒鉛電極</w:t>
            </w:r>
          </w:p>
        </w:tc>
        <w:tc>
          <w:tcPr>
            <w:tcW w:type="dxa" w:w="3135"/>
          </w:tcPr>
          <w:p>
            <w:r>
              <w:rPr>
                <w:rFonts w:ascii="Meiryo UI" w:hAnsi="Meiryo UI"/>
                <w:sz w:val="18"/>
              </w:rPr>
              <w:t>電炉製鋼（スクラップ溶解）用電極</w:t>
            </w:r>
          </w:p>
        </w:tc>
        <w:tc>
          <w:tcPr>
            <w:tcW w:type="dxa" w:w="3135"/>
          </w:tcPr>
          <w:p>
            <w:r>
              <w:rPr>
                <w:rFonts w:ascii="Meiryo UI" w:hAnsi="Meiryo UI"/>
                <w:sz w:val="18"/>
              </w:rPr>
              <w:t>国内シェア上位・技術的差別化あり</w:t>
            </w:r>
          </w:p>
        </w:tc>
      </w:tr>
      <w:tr>
        <w:tc>
          <w:tcPr>
            <w:tcW w:type="dxa" w:w="3135"/>
            <w:shd w:val="clear" w:color="auto" w:fill="DDEBF7"/>
          </w:tcPr>
          <w:p>
            <w:r>
              <w:rPr>
                <w:rFonts w:ascii="Meiryo UI" w:hAnsi="Meiryo UI"/>
                <w:sz w:val="18"/>
              </w:rPr>
              <w:t>特殊炭素製品</w:t>
            </w:r>
          </w:p>
        </w:tc>
        <w:tc>
          <w:tcPr>
            <w:tcW w:type="dxa" w:w="3135"/>
            <w:shd w:val="clear" w:color="auto" w:fill="DDEBF7"/>
          </w:tcPr>
          <w:p>
            <w:r>
              <w:rPr>
                <w:rFonts w:ascii="Meiryo UI" w:hAnsi="Meiryo UI"/>
                <w:sz w:val="18"/>
              </w:rPr>
              <w:t>半導体製造装置・原子力・化学プラント向け</w:t>
            </w:r>
          </w:p>
        </w:tc>
        <w:tc>
          <w:tcPr>
            <w:tcW w:type="dxa" w:w="3135"/>
            <w:shd w:val="clear" w:color="auto" w:fill="DDEBF7"/>
          </w:tcPr>
          <w:p>
            <w:r>
              <w:rPr>
                <w:rFonts w:ascii="Meiryo UI" w:hAnsi="Meiryo UI"/>
                <w:sz w:val="18"/>
              </w:rPr>
              <w:t>高参入障壁ニッチ市場</w:t>
            </w:r>
          </w:p>
        </w:tc>
      </w:tr>
      <w:tr>
        <w:tc>
          <w:tcPr>
            <w:tcW w:type="dxa" w:w="3135"/>
          </w:tcPr>
          <w:p>
            <w:r>
              <w:rPr>
                <w:rFonts w:ascii="Meiryo UI" w:hAnsi="Meiryo UI"/>
                <w:sz w:val="18"/>
              </w:rPr>
              <w:t>炭素繊維関連</w:t>
            </w:r>
          </w:p>
        </w:tc>
        <w:tc>
          <w:tcPr>
            <w:tcW w:type="dxa" w:w="3135"/>
          </w:tcPr>
          <w:p>
            <w:r>
              <w:rPr>
                <w:rFonts w:ascii="Meiryo UI" w:hAnsi="Meiryo UI"/>
                <w:sz w:val="18"/>
              </w:rPr>
              <w:t>高温炉部材等</w:t>
            </w:r>
          </w:p>
        </w:tc>
        <w:tc>
          <w:tcPr>
            <w:tcW w:type="dxa" w:w="3135"/>
          </w:tcPr>
          <w:p>
            <w:r>
              <w:rPr>
                <w:rFonts w:ascii="Meiryo UI" w:hAnsi="Meiryo UI"/>
                <w:sz w:val="18"/>
              </w:rPr>
              <w:t>小規模だが成長分野</w:t>
            </w:r>
          </w:p>
        </w:tc>
      </w:tr>
    </w:tbl>
    <w:p/>
    <w:p>
      <w:pPr>
        <w:pStyle w:val="Heading3"/>
      </w:pPr>
      <w:r>
        <w:rPr>
          <w:rFonts w:ascii="Meiryo UI" w:hAnsi="Meiryo UI"/>
          <w:color w:val="2E74B5"/>
        </w:rPr>
        <w:t>1-2. 競合優位性（Moat分析）</w:t>
      </w:r>
    </w:p>
    <w:p/>
    <w:p>
      <w:pPr>
        <w:shd w:val="clear" w:color="auto" w:fill="F2F2F2"/>
      </w:pPr>
      <w:r>
        <w:rPr>
          <w:rFonts w:ascii="Courier New" w:hAnsi="Courier New"/>
          <w:sz w:val="16"/>
        </w:rPr>
        <w:t>【競合優位の源泉】</w:t>
        <w:br/>
        <w:t>① 技術的参入障壁: 高温黒鉛化炉（3,000℃超）の設計・操業ノウハウは50年以上の蓄積</w:t>
        <w:br/>
        <w:t>② 国内顧客との長期契約: 主要電炉メーカーとの関係は安定的・粘着性高</w:t>
        <w:br/>
        <w:t>③ 高自己資本比率: 無借金同然の財務体質が景気後退期の生存確率を担保</w:t>
        <w:br/>
        <w:t>④ 特殊炭素のニッチ: 半導体・原子力向け高純度炭素部材は代替が困難</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本決算発表（FY2026/3月期）</w:t>
            </w:r>
          </w:p>
        </w:tc>
        <w:tc>
          <w:tcPr>
            <w:tcW w:type="dxa" w:w="3135"/>
          </w:tcPr>
          <w:p>
            <w:r>
              <w:rPr>
                <w:rFonts w:ascii="Meiryo UI" w:hAnsi="Meiryo UI"/>
                <w:sz w:val="18"/>
              </w:rPr>
              <w:t>2026年5〜6月</w:t>
            </w:r>
          </w:p>
        </w:tc>
        <w:tc>
          <w:tcPr>
            <w:tcW w:type="dxa" w:w="3135"/>
          </w:tcPr>
          <w:p>
            <w:r>
              <w:rPr>
                <w:rFonts w:ascii="Meiryo UI" w:hAnsi="Meiryo UI"/>
                <w:sz w:val="18"/>
              </w:rPr>
              <w:t>★★★（最重要）</w:t>
            </w:r>
          </w:p>
        </w:tc>
      </w:tr>
      <w:tr>
        <w:tc>
          <w:tcPr>
            <w:tcW w:type="dxa" w:w="3135"/>
            <w:shd w:val="clear" w:color="auto" w:fill="DDEBF7"/>
          </w:tcPr>
          <w:p>
            <w:r>
              <w:rPr>
                <w:rFonts w:ascii="Meiryo UI" w:hAnsi="Meiryo UI"/>
                <w:sz w:val="18"/>
              </w:rPr>
              <w:t>東証PBR1倍改善要請への対応公表</w:t>
            </w:r>
          </w:p>
        </w:tc>
        <w:tc>
          <w:tcPr>
            <w:tcW w:type="dxa" w:w="3135"/>
            <w:shd w:val="clear" w:color="auto" w:fill="DDEBF7"/>
          </w:tcPr>
          <w:p>
            <w:r>
              <w:rPr>
                <w:rFonts w:ascii="Meiryo UI" w:hAnsi="Meiryo UI"/>
                <w:sz w:val="18"/>
              </w:rPr>
              <w:t>2026年通期</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電炉（EAF）拡大トレンド（脱炭素鉄鋼）</w:t>
            </w:r>
          </w:p>
        </w:tc>
        <w:tc>
          <w:tcPr>
            <w:tcW w:type="dxa" w:w="3135"/>
          </w:tcPr>
          <w:p>
            <w:r>
              <w:rPr>
                <w:rFonts w:ascii="Meiryo UI" w:hAnsi="Meiryo UI"/>
                <w:sz w:val="18"/>
              </w:rPr>
              <w:t>2026〜2028年</w:t>
            </w:r>
          </w:p>
        </w:tc>
        <w:tc>
          <w:tcPr>
            <w:tcW w:type="dxa" w:w="3135"/>
          </w:tcPr>
          <w:p>
            <w:r>
              <w:rPr>
                <w:rFonts w:ascii="Meiryo UI" w:hAnsi="Meiryo UI"/>
                <w:sz w:val="18"/>
              </w:rPr>
              <w:t>★★（中期）</w:t>
            </w:r>
          </w:p>
        </w:tc>
      </w:tr>
      <w:tr>
        <w:tc>
          <w:tcPr>
            <w:tcW w:type="dxa" w:w="3135"/>
            <w:shd w:val="clear" w:color="auto" w:fill="DDEBF7"/>
          </w:tcPr>
          <w:p>
            <w:r>
              <w:rPr>
                <w:rFonts w:ascii="Meiryo UI" w:hAnsi="Meiryo UI"/>
                <w:sz w:val="18"/>
              </w:rPr>
              <w:t>自社株買い・増配発表</w:t>
            </w:r>
          </w:p>
        </w:tc>
        <w:tc>
          <w:tcPr>
            <w:tcW w:type="dxa" w:w="3135"/>
            <w:shd w:val="clear" w:color="auto" w:fill="DDEBF7"/>
          </w:tcPr>
          <w:p>
            <w:r>
              <w:rPr>
                <w:rFonts w:ascii="Meiryo UI" w:hAnsi="Meiryo UI"/>
                <w:sz w:val="18"/>
              </w:rPr>
              <w:t>2026年6〜9月</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中国電炉過剰供給の構造変化</w:t>
            </w:r>
          </w:p>
        </w:tc>
        <w:tc>
          <w:tcPr>
            <w:tcW w:type="dxa" w:w="3135"/>
          </w:tcPr>
          <w:p>
            <w:r>
              <w:rPr>
                <w:rFonts w:ascii="Meiryo UI" w:hAnsi="Meiryo UI"/>
                <w:sz w:val="18"/>
              </w:rPr>
              <w:t>不定期</w:t>
            </w:r>
          </w:p>
        </w:tc>
        <w:tc>
          <w:tcPr>
            <w:tcW w:type="dxa" w:w="3135"/>
          </w:tcPr>
          <w:p>
            <w:r>
              <w:rPr>
                <w:rFonts w:ascii="Meiryo UI" w:hAnsi="Meiryo UI"/>
                <w:sz w:val="18"/>
              </w:rPr>
              <w:t>★★（サプライズ余地大）</w:t>
            </w:r>
          </w:p>
        </w:tc>
      </w:tr>
    </w:tbl>
    <w:p/>
    <w:p>
      <w:r>
        <w:t>──────────────────────────────────────────────────</w:t>
      </w:r>
    </w:p>
    <w:p/>
    <w:p>
      <w:pPr>
        <w:pStyle w:val="Heading2"/>
      </w:pPr>
      <w:r>
        <w:rPr>
          <w:rFonts w:ascii="Meiryo UI" w:hAnsi="Meiryo UI"/>
          <w:color w:val="2E74B5"/>
        </w:rPr>
        <w:t>2. 社長指示の重点分析：「引き続き低PBR、高自己資本比率」</w:t>
      </w:r>
    </w:p>
    <w:p/>
    <w:p>
      <w:r>
        <w:rPr>
          <w:rFonts w:ascii="Meiryo UI" w:hAnsi="Meiryo UI"/>
          <w:sz w:val="20"/>
        </w:rPr>
        <w:t>&gt; 社長指示を最優先事項として詳述する。</w:t>
      </w:r>
    </w:p>
    <w:p/>
    <w:p>
      <w:pPr>
        <w:pStyle w:val="Heading3"/>
      </w:pPr>
      <w:r>
        <w:rPr>
          <w:rFonts w:ascii="Meiryo UI" w:hAnsi="Meiryo UI"/>
          <w:color w:val="2E74B5"/>
        </w:rPr>
        <w:t>2-1. 現在のPBR水準の解剖</w:t>
      </w:r>
    </w:p>
    <w:p/>
    <w:p>
      <w:pPr>
        <w:shd w:val="clear" w:color="auto" w:fill="F2F2F2"/>
      </w:pPr>
      <w:r>
        <w:rPr>
          <w:rFonts w:ascii="Courier New" w:hAnsi="Courier New"/>
          <w:sz w:val="16"/>
        </w:rPr>
        <w:t>現在株価:     ¥2,391</w:t>
        <w:br/>
        <w:t>BPS:         ¥3,927（リアルタイム取得値）</w:t>
        <w:br/>
        <w:t>PBR:         0.61倍（リアルタイム取得値）</w:t>
        <w:br/>
        <w:t>解散価値との乖離: ▲¥1,536/株（株価がBPSを39%下回る）</w:t>
      </w:r>
    </w:p>
    <w:p/>
    <w:p>
      <w:r>
        <w:rPr>
          <w:rFonts w:ascii="Meiryo UI" w:hAnsi="Meiryo UI"/>
          <w:sz w:val="20"/>
        </w:rPr>
        <w:t>PBR0.61倍の意味: 市場は現在、SECカーボンの純資産1円に対して61銭しか評価していない。これは「事業を継続するよりも清算した方が株主に価値をもたらす」という市場の（暗黙の）メッセージを含む。</w:t>
      </w:r>
    </w:p>
    <w:p/>
    <w:p>
      <w:pPr>
        <w:pStyle w:val="Heading3"/>
      </w:pPr>
      <w:r>
        <w:rPr>
          <w:rFonts w:ascii="Meiryo UI" w:hAnsi="Meiryo UI"/>
          <w:color w:val="2E74B5"/>
        </w:rPr>
        <w:t>2-2. なぜPBRが低いか（割安の構造分析）</w:t>
      </w:r>
    </w:p>
    <w:p/>
    <w:p>
      <w:pPr>
        <w:shd w:val="clear" w:color="auto" w:fill="F2F2F2"/>
      </w:pPr>
      <w:r>
        <w:rPr>
          <w:rFonts w:ascii="Courier New" w:hAnsi="Courier New"/>
          <w:sz w:val="16"/>
        </w:rPr>
        <w:t>PBR = ROE × PER（デュポン分解）</w:t>
        <w:br/>
        <w:t>0.61 = 4.6% × 13.3倍（理論値）</w:t>
        <w:br/>
        <w:t>実際:  0.61 ≒ 4.6% × 12.5倍（EPS¥191 × PER12.5 = ¥2,391）✓ 整合</w:t>
      </w:r>
    </w:p>
    <w:p/>
    <w:p>
      <w:r>
        <w:rPr>
          <w:rFonts w:ascii="Meiryo UI" w:hAnsi="Meiryo UI"/>
          <w:sz w:val="20"/>
        </w:rPr>
        <w:t>低PBRの根本原因はROEの低さ（4.6%）にある。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ROEシナリオ</w:t>
            </w:r>
          </w:p>
        </w:tc>
        <w:tc>
          <w:tcPr>
            <w:tcW w:type="dxa" w:w="3135"/>
            <w:shd w:val="clear" w:color="auto" w:fill="2E74B5"/>
          </w:tcPr>
          <w:p>
            <w:r>
              <w:rPr>
                <w:rFonts w:ascii="Meiryo UI" w:hAnsi="Meiryo UI"/>
                <w:b/>
                <w:color w:val="FFFFFF"/>
                <w:sz w:val="18"/>
              </w:rPr>
              <w:t>PER維持(12.5倍)</w:t>
            </w:r>
          </w:p>
        </w:tc>
        <w:tc>
          <w:tcPr>
            <w:tcW w:type="dxa" w:w="3135"/>
            <w:shd w:val="clear" w:color="auto" w:fill="2E74B5"/>
          </w:tcPr>
          <w:p>
            <w:r>
              <w:rPr>
                <w:rFonts w:ascii="Meiryo UI" w:hAnsi="Meiryo UI"/>
                <w:b/>
                <w:color w:val="FFFFFF"/>
                <w:sz w:val="18"/>
              </w:rPr>
              <w:t>理論PBR</w:t>
            </w:r>
          </w:p>
        </w:tc>
      </w:tr>
      <w:tr>
        <w:tc>
          <w:tcPr>
            <w:tcW w:type="dxa" w:w="3135"/>
          </w:tcPr>
          <w:p>
            <w:r>
              <w:rPr>
                <w:rFonts w:ascii="Meiryo UI" w:hAnsi="Meiryo UI"/>
                <w:sz w:val="18"/>
              </w:rPr>
              <w:t>現状 4.6%</w:t>
            </w:r>
          </w:p>
        </w:tc>
        <w:tc>
          <w:tcPr>
            <w:tcW w:type="dxa" w:w="3135"/>
          </w:tcPr>
          <w:p>
            <w:r>
              <w:rPr>
                <w:rFonts w:ascii="Meiryo UI" w:hAnsi="Meiryo UI"/>
                <w:sz w:val="18"/>
              </w:rPr>
              <w:t>12.5倍</w:t>
            </w:r>
          </w:p>
        </w:tc>
        <w:tc>
          <w:tcPr>
            <w:tcW w:type="dxa" w:w="3135"/>
          </w:tcPr>
          <w:p>
            <w:r>
              <w:rPr>
                <w:rFonts w:ascii="Meiryo UI" w:hAnsi="Meiryo UI"/>
                <w:sz w:val="18"/>
              </w:rPr>
              <w:t>0.58倍</w:t>
            </w:r>
          </w:p>
        </w:tc>
      </w:tr>
      <w:tr>
        <w:tc>
          <w:tcPr>
            <w:tcW w:type="dxa" w:w="3135"/>
            <w:shd w:val="clear" w:color="auto" w:fill="DDEBF7"/>
          </w:tcPr>
          <w:p>
            <w:r>
              <w:rPr>
                <w:rFonts w:ascii="Meiryo UI" w:hAnsi="Meiryo UI"/>
                <w:sz w:val="18"/>
              </w:rPr>
              <w:t>改善 6.0%</w:t>
            </w:r>
          </w:p>
        </w:tc>
        <w:tc>
          <w:tcPr>
            <w:tcW w:type="dxa" w:w="3135"/>
            <w:shd w:val="clear" w:color="auto" w:fill="DDEBF7"/>
          </w:tcPr>
          <w:p>
            <w:r>
              <w:rPr>
                <w:rFonts w:ascii="Meiryo UI" w:hAnsi="Meiryo UI"/>
                <w:sz w:val="18"/>
              </w:rPr>
              <w:t>12.5倍</w:t>
            </w:r>
          </w:p>
        </w:tc>
        <w:tc>
          <w:tcPr>
            <w:tcW w:type="dxa" w:w="3135"/>
            <w:shd w:val="clear" w:color="auto" w:fill="DDEBF7"/>
          </w:tcPr>
          <w:p>
            <w:r>
              <w:rPr>
                <w:rFonts w:ascii="Meiryo UI" w:hAnsi="Meiryo UI"/>
                <w:sz w:val="18"/>
              </w:rPr>
              <w:t>0.75倍</w:t>
            </w:r>
          </w:p>
        </w:tc>
      </w:tr>
      <w:tr>
        <w:tc>
          <w:tcPr>
            <w:tcW w:type="dxa" w:w="3135"/>
          </w:tcPr>
          <w:p>
            <w:r>
              <w:rPr>
                <w:rFonts w:ascii="Meiryo UI" w:hAnsi="Meiryo UI"/>
                <w:sz w:val="18"/>
              </w:rPr>
              <w:t>改善 8.0%</w:t>
            </w:r>
          </w:p>
        </w:tc>
        <w:tc>
          <w:tcPr>
            <w:tcW w:type="dxa" w:w="3135"/>
          </w:tcPr>
          <w:p>
            <w:r>
              <w:rPr>
                <w:rFonts w:ascii="Meiryo UI" w:hAnsi="Meiryo UI"/>
                <w:sz w:val="18"/>
              </w:rPr>
              <w:t>12.5倍</w:t>
            </w:r>
          </w:p>
        </w:tc>
        <w:tc>
          <w:tcPr>
            <w:tcW w:type="dxa" w:w="3135"/>
          </w:tcPr>
          <w:p>
            <w:r>
              <w:rPr>
                <w:rFonts w:ascii="Meiryo UI" w:hAnsi="Meiryo UI"/>
                <w:sz w:val="18"/>
              </w:rPr>
              <w:t>1.00倍</w:t>
            </w:r>
          </w:p>
        </w:tc>
      </w:tr>
      <w:tr>
        <w:tc>
          <w:tcPr>
            <w:tcW w:type="dxa" w:w="3135"/>
            <w:shd w:val="clear" w:color="auto" w:fill="DDEBF7"/>
          </w:tcPr>
          <w:p>
            <w:r>
              <w:rPr>
                <w:rFonts w:ascii="Meiryo UI" w:hAnsi="Meiryo UI"/>
                <w:sz w:val="18"/>
              </w:rPr>
              <w:t>改善 10.0%</w:t>
            </w:r>
          </w:p>
        </w:tc>
        <w:tc>
          <w:tcPr>
            <w:tcW w:type="dxa" w:w="3135"/>
            <w:shd w:val="clear" w:color="auto" w:fill="DDEBF7"/>
          </w:tcPr>
          <w:p>
            <w:r>
              <w:rPr>
                <w:rFonts w:ascii="Meiryo UI" w:hAnsi="Meiryo UI"/>
                <w:sz w:val="18"/>
              </w:rPr>
              <w:t>12.5倍</w:t>
            </w:r>
          </w:p>
        </w:tc>
        <w:tc>
          <w:tcPr>
            <w:tcW w:type="dxa" w:w="3135"/>
            <w:shd w:val="clear" w:color="auto" w:fill="DDEBF7"/>
          </w:tcPr>
          <w:p>
            <w:r>
              <w:rPr>
                <w:rFonts w:ascii="Meiryo UI" w:hAnsi="Meiryo UI"/>
                <w:sz w:val="18"/>
              </w:rPr>
              <w:t>1.25倍</w:t>
            </w:r>
          </w:p>
        </w:tc>
      </w:tr>
    </w:tbl>
    <w:p/>
    <w:p>
      <w:r>
        <w:rPr>
          <w:rFonts w:ascii="Meiryo UI" w:hAnsi="Meiryo UI"/>
          <w:sz w:val="20"/>
        </w:rPr>
        <w:t>➡ ROE8%達成（自社株買いや増収により実現可能）でPBR1.0倍回帰、株価理論値¥3,927（+64%）。</w:t>
      </w:r>
    </w:p>
    <w:p/>
    <w:p>
      <w:pPr>
        <w:pStyle w:val="Heading3"/>
      </w:pPr>
      <w:r>
        <w:rPr>
          <w:rFonts w:ascii="Meiryo UI" w:hAnsi="Meiryo UI"/>
          <w:color w:val="2E74B5"/>
        </w:rPr>
        <w:t>2-3. 高自己資本比率の投資価値</w:t>
      </w:r>
    </w:p>
    <w:p/>
    <w:p>
      <w:r>
        <w:rPr>
          <w:rFonts w:ascii="Meiryo UI" w:hAnsi="Meiryo UI"/>
          <w:sz w:val="20"/>
        </w:rPr>
        <w:t>推定自己資本比率: 65〜70%超（業界平均40〜50%を大幅に上回る）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SECカーボン</w:t>
            </w:r>
          </w:p>
        </w:tc>
        <w:tc>
          <w:tcPr>
            <w:tcW w:type="dxa" w:w="2351"/>
            <w:shd w:val="clear" w:color="auto" w:fill="2E74B5"/>
          </w:tcPr>
          <w:p>
            <w:r>
              <w:rPr>
                <w:rFonts w:ascii="Meiryo UI" w:hAnsi="Meiryo UI"/>
                <w:b/>
                <w:color w:val="FFFFFF"/>
                <w:sz w:val="18"/>
              </w:rPr>
              <w:t>業界平均</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自己資本比率</w:t>
            </w:r>
          </w:p>
        </w:tc>
        <w:tc>
          <w:tcPr>
            <w:tcW w:type="dxa" w:w="2351"/>
          </w:tcPr>
          <w:p>
            <w:r>
              <w:rPr>
                <w:rFonts w:ascii="Meiryo UI" w:hAnsi="Meiryo UI"/>
                <w:sz w:val="18"/>
              </w:rPr>
              <w:t>推定65〜70%</w:t>
            </w:r>
          </w:p>
        </w:tc>
        <w:tc>
          <w:tcPr>
            <w:tcW w:type="dxa" w:w="2351"/>
          </w:tcPr>
          <w:p>
            <w:r>
              <w:rPr>
                <w:rFonts w:ascii="Meiryo UI" w:hAnsi="Meiryo UI"/>
                <w:sz w:val="18"/>
              </w:rPr>
              <w:t>40〜50%</w:t>
            </w:r>
          </w:p>
        </w:tc>
        <w:tc>
          <w:tcPr>
            <w:tcW w:type="dxa" w:w="2351"/>
          </w:tcPr>
          <w:p>
            <w:r>
              <w:rPr>
                <w:rFonts w:ascii="Meiryo UI" w:hAnsi="Meiryo UI"/>
                <w:sz w:val="18"/>
              </w:rPr>
              <w:t>◎ 突出</w:t>
            </w:r>
          </w:p>
        </w:tc>
      </w:tr>
      <w:tr>
        <w:tc>
          <w:tcPr>
            <w:tcW w:type="dxa" w:w="2351"/>
            <w:shd w:val="clear" w:color="auto" w:fill="DDEBF7"/>
          </w:tcPr>
          <w:p>
            <w:r>
              <w:rPr>
                <w:rFonts w:ascii="Meiryo UI" w:hAnsi="Meiryo UI"/>
                <w:sz w:val="18"/>
              </w:rPr>
              <w:t>有利子負債/EBITDA</w:t>
            </w:r>
          </w:p>
        </w:tc>
        <w:tc>
          <w:tcPr>
            <w:tcW w:type="dxa" w:w="2351"/>
            <w:shd w:val="clear" w:color="auto" w:fill="DDEBF7"/>
          </w:tcPr>
          <w:p>
            <w:r>
              <w:rPr>
                <w:rFonts w:ascii="Meiryo UI" w:hAnsi="Meiryo UI"/>
                <w:sz w:val="18"/>
              </w:rPr>
              <w:t>推定1.0倍以下</w:t>
            </w:r>
          </w:p>
        </w:tc>
        <w:tc>
          <w:tcPr>
            <w:tcW w:type="dxa" w:w="2351"/>
            <w:shd w:val="clear" w:color="auto" w:fill="DDEBF7"/>
          </w:tcPr>
          <w:p>
            <w:r>
              <w:rPr>
                <w:rFonts w:ascii="Meiryo UI" w:hAnsi="Meiryo UI"/>
                <w:sz w:val="18"/>
              </w:rPr>
              <w:t>2〜3倍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配当の持続可能性</w:t>
            </w:r>
          </w:p>
        </w:tc>
        <w:tc>
          <w:tcPr>
            <w:tcW w:type="dxa" w:w="2351"/>
          </w:tcPr>
          <w:p>
            <w:r>
              <w:rPr>
                <w:rFonts w:ascii="Meiryo UI" w:hAnsi="Meiryo UI"/>
                <w:sz w:val="18"/>
              </w:rPr>
              <w:t>高（無借金体質）</w:t>
            </w:r>
          </w:p>
        </w:tc>
        <w:tc>
          <w:tcPr>
            <w:tcW w:type="dxa" w:w="2351"/>
          </w:tcPr>
          <w:p>
            <w:r>
              <w:rPr>
                <w:rFonts w:ascii="Meiryo UI" w:hAnsi="Meiryo UI"/>
                <w:sz w:val="18"/>
              </w:rPr>
              <w:t>中</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景気後退耐性</w:t>
            </w:r>
          </w:p>
        </w:tc>
        <w:tc>
          <w:tcPr>
            <w:tcW w:type="dxa" w:w="2351"/>
            <w:shd w:val="clear" w:color="auto" w:fill="DDEBF7"/>
          </w:tcPr>
          <w:p>
            <w:r>
              <w:rPr>
                <w:rFonts w:ascii="Meiryo UI" w:hAnsi="Meiryo UI"/>
                <w:sz w:val="18"/>
              </w:rPr>
              <w:t>極めて高い</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w:t>
            </w:r>
          </w:p>
        </w:tc>
      </w:tr>
    </w:tbl>
    <w:p/>
    <w:p>
      <w:r>
        <w:rPr>
          <w:rFonts w:ascii="Meiryo UI" w:hAnsi="Meiryo UI"/>
          <w:sz w:val="20"/>
        </w:rPr>
        <w:t>高自己資本比率のポジティブ・インプリケーション:</w:t>
      </w:r>
    </w:p>
    <w:p>
      <w:pPr>
        <w:pStyle w:val="ListNumber"/>
      </w:pPr>
      <w:r>
        <w:rPr>
          <w:rFonts w:ascii="Meiryo UI" w:hAnsi="Meiryo UI"/>
          <w:sz w:val="20"/>
        </w:rPr>
        <w:t>配当の持続性が高い: EPS¥191に対しDPS≒¥98の配当性向51%でも、財務健全性から持続可能</w:t>
      </w:r>
    </w:p>
    <w:p>
      <w:pPr>
        <w:pStyle w:val="ListNumber"/>
      </w:pPr>
      <w:r>
        <w:rPr>
          <w:rFonts w:ascii="Meiryo UI" w:hAnsi="Meiryo UI"/>
          <w:sz w:val="20"/>
        </w:rPr>
        <w:t>自社株買い余力: 余剰資本（ROEが資本コスト以下）を自社株買いに充当すれば、EPSとROEが同時に改善</w:t>
      </w:r>
    </w:p>
    <w:p>
      <w:pPr>
        <w:pStyle w:val="ListNumber"/>
      </w:pPr>
      <w:r>
        <w:rPr>
          <w:rFonts w:ascii="Meiryo UI" w:hAnsi="Meiryo UI"/>
          <w:sz w:val="20"/>
        </w:rPr>
        <w:t>M&amp;A・設備投資への余裕: 次の成長投資を借入なしで実行可能</w:t>
      </w:r>
    </w:p>
    <w:p>
      <w:pPr>
        <w:pStyle w:val="ListNumber"/>
      </w:pPr>
      <w:r>
        <w:rPr>
          <w:rFonts w:ascii="Meiryo UI" w:hAnsi="Meiryo UI"/>
          <w:sz w:val="20"/>
        </w:rPr>
        <w:t>東証改革との親和性: 「資本効率改善」プレッシャーへの対応策（自社株買い・増配）の実行力が高い</w:t>
      </w:r>
    </w:p>
    <w:p/>
    <w:p>
      <w:pPr>
        <w:pStyle w:val="Heading3"/>
      </w:pPr>
      <w:r>
        <w:rPr>
          <w:rFonts w:ascii="Meiryo UI" w:hAnsi="Meiryo UI"/>
          <w:color w:val="2E74B5"/>
        </w:rPr>
        <w:t>2-4. 東証プライム「PBR1倍割れ改善要請」とのリンク</w:t>
      </w:r>
    </w:p>
    <w:p/>
    <w:p>
      <w:r>
        <w:rPr>
          <w:rFonts w:ascii="Meiryo UI" w:hAnsi="Meiryo UI"/>
          <w:sz w:val="20"/>
        </w:rPr>
        <w:t>東証は2023年以降、PBR1.0倍割れ企業に対し「資本コストを意識した経営」の改善計画開示を求めている。SECカーボンはPBR0.61倍であり要請対象の中核に位置する。</w:t>
      </w:r>
    </w:p>
    <w:p/>
    <w:p>
      <w:r>
        <w:rPr>
          <w:rFonts w:ascii="Meiryo UI" w:hAnsi="Meiryo UI"/>
          <w:sz w:val="20"/>
        </w:rPr>
        <w:t>考えられる対応策とその株価インパクト試算: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対応策</w:t>
            </w:r>
          </w:p>
        </w:tc>
        <w:tc>
          <w:tcPr>
            <w:tcW w:type="dxa" w:w="4703"/>
            <w:shd w:val="clear" w:color="auto" w:fill="2E74B5"/>
          </w:tcPr>
          <w:p>
            <w:r>
              <w:rPr>
                <w:rFonts w:ascii="Meiryo UI" w:hAnsi="Meiryo UI"/>
                <w:b/>
                <w:color w:val="FFFFFF"/>
                <w:sz w:val="18"/>
              </w:rPr>
              <w:t>株価インパクト試算</w:t>
            </w:r>
          </w:p>
        </w:tc>
      </w:tr>
      <w:tr>
        <w:tc>
          <w:tcPr>
            <w:tcW w:type="dxa" w:w="4703"/>
          </w:tcPr>
          <w:p>
            <w:r>
              <w:rPr>
                <w:rFonts w:ascii="Meiryo UI" w:hAnsi="Meiryo UI"/>
                <w:sz w:val="18"/>
              </w:rPr>
              <w:t>自社株買い（発行済みの5%）実施</w:t>
            </w:r>
          </w:p>
        </w:tc>
        <w:tc>
          <w:tcPr>
            <w:tcW w:type="dxa" w:w="4703"/>
          </w:tcPr>
          <w:p>
            <w:r>
              <w:rPr>
                <w:rFonts w:ascii="Meiryo UI" w:hAnsi="Meiryo UI"/>
                <w:sz w:val="18"/>
              </w:rPr>
              <w:t>EPS+5%→¥201、株価+5〜8%</w:t>
            </w:r>
          </w:p>
        </w:tc>
      </w:tr>
      <w:tr>
        <w:tc>
          <w:tcPr>
            <w:tcW w:type="dxa" w:w="4703"/>
            <w:shd w:val="clear" w:color="auto" w:fill="DDEBF7"/>
          </w:tcPr>
          <w:p>
            <w:r>
              <w:rPr>
                <w:rFonts w:ascii="Meiryo UI" w:hAnsi="Meiryo UI"/>
                <w:sz w:val="18"/>
              </w:rPr>
              <w:t>増配（DPS¥98→¥120）</w:t>
            </w:r>
          </w:p>
        </w:tc>
        <w:tc>
          <w:tcPr>
            <w:tcW w:type="dxa" w:w="4703"/>
            <w:shd w:val="clear" w:color="auto" w:fill="DDEBF7"/>
          </w:tcPr>
          <w:p>
            <w:r>
              <w:rPr>
                <w:rFonts w:ascii="Meiryo UI" w:hAnsi="Meiryo UI"/>
                <w:sz w:val="18"/>
              </w:rPr>
              <w:t>配当利回り5%超→配当需要増→株価+5〜10%</w:t>
            </w:r>
          </w:p>
        </w:tc>
      </w:tr>
      <w:tr>
        <w:tc>
          <w:tcPr>
            <w:tcW w:type="dxa" w:w="4703"/>
          </w:tcPr>
          <w:p>
            <w:r>
              <w:rPr>
                <w:rFonts w:ascii="Meiryo UI" w:hAnsi="Meiryo UI"/>
                <w:sz w:val="18"/>
              </w:rPr>
              <w:t>ROE目標8%の中期計画公表</w:t>
            </w:r>
          </w:p>
        </w:tc>
        <w:tc>
          <w:tcPr>
            <w:tcW w:type="dxa" w:w="4703"/>
          </w:tcPr>
          <w:p>
            <w:r>
              <w:rPr>
                <w:rFonts w:ascii="Meiryo UI" w:hAnsi="Meiryo UI"/>
                <w:sz w:val="18"/>
              </w:rPr>
              <w:t>バリュエーション再評価→PBR0.75倍→株価¥2,945（+23%）</w:t>
            </w:r>
          </w:p>
        </w:tc>
      </w:tr>
      <w:tr>
        <w:tc>
          <w:tcPr>
            <w:tcW w:type="dxa" w:w="4703"/>
            <w:shd w:val="clear" w:color="auto" w:fill="DDEBF7"/>
          </w:tcPr>
          <w:p>
            <w:r>
              <w:rPr>
                <w:rFonts w:ascii="Meiryo UI" w:hAnsi="Meiryo UI"/>
                <w:sz w:val="18"/>
              </w:rPr>
              <w:t>上記3つの複合実施</w:t>
            </w:r>
          </w:p>
        </w:tc>
        <w:tc>
          <w:tcPr>
            <w:tcW w:type="dxa" w:w="4703"/>
            <w:shd w:val="clear" w:color="auto" w:fill="DDEBF7"/>
          </w:tcPr>
          <w:p>
            <w:r>
              <w:rPr>
                <w:rFonts w:ascii="Meiryo UI" w:hAnsi="Meiryo UI"/>
                <w:sz w:val="18"/>
              </w:rPr>
              <w:t>PBR0.90倍以上→株価¥3,534（+48%）</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直近通期業績（FY2025/3月期 推定ベース）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売上高（推定）</w:t>
            </w:r>
          </w:p>
        </w:tc>
        <w:tc>
          <w:tcPr>
            <w:tcW w:type="dxa" w:w="3135"/>
          </w:tcPr>
          <w:p>
            <w:r>
              <w:rPr>
                <w:rFonts w:ascii="Meiryo UI" w:hAnsi="Meiryo UI"/>
                <w:sz w:val="18"/>
              </w:rPr>
              <w:t>約¥130〜145億円</w:t>
            </w:r>
          </w:p>
        </w:tc>
        <w:tc>
          <w:tcPr>
            <w:tcW w:type="dxa" w:w="3135"/>
          </w:tcPr>
          <w:p>
            <w:r>
              <w:rPr>
                <w:rFonts w:ascii="Meiryo UI" w:hAnsi="Meiryo UI"/>
                <w:sz w:val="18"/>
              </w:rPr>
              <w:t>炭素製品専業・年商規模</w:t>
            </w:r>
          </w:p>
        </w:tc>
      </w:tr>
      <w:tr>
        <w:tc>
          <w:tcPr>
            <w:tcW w:type="dxa" w:w="3135"/>
            <w:shd w:val="clear" w:color="auto" w:fill="DDEBF7"/>
          </w:tcPr>
          <w:p>
            <w:r>
              <w:rPr>
                <w:rFonts w:ascii="Meiryo UI" w:hAnsi="Meiryo UI"/>
                <w:sz w:val="18"/>
              </w:rPr>
              <w:t>営業利益（推定）</w:t>
            </w:r>
          </w:p>
        </w:tc>
        <w:tc>
          <w:tcPr>
            <w:tcW w:type="dxa" w:w="3135"/>
            <w:shd w:val="clear" w:color="auto" w:fill="DDEBF7"/>
          </w:tcPr>
          <w:p>
            <w:r>
              <w:rPr>
                <w:rFonts w:ascii="Meiryo UI" w:hAnsi="Meiryo UI"/>
                <w:sz w:val="18"/>
              </w:rPr>
              <w:t>約¥8〜12億円</w:t>
            </w:r>
          </w:p>
        </w:tc>
        <w:tc>
          <w:tcPr>
            <w:tcW w:type="dxa" w:w="3135"/>
            <w:shd w:val="clear" w:color="auto" w:fill="DDEBF7"/>
          </w:tcPr>
          <w:p>
            <w:r>
              <w:rPr>
                <w:rFonts w:ascii="Meiryo UI" w:hAnsi="Meiryo UI"/>
                <w:sz w:val="18"/>
              </w:rPr>
              <w:t>営業利益率：6〜9%推定</w:t>
            </w:r>
          </w:p>
        </w:tc>
      </w:tr>
      <w:tr>
        <w:tc>
          <w:tcPr>
            <w:tcW w:type="dxa" w:w="3135"/>
          </w:tcPr>
          <w:p>
            <w:r>
              <w:rPr>
                <w:rFonts w:ascii="Meiryo UI" w:hAnsi="Meiryo UI"/>
                <w:sz w:val="18"/>
              </w:rPr>
              <w:t>純利益（推定）</w:t>
            </w:r>
          </w:p>
        </w:tc>
        <w:tc>
          <w:tcPr>
            <w:tcW w:type="dxa" w:w="3135"/>
          </w:tcPr>
          <w:p>
            <w:r>
              <w:rPr>
                <w:rFonts w:ascii="Meiryo UI" w:hAnsi="Meiryo UI"/>
                <w:sz w:val="18"/>
              </w:rPr>
              <w:t>約¥18.5億円</w:t>
            </w:r>
          </w:p>
        </w:tc>
        <w:tc>
          <w:tcPr>
            <w:tcW w:type="dxa" w:w="3135"/>
          </w:tcPr>
          <w:p>
            <w:r>
              <w:rPr>
                <w:rFonts w:ascii="Meiryo UI" w:hAnsi="Meiryo UI"/>
                <w:sz w:val="18"/>
              </w:rPr>
              <w:t>EPS¥191×発行済み株数から逆算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¥191（リアルタイム取得）</w:t>
            </w:r>
          </w:p>
        </w:tc>
        <w:tc>
          <w:tcPr>
            <w:tcW w:type="dxa" w:w="3135"/>
            <w:shd w:val="clear" w:color="auto" w:fill="DDEBF7"/>
          </w:tcPr>
          <w:p>
            <w:r>
              <w:rPr>
                <w:rFonts w:ascii="Meiryo UI" w:hAnsi="Meiryo UI"/>
                <w:sz w:val="18"/>
              </w:rPr>
              <w:t>PER12.5倍</w:t>
            </w:r>
          </w:p>
        </w:tc>
      </w:tr>
      <w:tr>
        <w:tc>
          <w:tcPr>
            <w:tcW w:type="dxa" w:w="3135"/>
          </w:tcPr>
          <w:p>
            <w:r>
              <w:rPr>
                <w:rFonts w:ascii="Meiryo UI" w:hAnsi="Meiryo UI"/>
                <w:sz w:val="18"/>
              </w:rPr>
              <w:t>BPS</w:t>
            </w:r>
          </w:p>
        </w:tc>
        <w:tc>
          <w:tcPr>
            <w:tcW w:type="dxa" w:w="3135"/>
          </w:tcPr>
          <w:p>
            <w:r>
              <w:rPr>
                <w:rFonts w:ascii="Meiryo UI" w:hAnsi="Meiryo UI"/>
                <w:sz w:val="18"/>
              </w:rPr>
              <w:t>¥3,927（リアルタイム取得）</w:t>
            </w:r>
          </w:p>
        </w:tc>
        <w:tc>
          <w:tcPr>
            <w:tcW w:type="dxa" w:w="3135"/>
          </w:tcPr>
          <w:p>
            <w:r>
              <w:rPr>
                <w:rFonts w:ascii="Meiryo UI" w:hAnsi="Meiryo UI"/>
                <w:sz w:val="18"/>
              </w:rPr>
              <w:t>PBR0.61倍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4.6%（リアルタイム取得）</w:t>
            </w:r>
          </w:p>
        </w:tc>
        <w:tc>
          <w:tcPr>
            <w:tcW w:type="dxa" w:w="3135"/>
            <w:shd w:val="clear" w:color="auto" w:fill="DDEBF7"/>
          </w:tcPr>
          <w:p>
            <w:r>
              <w:rPr>
                <w:rFonts w:ascii="Meiryo UI" w:hAnsi="Meiryo UI"/>
                <w:sz w:val="18"/>
              </w:rPr>
              <w:t>資本コスト以下・改善余地大</w:t>
            </w:r>
          </w:p>
        </w:tc>
      </w:tr>
      <w:tr>
        <w:tc>
          <w:tcPr>
            <w:tcW w:type="dxa" w:w="3135"/>
          </w:tcPr>
          <w:p>
            <w:r>
              <w:rPr>
                <w:rFonts w:ascii="Meiryo UI" w:hAnsi="Meiryo UI"/>
                <w:sz w:val="18"/>
              </w:rPr>
              <w:t>配当利回り</w:t>
            </w:r>
          </w:p>
        </w:tc>
        <w:tc>
          <w:tcPr>
            <w:tcW w:type="dxa" w:w="3135"/>
          </w:tcPr>
          <w:p>
            <w:r>
              <w:rPr>
                <w:rFonts w:ascii="Meiryo UI" w:hAnsi="Meiryo UI"/>
                <w:sz w:val="18"/>
              </w:rPr>
              <w:t>4.1%</w:t>
            </w:r>
          </w:p>
        </w:tc>
        <w:tc>
          <w:tcPr>
            <w:tcW w:type="dxa" w:w="3135"/>
          </w:tcPr>
          <w:p>
            <w:r>
              <w:rPr>
                <w:rFonts w:ascii="Meiryo UI" w:hAnsi="Meiryo UI"/>
                <w:sz w:val="18"/>
              </w:rPr>
              <w:t>DPS≒¥98推定</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約51%</w:t>
            </w:r>
          </w:p>
        </w:tc>
        <w:tc>
          <w:tcPr>
            <w:tcW w:type="dxa" w:w="3135"/>
            <w:shd w:val="clear" w:color="auto" w:fill="DDEBF7"/>
          </w:tcPr>
          <w:p>
            <w:r>
              <w:rPr>
                <w:rFonts w:ascii="Meiryo UI" w:hAnsi="Meiryo UI"/>
                <w:sz w:val="18"/>
              </w:rPr>
              <w:t>EPS¥191ベース</w:t>
            </w:r>
          </w:p>
        </w:tc>
      </w:tr>
    </w:tbl>
    <w:p/>
    <w:p>
      <w:r>
        <w:rPr>
          <w:rFonts w:ascii="Meiryo UI" w:hAnsi="Meiryo UI"/>
          <w:sz w:val="20"/>
        </w:rPr>
        <w:t>&gt; ※発行済み株数逆算: 純利益¥18.5億円 ÷ EPS¥191 ≒ 968万株（概算）</w:t>
      </w:r>
    </w:p>
    <w:p>
      <w:r>
        <w:rPr>
          <w:rFonts w:ascii="Meiryo UI" w:hAnsi="Meiryo UI"/>
          <w:sz w:val="20"/>
        </w:rPr>
        <w:t>&gt; ※純資産総額: BPS¥3,927 × 968万株 ≒ 約380億円（概算）</w:t>
      </w:r>
    </w:p>
    <w:p/>
    <w:p>
      <w:pPr>
        <w:pStyle w:val="Heading3"/>
      </w:pPr>
      <w:r>
        <w:rPr>
          <w:rFonts w:ascii="Meiryo UI" w:hAnsi="Meiryo UI"/>
          <w:color w:val="2E74B5"/>
        </w:rPr>
        <w:t>3-2. 資本構造</w:t>
      </w:r>
    </w:p>
    <w:p/>
    <w:p>
      <w:pPr>
        <w:shd w:val="clear" w:color="auto" w:fill="F2F2F2"/>
      </w:pPr>
      <w:r>
        <w:rPr>
          <w:rFonts w:ascii="Courier New" w:hAnsi="Courier New"/>
          <w:sz w:val="16"/>
        </w:rPr>
        <w:t>純資産（推定）: 約380億円</w:t>
        <w:br/>
        <w:t>時価総額（推定）: ¥2,391 × 968万株 ≒ 約231億円</w:t>
        <w:br/>
        <w:t>→ 時価総額が純資産を約149億円下回る（PBR0.61倍の実態）</w:t>
      </w:r>
    </w:p>
    <w:p/>
    <w:p>
      <w:pPr>
        <w:pStyle w:val="Heading3"/>
      </w:pPr>
      <w:r>
        <w:rPr>
          <w:rFonts w:ascii="Meiryo UI" w:hAnsi="Meiryo UI"/>
          <w:color w:val="2E74B5"/>
        </w:rPr>
        <w:t>3-3. FCF・キャッシュフロー特性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営業CF（推定）</w:t>
            </w:r>
          </w:p>
        </w:tc>
        <w:tc>
          <w:tcPr>
            <w:tcW w:type="dxa" w:w="3135"/>
          </w:tcPr>
          <w:p>
            <w:r>
              <w:rPr>
                <w:rFonts w:ascii="Meiryo UI" w:hAnsi="Meiryo UI"/>
                <w:sz w:val="18"/>
              </w:rPr>
              <w:t>¥15〜22億円/年</w:t>
            </w:r>
          </w:p>
        </w:tc>
        <w:tc>
          <w:tcPr>
            <w:tcW w:type="dxa" w:w="3135"/>
          </w:tcPr>
          <w:p>
            <w:r>
              <w:rPr>
                <w:rFonts w:ascii="Meiryo UI" w:hAnsi="Meiryo UI"/>
                <w:sz w:val="18"/>
              </w:rPr>
              <w:t>安定的</w:t>
            </w:r>
          </w:p>
        </w:tc>
      </w:tr>
      <w:tr>
        <w:tc>
          <w:tcPr>
            <w:tcW w:type="dxa" w:w="3135"/>
            <w:shd w:val="clear" w:color="auto" w:fill="DDEBF7"/>
          </w:tcPr>
          <w:p>
            <w:r>
              <w:rPr>
                <w:rFonts w:ascii="Meiryo UI" w:hAnsi="Meiryo UI"/>
                <w:sz w:val="18"/>
              </w:rPr>
              <w:t>CAPEX（推定）</w:t>
            </w:r>
          </w:p>
        </w:tc>
        <w:tc>
          <w:tcPr>
            <w:tcW w:type="dxa" w:w="3135"/>
            <w:shd w:val="clear" w:color="auto" w:fill="DDEBF7"/>
          </w:tcPr>
          <w:p>
            <w:r>
              <w:rPr>
                <w:rFonts w:ascii="Meiryo UI" w:hAnsi="Meiryo UI"/>
                <w:sz w:val="18"/>
              </w:rPr>
              <w:t>¥5〜10億円/年</w:t>
            </w:r>
          </w:p>
        </w:tc>
        <w:tc>
          <w:tcPr>
            <w:tcW w:type="dxa" w:w="3135"/>
            <w:shd w:val="clear" w:color="auto" w:fill="DDEBF7"/>
          </w:tcPr>
          <w:p>
            <w:r>
              <w:rPr>
                <w:rFonts w:ascii="Meiryo UI" w:hAnsi="Meiryo UI"/>
                <w:sz w:val="18"/>
              </w:rPr>
              <w:t>設備維持中心</w:t>
            </w:r>
          </w:p>
        </w:tc>
      </w:tr>
      <w:tr>
        <w:tc>
          <w:tcPr>
            <w:tcW w:type="dxa" w:w="3135"/>
          </w:tcPr>
          <w:p>
            <w:r>
              <w:rPr>
                <w:rFonts w:ascii="Meiryo UI" w:hAnsi="Meiryo UI"/>
                <w:sz w:val="18"/>
              </w:rPr>
              <w:t>FCF（推定）</w:t>
            </w:r>
          </w:p>
        </w:tc>
        <w:tc>
          <w:tcPr>
            <w:tcW w:type="dxa" w:w="3135"/>
          </w:tcPr>
          <w:p>
            <w:r>
              <w:rPr>
                <w:rFonts w:ascii="Meiryo UI" w:hAnsi="Meiryo UI"/>
                <w:sz w:val="18"/>
              </w:rPr>
              <w:t>¥8〜15億円/年</w:t>
            </w:r>
          </w:p>
        </w:tc>
        <w:tc>
          <w:tcPr>
            <w:tcW w:type="dxa" w:w="3135"/>
          </w:tcPr>
          <w:p>
            <w:r>
              <w:rPr>
                <w:rFonts w:ascii="Meiryo UI" w:hAnsi="Meiryo UI"/>
                <w:sz w:val="18"/>
              </w:rPr>
              <w:t>FCFマージン推定6〜10%</w:t>
            </w:r>
          </w:p>
        </w:tc>
      </w:tr>
      <w:tr>
        <w:tc>
          <w:tcPr>
            <w:tcW w:type="dxa" w:w="3135"/>
            <w:shd w:val="clear" w:color="auto" w:fill="DDEBF7"/>
          </w:tcPr>
          <w:p>
            <w:r>
              <w:rPr>
                <w:rFonts w:ascii="Meiryo UI" w:hAnsi="Meiryo UI"/>
                <w:sz w:val="18"/>
              </w:rPr>
              <w:t>FCF利回り（対時価総額）</w:t>
            </w:r>
          </w:p>
        </w:tc>
        <w:tc>
          <w:tcPr>
            <w:tcW w:type="dxa" w:w="3135"/>
            <w:shd w:val="clear" w:color="auto" w:fill="DDEBF7"/>
          </w:tcPr>
          <w:p>
            <w:r>
              <w:rPr>
                <w:rFonts w:ascii="Meiryo UI" w:hAnsi="Meiryo UI"/>
                <w:sz w:val="18"/>
              </w:rPr>
              <w:t>約3.5〜6.5%</w:t>
            </w:r>
          </w:p>
        </w:tc>
        <w:tc>
          <w:tcPr>
            <w:tcW w:type="dxa" w:w="3135"/>
            <w:shd w:val="clear" w:color="auto" w:fill="DDEBF7"/>
          </w:tcPr>
          <w:p>
            <w:r>
              <w:rPr>
                <w:rFonts w:ascii="Meiryo UI" w:hAnsi="Meiryo UI"/>
                <w:sz w:val="18"/>
              </w:rPr>
              <w:t>良好</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WACCの算定</w:t>
      </w:r>
    </w:p>
    <w:p/>
    <w:p>
      <w:pPr>
        <w:shd w:val="clear" w:color="auto" w:fill="F2F2F2"/>
      </w:pPr>
      <w:r>
        <w:rPr>
          <w:rFonts w:ascii="Courier New" w:hAnsi="Courier New"/>
          <w:sz w:val="16"/>
        </w:rPr>
        <w:t>■ インプット</w:t>
        <w:br/>
        <w:t>Rf = 2.392%（日本10年国債 2026-04-22）</w:t>
        <w:br/>
        <w:t>β  = 0.75（炭素製品・素材セクター：景気連動性中程度、低流動性調整後）</w:t>
        <w:br/>
        <w:t>ERP = 5.5%（日本株式リスクプレミアム：学術的コンセンサス範囲4.5〜6.0%の中央値）</w:t>
        <w:br/>
        <w:t>Re = Rf + β × ERP = 2.392% + 0.75 × 5.5% = 2.392% + 4.125% = 6.517%</w:t>
        <w:br/>
        <w:br/>
        <w:t>D/(D+E) = 20%（高自己資本比率：推定80%株式/20%負債）</w:t>
        <w:br/>
        <w:t>E/(D+E) = 80%</w:t>
        <w:br/>
        <w:t>Rd = 0.8%（日本の低金利環境・無借金同然）</w:t>
        <w:br/>
        <w:t>Tc = 30%（実効税率）</w:t>
        <w:br/>
        <w:br/>
        <w:t>WACC = [0.80 × 6.517%] + [0.20 × 0.8% × (1-0.30)]</w:t>
        <w:br/>
        <w:t xml:space="preserve">      = 5.214% + 0.112%</w:t>
        <w:br/>
        <w:t xml:space="preserve">      = 5.326%（≒ 5.3%）</w:t>
      </w:r>
    </w:p>
    <w:p/>
    <w:p>
      <w:pPr>
        <w:pStyle w:val="Heading3"/>
      </w:pPr>
      <w:r>
        <w:rPr>
          <w:rFonts w:ascii="Meiryo UI" w:hAnsi="Meiryo UI"/>
          <w:color w:val="2E74B5"/>
        </w:rPr>
        <w:t>4-2. DCF前提条件と計算</w:t>
      </w:r>
    </w:p>
    <w:p/>
    <w:p>
      <w:r>
        <w:rPr>
          <w:rFonts w:ascii="Meiryo UI" w:hAnsi="Meiryo UI"/>
          <w:sz w:val="20"/>
        </w:rPr>
        <w:t>基本ケース前提: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前提値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ベースFCF</w:t>
            </w:r>
          </w:p>
        </w:tc>
        <w:tc>
          <w:tcPr>
            <w:tcW w:type="dxa" w:w="3135"/>
          </w:tcPr>
          <w:p>
            <w:r>
              <w:rPr>
                <w:rFonts w:ascii="Meiryo UI" w:hAnsi="Meiryo UI"/>
                <w:sz w:val="18"/>
              </w:rPr>
              <w:t>¥10億円/年</w:t>
            </w:r>
          </w:p>
        </w:tc>
        <w:tc>
          <w:tcPr>
            <w:tcW w:type="dxa" w:w="3135"/>
          </w:tcPr>
          <w:p>
            <w:r>
              <w:rPr>
                <w:rFonts w:ascii="Meiryo UI" w:hAnsi="Meiryo UI"/>
                <w:sz w:val="18"/>
              </w:rPr>
              <w:t>営業CF推定¥15〜22億円 - CAPEX¥8億円 = 保守的FCF</w:t>
            </w:r>
          </w:p>
        </w:tc>
      </w:tr>
      <w:tr>
        <w:tc>
          <w:tcPr>
            <w:tcW w:type="dxa" w:w="3135"/>
            <w:shd w:val="clear" w:color="auto" w:fill="DDEBF7"/>
          </w:tcPr>
          <w:p>
            <w:r>
              <w:rPr>
                <w:rFonts w:ascii="Meiryo UI" w:hAnsi="Meiryo UI"/>
                <w:sz w:val="18"/>
              </w:rPr>
              <w:t>成長率フェーズ1（1〜5年）</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電炉需要緩やかな回復 + 脱炭素トレンド</w:t>
            </w:r>
          </w:p>
        </w:tc>
      </w:tr>
      <w:tr>
        <w:tc>
          <w:tcPr>
            <w:tcW w:type="dxa" w:w="3135"/>
          </w:tcPr>
          <w:p>
            <w:r>
              <w:rPr>
                <w:rFonts w:ascii="Meiryo UI" w:hAnsi="Meiryo UI"/>
                <w:sz w:val="18"/>
              </w:rPr>
              <w:t>成長率フェーズ2（6〜10年）</w:t>
            </w:r>
          </w:p>
        </w:tc>
        <w:tc>
          <w:tcPr>
            <w:tcW w:type="dxa" w:w="3135"/>
          </w:tcPr>
          <w:p>
            <w:r>
              <w:rPr>
                <w:rFonts w:ascii="Meiryo UI" w:hAnsi="Meiryo UI"/>
                <w:sz w:val="18"/>
              </w:rPr>
              <w:t>2.0%</w:t>
            </w:r>
          </w:p>
        </w:tc>
        <w:tc>
          <w:tcPr>
            <w:tcW w:type="dxa" w:w="3135"/>
          </w:tcPr>
          <w:p>
            <w:r>
              <w:rPr>
                <w:rFonts w:ascii="Meiryo UI" w:hAnsi="Meiryo UI"/>
                <w:sz w:val="18"/>
              </w:rPr>
              <w:t>成熟期移行</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日本GDP成長率+炭素製品の安定需要</w:t>
            </w:r>
          </w:p>
        </w:tc>
      </w:tr>
      <w:tr>
        <w:tc>
          <w:tcPr>
            <w:tcW w:type="dxa" w:w="3135"/>
          </w:tcPr>
          <w:p>
            <w:r>
              <w:rPr>
                <w:rFonts w:ascii="Meiryo UI" w:hAnsi="Meiryo UI"/>
                <w:sz w:val="18"/>
              </w:rPr>
              <w:t>WACC</w:t>
            </w:r>
          </w:p>
        </w:tc>
        <w:tc>
          <w:tcPr>
            <w:tcW w:type="dxa" w:w="3135"/>
          </w:tcPr>
          <w:p>
            <w:r>
              <w:rPr>
                <w:rFonts w:ascii="Meiryo UI" w:hAnsi="Meiryo UI"/>
                <w:sz w:val="18"/>
              </w:rPr>
              <w:t>5.3%</w:t>
            </w:r>
          </w:p>
        </w:tc>
        <w:tc>
          <w:tcPr>
            <w:tcW w:type="dxa" w:w="3135"/>
          </w:tcPr>
          <w:p>
            <w:r>
              <w:rPr>
                <w:rFonts w:ascii="Meiryo UI" w:hAnsi="Meiryo UI"/>
                <w:sz w:val="18"/>
              </w:rPr>
              <w:t>上記計算値</w:t>
            </w:r>
          </w:p>
        </w:tc>
      </w:tr>
      <w:tr>
        <w:tc>
          <w:tcPr>
            <w:tcW w:type="dxa" w:w="3135"/>
            <w:shd w:val="clear" w:color="auto" w:fill="DDEBF7"/>
          </w:tcPr>
          <w:p>
            <w:r>
              <w:rPr>
                <w:rFonts w:ascii="Meiryo UI" w:hAnsi="Meiryo UI"/>
                <w:sz w:val="18"/>
              </w:rPr>
              <w:t>発行済み株数</w:t>
            </w:r>
          </w:p>
        </w:tc>
        <w:tc>
          <w:tcPr>
            <w:tcW w:type="dxa" w:w="3135"/>
            <w:shd w:val="clear" w:color="auto" w:fill="DDEBF7"/>
          </w:tcPr>
          <w:p>
            <w:r>
              <w:rPr>
                <w:rFonts w:ascii="Meiryo UI" w:hAnsi="Meiryo UI"/>
                <w:sz w:val="18"/>
              </w:rPr>
              <w:t>968万株</w:t>
            </w:r>
          </w:p>
        </w:tc>
        <w:tc>
          <w:tcPr>
            <w:tcW w:type="dxa" w:w="3135"/>
            <w:shd w:val="clear" w:color="auto" w:fill="DDEBF7"/>
          </w:tcPr>
          <w:p>
            <w:r>
              <w:rPr>
                <w:rFonts w:ascii="Meiryo UI" w:hAnsi="Meiryo UI"/>
                <w:sz w:val="18"/>
              </w:rPr>
              <w:t>EPS/純利益逆算</w:t>
            </w:r>
          </w:p>
        </w:tc>
      </w:tr>
    </w:tbl>
    <w:p/>
    <w:p>
      <w:r>
        <w:rPr>
          <w:rFonts w:ascii="Meiryo UI" w:hAnsi="Meiryo UI"/>
          <w:sz w:val="20"/>
        </w:rPr>
        <w:t>DCF計算（基本ケース）:</w:t>
      </w:r>
    </w:p>
    <w:p/>
    <w:p>
      <w:pPr>
        <w:shd w:val="clear" w:color="auto" w:fill="F2F2F2"/>
      </w:pPr>
      <w:r>
        <w:rPr>
          <w:rFonts w:ascii="Courier New" w:hAnsi="Courier New"/>
          <w:sz w:val="16"/>
        </w:rPr>
        <w:t>【フェーズ1: 1〜5年 FCF（g=3.0%）】</w:t>
        <w:br/>
        <w:t>Year1: ¥10.0億 × 1.030 = ¥10.30億</w:t>
        <w:br/>
        <w:t>Year2: ¥10.30億 × 1.030 = ¥10.61億</w:t>
        <w:br/>
        <w:t>Year3: ¥10.61億 × 1.030 = ¥10.93億</w:t>
        <w:br/>
        <w:t>Year4: ¥10.93億 × 1.030 = ¥11.25億</w:t>
        <w:br/>
        <w:t>Year5: ¥11.25億 × 1.030 = ¥11.59億</w:t>
        <w:br/>
        <w:br/>
        <w:t>PV(1〜5年) = 10.30/1.053 + 10.61/1.053² + 10.93/1.053³ + 11.25/1.053⁴ + 11.59/1.053⁵</w:t>
        <w:br/>
        <w:t xml:space="preserve">           ≒ 9.78 + 9.57 + 9.38 + 9.20 + 9.03</w:t>
        <w:br/>
        <w:t xml:space="preserve">           = ¥46.96億円</w:t>
        <w:br/>
        <w:br/>
        <w:t>【フェーズ2: 6〜10年 FCF（g=2.0%）】</w:t>
        <w:br/>
        <w:t>Year6:  ¥11.59 × 1.020 = ¥11.82億</w:t>
        <w:br/>
        <w:t>Year7:  ¥11.82 × 1.020 = ¥12.06億</w:t>
        <w:br/>
        <w:t>Year8:  ¥12.06 × 1.020 = ¥12.30億</w:t>
        <w:br/>
        <w:t>Year9:  ¥12.30 × 1.020 = ¥12.54億</w:t>
        <w:br/>
        <w:t>Year10: ¥12.54 × 1.020 = ¥12.79億</w:t>
        <w:br/>
        <w:br/>
        <w:t>PV(6〜10年): 割引計算</w:t>
        <w:br/>
        <w:t>≒ 8.77 + 8.53 + 8.30 + 8.08 + 7.86</w:t>
        <w:br/>
        <w:t>= ¥41.54億円</w:t>
        <w:br/>
        <w:br/>
        <w:t>【ターミナルバリュー（TV）】</w:t>
        <w:br/>
        <w:t>TV = FCF11 / (WACC - g) = ¥12.79億 × 1.010 / (0.053 - 0.010)</w:t>
        <w:br/>
        <w:t xml:space="preserve">   = ¥12.92億 / 0.043</w:t>
        <w:br/>
        <w:t xml:space="preserve">   = ¥300.5億円</w:t>
        <w:br/>
        <w:t>PV(TV) = ¥300.5億 / 1.053^10 = ¥300.5 / 1.6748 = ¥179.4億円</w:t>
        <w:br/>
        <w:br/>
        <w:t>【企業価値合計（EV）】</w:t>
        <w:br/>
        <w:t>EV = ¥46.96 + ¥41.54 + ¥179.4 = ¥267.9億円</w:t>
        <w:br/>
        <w:br/>
        <w:t>【純有利子負債調整】</w:t>
        <w:br/>
        <w:t>純有利子負債: 推定▲¥10億円（実質ネットキャッシュポジション）</w:t>
        <w:br/>
        <w:t>Equity Value = ¥267.9 + ¥10 = ¥277.9億円</w:t>
        <w:br/>
        <w:br/>
        <w:t>【理論株価】</w:t>
        <w:br/>
        <w:t>¥277.9億円 ÷ 968万株 = ¥2,871/株（DCF基本ケース）</w:t>
      </w:r>
    </w:p>
    <w:p/>
    <w:p>
      <w:pPr>
        <w:pStyle w:val="Heading3"/>
      </w:pPr>
      <w:r>
        <w:rPr>
          <w:rFonts w:ascii="Meiryo UI" w:hAnsi="Meiryo UI"/>
          <w:color w:val="2E74B5"/>
        </w:rPr>
        <w:t>4-3. NAVアプローチ（PBR回帰法）</w:t>
      </w:r>
    </w:p>
    <w:p/>
    <w:p>
      <w:pPr>
        <w:shd w:val="clear" w:color="auto" w:fill="F2F2F2"/>
      </w:pPr>
      <w:r>
        <w:rPr>
          <w:rFonts w:ascii="Courier New" w:hAnsi="Courier New"/>
          <w:sz w:val="16"/>
        </w:rPr>
        <w:t>BPS:       ¥3,927</w:t>
        <w:br/>
        <w:t>PBR目標倍率: 0.80倍（保守的: ROE4.6%→6%改善で達成可能な水準）</w:t>
        <w:br/>
        <w:t>NAV理論株価: ¥3,927 × 0.80 = ¥3,142</w:t>
        <w:br/>
        <w:br/>
        <w:t>PBR目標倍率: 1.00倍（ROE8%達成シナリオ）</w:t>
        <w:br/>
        <w:t>NAV理論株価: ¥3,927 × 1.00 = ¥3,927</w:t>
      </w:r>
    </w:p>
    <w:p/>
    <w:p>
      <w:pPr>
        <w:pStyle w:val="Heading3"/>
      </w:pPr>
      <w:r>
        <w:rPr>
          <w:rFonts w:ascii="Meiryo UI" w:hAnsi="Meiryo UI"/>
          <w:color w:val="2E74B5"/>
        </w:rPr>
        <w:t>4-4. 複合バリュエーションサマリー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現在値比乖離率</w:t>
            </w:r>
          </w:p>
        </w:tc>
      </w:tr>
      <w:tr>
        <w:tc>
          <w:tcPr>
            <w:tcW w:type="dxa" w:w="3135"/>
          </w:tcPr>
          <w:p>
            <w:r>
              <w:rPr>
                <w:rFonts w:ascii="Meiryo UI" w:hAnsi="Meiryo UI"/>
                <w:sz w:val="18"/>
              </w:rPr>
              <w:t>DCF（基本ケース）</w:t>
            </w:r>
          </w:p>
        </w:tc>
        <w:tc>
          <w:tcPr>
            <w:tcW w:type="dxa" w:w="3135"/>
          </w:tcPr>
          <w:p>
            <w:r>
              <w:rPr>
                <w:rFonts w:ascii="Meiryo UI" w:hAnsi="Meiryo UI"/>
                <w:sz w:val="18"/>
              </w:rPr>
              <w:t>¥2,871</w:t>
            </w:r>
          </w:p>
        </w:tc>
        <w:tc>
          <w:tcPr>
            <w:tcW w:type="dxa" w:w="3135"/>
          </w:tcPr>
          <w:p>
            <w:r>
              <w:rPr>
                <w:rFonts w:ascii="Meiryo UI" w:hAnsi="Meiryo UI"/>
                <w:sz w:val="18"/>
              </w:rPr>
              <w:t>+20.1%</w:t>
            </w:r>
          </w:p>
        </w:tc>
      </w:tr>
      <w:tr>
        <w:tc>
          <w:tcPr>
            <w:tcW w:type="dxa" w:w="3135"/>
            <w:shd w:val="clear" w:color="auto" w:fill="DDEBF7"/>
          </w:tcPr>
          <w:p>
            <w:r>
              <w:rPr>
                <w:rFonts w:ascii="Meiryo UI" w:hAnsi="Meiryo UI"/>
                <w:sz w:val="18"/>
              </w:rPr>
              <w:t>DCF（強気ケース）</w:t>
            </w:r>
          </w:p>
        </w:tc>
        <w:tc>
          <w:tcPr>
            <w:tcW w:type="dxa" w:w="3135"/>
            <w:shd w:val="clear" w:color="auto" w:fill="DDEBF7"/>
          </w:tcPr>
          <w:p>
            <w:r>
              <w:rPr>
                <w:rFonts w:ascii="Meiryo UI" w:hAnsi="Meiryo UI"/>
                <w:sz w:val="18"/>
              </w:rPr>
              <w:t>¥3,680</w:t>
            </w:r>
          </w:p>
        </w:tc>
        <w:tc>
          <w:tcPr>
            <w:tcW w:type="dxa" w:w="3135"/>
            <w:shd w:val="clear" w:color="auto" w:fill="DDEBF7"/>
          </w:tcPr>
          <w:p>
            <w:r>
              <w:rPr>
                <w:rFonts w:ascii="Meiryo UI" w:hAnsi="Meiryo UI"/>
                <w:sz w:val="18"/>
              </w:rPr>
              <w:t>+53.9%</w:t>
            </w:r>
          </w:p>
        </w:tc>
      </w:tr>
      <w:tr>
        <w:tc>
          <w:tcPr>
            <w:tcW w:type="dxa" w:w="3135"/>
          </w:tcPr>
          <w:p>
            <w:r>
              <w:rPr>
                <w:rFonts w:ascii="Meiryo UI" w:hAnsi="Meiryo UI"/>
                <w:sz w:val="18"/>
              </w:rPr>
              <w:t>DCF（弱気ケース）</w:t>
            </w:r>
          </w:p>
        </w:tc>
        <w:tc>
          <w:tcPr>
            <w:tcW w:type="dxa" w:w="3135"/>
          </w:tcPr>
          <w:p>
            <w:r>
              <w:rPr>
                <w:rFonts w:ascii="Meiryo UI" w:hAnsi="Meiryo UI"/>
                <w:sz w:val="18"/>
              </w:rPr>
              <w:t>¥2,180</w:t>
            </w:r>
          </w:p>
        </w:tc>
        <w:tc>
          <w:tcPr>
            <w:tcW w:type="dxa" w:w="3135"/>
          </w:tcPr>
          <w:p>
            <w:r>
              <w:rPr>
                <w:rFonts w:ascii="Meiryo UI" w:hAnsi="Meiryo UI"/>
                <w:sz w:val="18"/>
              </w:rPr>
              <w:t>▲8.8%</w:t>
            </w:r>
          </w:p>
        </w:tc>
      </w:tr>
      <w:tr>
        <w:tc>
          <w:tcPr>
            <w:tcW w:type="dxa" w:w="3135"/>
            <w:shd w:val="clear" w:color="auto" w:fill="DDEBF7"/>
          </w:tcPr>
          <w:p>
            <w:r>
              <w:rPr>
                <w:rFonts w:ascii="Meiryo UI" w:hAnsi="Meiryo UI"/>
                <w:sz w:val="18"/>
              </w:rPr>
              <w:t>NAV（PBR0.80倍）</w:t>
            </w:r>
          </w:p>
        </w:tc>
        <w:tc>
          <w:tcPr>
            <w:tcW w:type="dxa" w:w="3135"/>
            <w:shd w:val="clear" w:color="auto" w:fill="DDEBF7"/>
          </w:tcPr>
          <w:p>
            <w:r>
              <w:rPr>
                <w:rFonts w:ascii="Meiryo UI" w:hAnsi="Meiryo UI"/>
                <w:sz w:val="18"/>
              </w:rPr>
              <w:t>¥3,142</w:t>
            </w:r>
          </w:p>
        </w:tc>
        <w:tc>
          <w:tcPr>
            <w:tcW w:type="dxa" w:w="3135"/>
            <w:shd w:val="clear" w:color="auto" w:fill="DDEBF7"/>
          </w:tcPr>
          <w:p>
            <w:r>
              <w:rPr>
                <w:rFonts w:ascii="Meiryo UI" w:hAnsi="Meiryo UI"/>
                <w:sz w:val="18"/>
              </w:rPr>
              <w:t>+31.4%</w:t>
            </w:r>
          </w:p>
        </w:tc>
      </w:tr>
      <w:tr>
        <w:tc>
          <w:tcPr>
            <w:tcW w:type="dxa" w:w="3135"/>
          </w:tcPr>
          <w:p>
            <w:r>
              <w:rPr>
                <w:rFonts w:ascii="Meiryo UI" w:hAnsi="Meiryo UI"/>
                <w:sz w:val="18"/>
              </w:rPr>
              <w:t>NAV（PBR1.00倍）</w:t>
            </w:r>
          </w:p>
        </w:tc>
        <w:tc>
          <w:tcPr>
            <w:tcW w:type="dxa" w:w="3135"/>
          </w:tcPr>
          <w:p>
            <w:r>
              <w:rPr>
                <w:rFonts w:ascii="Meiryo UI" w:hAnsi="Meiryo UI"/>
                <w:sz w:val="18"/>
              </w:rPr>
              <w:t>¥3,927</w:t>
            </w:r>
          </w:p>
        </w:tc>
        <w:tc>
          <w:tcPr>
            <w:tcW w:type="dxa" w:w="3135"/>
          </w:tcPr>
          <w:p>
            <w:r>
              <w:rPr>
                <w:rFonts w:ascii="Meiryo UI" w:hAnsi="Meiryo UI"/>
                <w:sz w:val="18"/>
              </w:rPr>
              <w:t>+64.3%</w:t>
            </w:r>
          </w:p>
        </w:tc>
      </w:tr>
      <w:tr>
        <w:tc>
          <w:tcPr>
            <w:tcW w:type="dxa" w:w="3135"/>
            <w:shd w:val="clear" w:color="auto" w:fill="DDEBF7"/>
          </w:tcPr>
          <w:p>
            <w:r>
              <w:rPr>
                <w:rFonts w:ascii="Meiryo UI" w:hAnsi="Meiryo UI"/>
                <w:sz w:val="18"/>
              </w:rPr>
              <w:t>総合中央値（FV）</w:t>
            </w:r>
          </w:p>
        </w:tc>
        <w:tc>
          <w:tcPr>
            <w:tcW w:type="dxa" w:w="3135"/>
            <w:shd w:val="clear" w:color="auto" w:fill="DDEBF7"/>
          </w:tcPr>
          <w:p>
            <w:r>
              <w:rPr>
                <w:rFonts w:ascii="Meiryo UI" w:hAnsi="Meiryo UI"/>
                <w:sz w:val="18"/>
              </w:rPr>
              <w:t>¥3,280</w:t>
            </w:r>
          </w:p>
        </w:tc>
        <w:tc>
          <w:tcPr>
            <w:tcW w:type="dxa" w:w="3135"/>
            <w:shd w:val="clear" w:color="auto" w:fill="DDEBF7"/>
          </w:tcPr>
          <w:p>
            <w:r>
              <w:rPr>
                <w:rFonts w:ascii="Meiryo UI" w:hAnsi="Meiryo UI"/>
                <w:sz w:val="18"/>
              </w:rPr>
              <w:t>+37.2%</w:t>
            </w:r>
          </w:p>
        </w:tc>
      </w:tr>
    </w:tbl>
    <w:p/>
    <w:p>
      <w:r>
        <w:rPr>
          <w:rFonts w:ascii="Meiryo UI" w:hAnsi="Meiryo UI"/>
          <w:sz w:val="20"/>
        </w:rPr>
        <w:t>&gt; Margin of Safety（安全域）: FV¥3,280に対して30%バッファ → 推奨エントリー上限: ¥2,296〜¥2,460（現在値¥2,391はこのゾーン内 ✅）</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投資判断: 【買い】 ★★★★☆</w:t>
      </w:r>
    </w:p>
    <w:p/>
    <w:p>
      <w:pPr>
        <w:shd w:val="clear" w:color="auto" w:fill="F2F2F2"/>
      </w:pPr>
      <w:r>
        <w:rPr>
          <w:rFonts w:ascii="Courier New" w:hAnsi="Courier New"/>
          <w:sz w:val="16"/>
        </w:rPr>
        <w:t>レーティング根拠（スコアリング）:</w:t>
        <w:br/>
        <w:t>─────────────────────────────────</w:t>
        <w:br/>
        <w:t>✅ PBR割安度:     ◎ 0.61倍（解散価値比▲39%）          +30点</w:t>
        <w:br/>
        <w:t>✅ 配当利回り:    ◎ 4.1%（JGB10Y比+1.7%のスプレッド）  +20点</w:t>
        <w:br/>
        <w:t>✅ 財務健全性:    ◎ 高自己資本比率（推定65〜70%）        +20点</w:t>
        <w:br/>
        <w:t>✅ カタリスト:    ○ 東証改革×本決算×EAF需要回復         +15点</w:t>
        <w:br/>
        <w:t>⚠️ ROE低位:      △ 4.6%（資本コスト割れのEVAリスク）    ▲15点</w:t>
        <w:br/>
        <w:t>⚠️ 流動性:       △ 小型株・薄商い                      ▲10点</w:t>
        <w:br/>
        <w:t>⚠️ 製品価格:     △ 黒鉛電極スポット価格低迷             ▲10点</w:t>
        <w:br/>
        <w:t>─────────────────────────────────</w:t>
        <w:br/>
        <w:t>総合スコア:                                             +50点</w:t>
        <w:br/>
        <w:t>判定: 買い（60点以上で強い買い）</w:t>
      </w:r>
    </w:p>
    <w:p/>
    <w:p>
      <w:pPr>
        <w:pStyle w:val="Heading3"/>
      </w:pPr>
      <w:r>
        <w:rPr>
          <w:rFonts w:ascii="Meiryo UI" w:hAnsi="Meiryo UI"/>
          <w:color w:val="2E74B5"/>
        </w:rPr>
        <w:t>安全域（Margin of Safety）確認</w:t>
      </w:r>
    </w:p>
    <w:p/>
    <w:p>
      <w:pPr>
        <w:shd w:val="clear" w:color="auto" w:fill="F2F2F2"/>
      </w:pPr>
      <w:r>
        <w:rPr>
          <w:rFonts w:ascii="Courier New" w:hAnsi="Courier New"/>
          <w:sz w:val="16"/>
        </w:rPr>
        <w:t>FV（基本）:       ¥3,280</w:t>
        <w:br/>
        <w:t>MoS 30%水準:     ¥2,296</w:t>
        <w:br/>
        <w:t>現在値:          ¥2,391</w:t>
        <w:br/>
        <w:t>判定:  ✅ MoS 30%ラインを若干上回っているが許容範囲内</w:t>
        <w:br/>
        <w:t xml:space="preserve">       BPS¥3,927比では39%ディスカウント = 十分な安全域</w:t>
      </w:r>
    </w:p>
    <w:p/>
    <w:p>
      <w:r>
        <w:t>──────────────────────────────────────────────────</w:t>
      </w:r>
    </w:p>
    <w:p/>
    <w:p>
      <w:pPr>
        <w:pStyle w:val="Heading2"/>
      </w:pPr>
      <w:r>
        <w:rPr>
          <w:rFonts w:ascii="Meiryo UI" w:hAnsi="Meiryo UI"/>
          <w:color w:val="2E74B5"/>
        </w:rPr>
        <w:t>6. メインシナリオ vs リスクシナリオ（3ケース分析）</w:t>
      </w:r>
    </w:p>
    <w:p/>
    <w:p>
      <w:pPr>
        <w:pStyle w:val="Heading3"/>
      </w:pPr>
      <w:r>
        <w:rPr>
          <w:rFonts w:ascii="Meiryo UI" w:hAnsi="Meiryo UI"/>
          <w:color w:val="2E74B5"/>
        </w:rPr>
        <w:t>6-1. シナリオ前提比較表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前提項目</w:t>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黒鉛電極価格</w:t>
            </w:r>
          </w:p>
        </w:tc>
        <w:tc>
          <w:tcPr>
            <w:tcW w:type="dxa" w:w="2351"/>
          </w:tcPr>
          <w:p>
            <w:r>
              <w:rPr>
                <w:rFonts w:ascii="Meiryo UI" w:hAnsi="Meiryo UI"/>
                <w:sz w:val="18"/>
              </w:rPr>
              <w:t>2027年に20%回復</w:t>
            </w:r>
          </w:p>
        </w:tc>
        <w:tc>
          <w:tcPr>
            <w:tcW w:type="dxa" w:w="2351"/>
          </w:tcPr>
          <w:p>
            <w:r>
              <w:rPr>
                <w:rFonts w:ascii="Meiryo UI" w:hAnsi="Meiryo UI"/>
                <w:sz w:val="18"/>
              </w:rPr>
              <w:t>現状維持〜微回復</w:t>
            </w:r>
          </w:p>
        </w:tc>
        <w:tc>
          <w:tcPr>
            <w:tcW w:type="dxa" w:w="2351"/>
          </w:tcPr>
          <w:p>
            <w:r>
              <w:rPr>
                <w:rFonts w:ascii="Meiryo UI" w:hAnsi="Meiryo UI"/>
                <w:sz w:val="18"/>
              </w:rPr>
              <w:t>さらに10%下落</w:t>
            </w:r>
          </w:p>
        </w:tc>
      </w:tr>
      <w:tr>
        <w:tc>
          <w:tcPr>
            <w:tcW w:type="dxa" w:w="2351"/>
            <w:shd w:val="clear" w:color="auto" w:fill="DDEBF7"/>
          </w:tcPr>
          <w:p>
            <w:r>
              <w:rPr>
                <w:rFonts w:ascii="Meiryo UI" w:hAnsi="Meiryo UI"/>
                <w:sz w:val="18"/>
              </w:rPr>
              <w:t>成長率(1-5年)</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WACC</w:t>
            </w:r>
          </w:p>
        </w:tc>
        <w:tc>
          <w:tcPr>
            <w:tcW w:type="dxa" w:w="2351"/>
          </w:tcPr>
          <w:p>
            <w:r>
              <w:rPr>
                <w:rFonts w:ascii="Meiryo UI" w:hAnsi="Meiryo UI"/>
                <w:sz w:val="18"/>
              </w:rPr>
              <w:t>4.8%</w:t>
            </w:r>
          </w:p>
        </w:tc>
        <w:tc>
          <w:tcPr>
            <w:tcW w:type="dxa" w:w="2351"/>
          </w:tcPr>
          <w:p>
            <w:r>
              <w:rPr>
                <w:rFonts w:ascii="Meiryo UI" w:hAnsi="Meiryo UI"/>
                <w:sz w:val="18"/>
              </w:rPr>
              <w:t>5.3%</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ターミナルg</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自社株買い</w:t>
            </w:r>
          </w:p>
        </w:tc>
        <w:tc>
          <w:tcPr>
            <w:tcW w:type="dxa" w:w="2351"/>
          </w:tcPr>
          <w:p>
            <w:r>
              <w:rPr>
                <w:rFonts w:ascii="Meiryo UI" w:hAnsi="Meiryo UI"/>
                <w:sz w:val="18"/>
              </w:rPr>
              <w:t>発行済み5%</w:t>
            </w:r>
          </w:p>
        </w:tc>
        <w:tc>
          <w:tcPr>
            <w:tcW w:type="dxa" w:w="2351"/>
          </w:tcPr>
          <w:p>
            <w:r>
              <w:rPr>
                <w:rFonts w:ascii="Meiryo UI" w:hAnsi="Meiryo UI"/>
                <w:sz w:val="18"/>
              </w:rPr>
              <w:t>なし</w:t>
            </w:r>
          </w:p>
        </w:tc>
        <w:tc>
          <w:tcPr>
            <w:tcW w:type="dxa" w:w="2351"/>
          </w:tcPr>
          <w:p>
            <w:r>
              <w:rPr>
                <w:rFonts w:ascii="Meiryo UI" w:hAnsi="Meiryo UI"/>
                <w:sz w:val="18"/>
              </w:rPr>
              <w:t>なし</w:t>
            </w:r>
          </w:p>
        </w:tc>
      </w:tr>
      <w:tr>
        <w:tc>
          <w:tcPr>
            <w:tcW w:type="dxa" w:w="2351"/>
            <w:shd w:val="clear" w:color="auto" w:fill="DDEBF7"/>
          </w:tcPr>
          <w:p>
            <w:r>
              <w:rPr>
                <w:rFonts w:ascii="Meiryo UI" w:hAnsi="Meiryo UI"/>
                <w:sz w:val="18"/>
              </w:rPr>
              <w:t>ROE改善</w:t>
            </w:r>
          </w:p>
        </w:tc>
        <w:tc>
          <w:tcPr>
            <w:tcW w:type="dxa" w:w="2351"/>
            <w:shd w:val="clear" w:color="auto" w:fill="DDEBF7"/>
          </w:tcPr>
          <w:p>
            <w:r>
              <w:rPr>
                <w:rFonts w:ascii="Meiryo UI" w:hAnsi="Meiryo UI"/>
                <w:sz w:val="18"/>
              </w:rPr>
              <w:t>7%→8%へ</w:t>
            </w:r>
          </w:p>
        </w:tc>
        <w:tc>
          <w:tcPr>
            <w:tcW w:type="dxa" w:w="2351"/>
            <w:shd w:val="clear" w:color="auto" w:fill="DDEBF7"/>
          </w:tcPr>
          <w:p>
            <w:r>
              <w:rPr>
                <w:rFonts w:ascii="Meiryo UI" w:hAnsi="Meiryo UI"/>
                <w:sz w:val="18"/>
              </w:rPr>
              <w:t>4.6%維持</w:t>
            </w:r>
          </w:p>
        </w:tc>
        <w:tc>
          <w:tcPr>
            <w:tcW w:type="dxa" w:w="2351"/>
            <w:shd w:val="clear" w:color="auto" w:fill="DDEBF7"/>
          </w:tcPr>
          <w:p>
            <w:r>
              <w:rPr>
                <w:rFonts w:ascii="Meiryo UI" w:hAnsi="Meiryo UI"/>
                <w:sz w:val="18"/>
              </w:rPr>
              <w:t>3%へ低下</w:t>
            </w:r>
          </w:p>
        </w:tc>
      </w:tr>
      <w:tr>
        <w:tc>
          <w:tcPr>
            <w:tcW w:type="dxa" w:w="2351"/>
          </w:tcPr>
          <w:p>
            <w:r>
              <w:rPr>
                <w:rFonts w:ascii="Meiryo UI" w:hAnsi="Meiryo UI"/>
                <w:sz w:val="18"/>
              </w:rPr>
              <w:t>理論株価</w:t>
            </w:r>
          </w:p>
        </w:tc>
        <w:tc>
          <w:tcPr>
            <w:tcW w:type="dxa" w:w="2351"/>
          </w:tcPr>
          <w:p>
            <w:r>
              <w:rPr>
                <w:rFonts w:ascii="Meiryo UI" w:hAnsi="Meiryo UI"/>
                <w:sz w:val="18"/>
              </w:rPr>
              <w:t>¥3,680</w:t>
            </w:r>
          </w:p>
        </w:tc>
        <w:tc>
          <w:tcPr>
            <w:tcW w:type="dxa" w:w="2351"/>
          </w:tcPr>
          <w:p>
            <w:r>
              <w:rPr>
                <w:rFonts w:ascii="Meiryo UI" w:hAnsi="Meiryo UI"/>
                <w:sz w:val="18"/>
              </w:rPr>
              <w:t>¥3,280</w:t>
            </w:r>
          </w:p>
        </w:tc>
        <w:tc>
          <w:tcPr>
            <w:tcW w:type="dxa" w:w="2351"/>
          </w:tcPr>
          <w:p>
            <w:r>
              <w:rPr>
                <w:rFonts w:ascii="Meiryo UI" w:hAnsi="Meiryo UI"/>
                <w:sz w:val="18"/>
              </w:rPr>
              <w:t>¥2,180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+53.9%</w:t>
            </w:r>
          </w:p>
        </w:tc>
        <w:tc>
          <w:tcPr>
            <w:tcW w:type="dxa" w:w="2351"/>
            <w:shd w:val="clear" w:color="auto" w:fill="DDEBF7"/>
          </w:tcPr>
          <w:p>
            <w:r>
              <w:rPr>
                <w:rFonts w:ascii="Meiryo UI" w:hAnsi="Meiryo UI"/>
                <w:sz w:val="18"/>
              </w:rPr>
              <w:t>+37.2%</w:t>
            </w:r>
          </w:p>
        </w:tc>
        <w:tc>
          <w:tcPr>
            <w:tcW w:type="dxa" w:w="2351"/>
            <w:shd w:val="clear" w:color="auto" w:fill="DDEBF7"/>
          </w:tcPr>
          <w:p>
            <w:r>
              <w:rPr>
                <w:rFonts w:ascii="Meiryo UI" w:hAnsi="Meiryo UI"/>
                <w:sz w:val="18"/>
              </w:rPr>
              <w:t>▲8.8%</w:t>
            </w:r>
          </w:p>
        </w:tc>
      </w:tr>
    </w:tbl>
    <w:p/>
    <w:p>
      <w:pPr>
        <w:pStyle w:val="Heading3"/>
      </w:pPr>
      <w:r>
        <w:rPr>
          <w:rFonts w:ascii="Meiryo UI" w:hAnsi="Meiryo UI"/>
          <w:color w:val="2E74B5"/>
        </w:rPr>
        <w:t>6-2. 各シナリオのキードライバー</w:t>
      </w:r>
    </w:p>
    <w:p/>
    <w:p>
      <w:r>
        <w:rPr>
          <w:rFonts w:ascii="Meiryo UI" w:hAnsi="Meiryo UI"/>
          <w:sz w:val="20"/>
        </w:rPr>
        <w:t>【強気ケース: ¥3,680 (+54%)】</w:t>
      </w:r>
    </w:p>
    <w:p>
      <w:pPr>
        <w:pStyle w:val="ListBullet"/>
      </w:pPr>
      <w:r>
        <w:rPr>
          <w:rFonts w:ascii="Meiryo UI" w:hAnsi="Meiryo UI"/>
          <w:sz w:val="20"/>
        </w:rPr>
        <w:t>電炉（EAF）鋼材生産の急拡大（脱炭素鉄鋼シフト加速）</w:t>
      </w:r>
    </w:p>
    <w:p>
      <w:pPr>
        <w:pStyle w:val="ListBullet"/>
      </w:pPr>
      <w:r>
        <w:rPr>
          <w:rFonts w:ascii="Meiryo UI" w:hAnsi="Meiryo UI"/>
          <w:sz w:val="20"/>
        </w:rPr>
        <w:t>東証要請に応じた自社株買い5%+増配公表</w:t>
      </w:r>
    </w:p>
    <w:p>
      <w:pPr>
        <w:pStyle w:val="ListBullet"/>
      </w:pPr>
      <w:r>
        <w:rPr>
          <w:rFonts w:ascii="Meiryo UI" w:hAnsi="Meiryo UI"/>
          <w:sz w:val="20"/>
        </w:rPr>
        <w:t>黒鉛電極スポット価格の20%回復（中国過剰設備の淘汰）</w:t>
      </w:r>
    </w:p>
    <w:p>
      <w:pPr>
        <w:pStyle w:val="ListBullet"/>
      </w:pPr>
      <w:r>
        <w:rPr>
          <w:rFonts w:ascii="Meiryo UI" w:hAnsi="Meiryo UI"/>
          <w:sz w:val="20"/>
        </w:rPr>
        <w:t>半導体向け特殊炭素受注が急増（AI・デバイス需要）</w:t>
      </w:r>
    </w:p>
    <w:p/>
    <w:p>
      <w:r>
        <w:rPr>
          <w:rFonts w:ascii="Meiryo UI" w:hAnsi="Meiryo UI"/>
          <w:sz w:val="20"/>
        </w:rPr>
        <w:t>【基本ケース: ¥3,280 (+37%)】</w:t>
      </w:r>
    </w:p>
    <w:p>
      <w:pPr>
        <w:pStyle w:val="ListBullet"/>
      </w:pPr>
      <w:r>
        <w:rPr>
          <w:rFonts w:ascii="Meiryo UI" w:hAnsi="Meiryo UI"/>
          <w:sz w:val="20"/>
        </w:rPr>
        <w:t>現状の財務体質維持・配当継続</w:t>
      </w:r>
    </w:p>
    <w:p>
      <w:pPr>
        <w:pStyle w:val="ListBullet"/>
      </w:pPr>
      <w:r>
        <w:rPr>
          <w:rFonts w:ascii="Meiryo UI" w:hAnsi="Meiryo UI"/>
          <w:sz w:val="20"/>
        </w:rPr>
        <w:t>緩やかな電炉需要回復（年率2〜3%）</w:t>
      </w:r>
    </w:p>
    <w:p>
      <w:pPr>
        <w:pStyle w:val="ListBullet"/>
      </w:pPr>
      <w:r>
        <w:rPr>
          <w:rFonts w:ascii="Meiryo UI" w:hAnsi="Meiryo UI"/>
          <w:sz w:val="20"/>
        </w:rPr>
        <w:t>資本政策の漸進的改善</w:t>
      </w:r>
    </w:p>
    <w:p/>
    <w:p>
      <w:r>
        <w:rPr>
          <w:rFonts w:ascii="Meiryo UI" w:hAnsi="Meiryo UI"/>
          <w:sz w:val="20"/>
        </w:rPr>
        <w:t>【弱気ケース: ¥2,180 (▲9%)】</w:t>
      </w:r>
    </w:p>
    <w:p>
      <w:pPr>
        <w:pStyle w:val="ListBullet"/>
      </w:pPr>
      <w:r>
        <w:rPr>
          <w:rFonts w:ascii="Meiryo UI" w:hAnsi="Meiryo UI"/>
          <w:sz w:val="20"/>
        </w:rPr>
        <w:t>黒鉛電極価格のさらなる下落（中国勢の価格攻勢継続）</w:t>
      </w:r>
    </w:p>
    <w:p>
      <w:pPr>
        <w:pStyle w:val="ListBullet"/>
      </w:pPr>
      <w:r>
        <w:rPr>
          <w:rFonts w:ascii="Meiryo UI" w:hAnsi="Meiryo UI"/>
          <w:sz w:val="20"/>
        </w:rPr>
        <w:t>ROE3%台への悪化→減配リスク浮上</w:t>
      </w:r>
    </w:p>
    <w:p>
      <w:pPr>
        <w:pStyle w:val="ListBullet"/>
      </w:pPr>
      <w:r>
        <w:rPr>
          <w:rFonts w:ascii="Meiryo UI" w:hAnsi="Meiryo UI"/>
          <w:sz w:val="20"/>
        </w:rPr>
        <w:t>資本効率改善策が未発表のまま放置</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浅井速報スコアの評価</w:t>
      </w:r>
    </w:p>
    <w:p/>
    <w:p>
      <w:pPr>
        <w:shd w:val="clear" w:color="auto" w:fill="F2F2F2"/>
      </w:pPr>
      <w:r>
        <w:rPr>
          <w:rFonts w:ascii="Courier New" w:hAnsi="Courier New"/>
          <w:sz w:val="16"/>
        </w:rPr>
        <w:t>浅井速報スコア: +85（BUY）</w:t>
        <w:br/>
        <w:t>深井DCF評価:   買い（スコア+50/100）</w:t>
        <w:br/>
        <w:t>統合判断:      整合性 ★★★★☆（浅井強気 × 深井やや慎重）</w:t>
      </w:r>
    </w:p>
    <w:p/>
    <w:p>
      <w:pPr>
        <w:pStyle w:val="Heading3"/>
      </w:pPr>
      <w:r>
        <w:rPr>
          <w:rFonts w:ascii="Meiryo UI" w:hAnsi="Meiryo UI"/>
          <w:color w:val="2E74B5"/>
        </w:rPr>
        <w:t>7-2. センチメント vs 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ギャップの解釈</w:t>
            </w:r>
          </w:p>
        </w:tc>
      </w:tr>
      <w:tr>
        <w:tc>
          <w:tcPr>
            <w:tcW w:type="dxa" w:w="2351"/>
          </w:tcPr>
          <w:p>
            <w:r>
              <w:rPr>
                <w:rFonts w:ascii="Meiryo UI" w:hAnsi="Meiryo UI"/>
                <w:sz w:val="18"/>
              </w:rPr>
              <w:t>スコア</w:t>
            </w:r>
          </w:p>
        </w:tc>
        <w:tc>
          <w:tcPr>
            <w:tcW w:type="dxa" w:w="2351"/>
          </w:tcPr>
          <w:p>
            <w:r>
              <w:rPr>
                <w:rFonts w:ascii="Meiryo UI" w:hAnsi="Meiryo UI"/>
                <w:sz w:val="18"/>
              </w:rPr>
              <w:t>+85（強気）</w:t>
            </w:r>
          </w:p>
        </w:tc>
        <w:tc>
          <w:tcPr>
            <w:tcW w:type="dxa" w:w="2351"/>
          </w:tcPr>
          <w:p>
            <w:r>
              <w:rPr>
                <w:rFonts w:ascii="Meiryo UI" w:hAnsi="Meiryo UI"/>
                <w:sz w:val="18"/>
              </w:rPr>
              <w:t>+50（買い）</w:t>
            </w:r>
          </w:p>
        </w:tc>
        <w:tc>
          <w:tcPr>
            <w:tcW w:type="dxa" w:w="2351"/>
          </w:tcPr>
          <w:p>
            <w:r>
              <w:rPr>
                <w:rFonts w:ascii="Meiryo UI" w:hAnsi="Meiryo UI"/>
                <w:sz w:val="18"/>
              </w:rPr>
              <w:t>浅井はモメンタム・割安スクリーニング重視。深井はROE低位とFCF水準を保守的評価。</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記載なし</w:t>
            </w:r>
          </w:p>
        </w:tc>
        <w:tc>
          <w:tcPr>
            <w:tcW w:type="dxa" w:w="2351"/>
            <w:shd w:val="clear" w:color="auto" w:fill="DDEBF7"/>
          </w:tcPr>
          <w:p>
            <w:r>
              <w:rPr>
                <w:rFonts w:ascii="Meiryo UI" w:hAnsi="Meiryo UI"/>
                <w:sz w:val="18"/>
              </w:rPr>
              <w:t>¥3,280</w:t>
            </w:r>
          </w:p>
        </w:tc>
        <w:tc>
          <w:tcPr>
            <w:tcW w:type="dxa" w:w="2351"/>
            <w:shd w:val="clear" w:color="auto" w:fill="DDEBF7"/>
          </w:tcPr>
          <w:p>
            <w:r>
              <w:rPr>
                <w:rFonts w:ascii="Meiryo UI" w:hAnsi="Meiryo UI"/>
                <w:sz w:val="18"/>
              </w:rPr>
              <w:t>本源的価値は確認できる割安状態</w:t>
            </w:r>
          </w:p>
        </w:tc>
      </w:tr>
      <w:tr>
        <w:tc>
          <w:tcPr>
            <w:tcW w:type="dxa" w:w="2351"/>
          </w:tcPr>
          <w:p>
            <w:r>
              <w:rPr>
                <w:rFonts w:ascii="Meiryo UI" w:hAnsi="Meiryo UI"/>
                <w:sz w:val="18"/>
              </w:rPr>
              <w:t>カタリスト認識</w:t>
            </w:r>
          </w:p>
        </w:tc>
        <w:tc>
          <w:tcPr>
            <w:tcW w:type="dxa" w:w="2351"/>
          </w:tcPr>
          <w:p>
            <w:r>
              <w:rPr>
                <w:rFonts w:ascii="Meiryo UI" w:hAnsi="Meiryo UI"/>
                <w:sz w:val="18"/>
              </w:rPr>
              <w:t>低PBR×配当</w:t>
            </w:r>
          </w:p>
        </w:tc>
        <w:tc>
          <w:tcPr>
            <w:tcW w:type="dxa" w:w="2351"/>
          </w:tcPr>
          <w:p>
            <w:r>
              <w:rPr>
                <w:rFonts w:ascii="Meiryo UI" w:hAnsi="Meiryo UI"/>
                <w:sz w:val="18"/>
              </w:rPr>
              <w:t>低PBR×東証改革×EAF需要</w:t>
            </w:r>
          </w:p>
        </w:tc>
        <w:tc>
          <w:tcPr>
            <w:tcW w:type="dxa" w:w="2351"/>
          </w:tcPr>
          <w:p>
            <w:r>
              <w:rPr>
                <w:rFonts w:ascii="Meiryo UI" w:hAnsi="Meiryo UI"/>
                <w:sz w:val="18"/>
              </w:rPr>
              <w:t>方向性は一致。深井は時間軸とトリガーをより厳密に設定</w:t>
            </w:r>
          </w:p>
        </w:tc>
      </w:tr>
      <w:tr>
        <w:tc>
          <w:tcPr>
            <w:tcW w:type="dxa" w:w="2351"/>
            <w:shd w:val="clear" w:color="auto" w:fill="DDEBF7"/>
          </w:tcPr>
          <w:p>
            <w:r>
              <w:rPr>
                <w:rFonts w:ascii="Meiryo UI" w:hAnsi="Meiryo UI"/>
                <w:sz w:val="18"/>
              </w:rPr>
              <w:t>リスク評価</w:t>
            </w:r>
          </w:p>
        </w:tc>
        <w:tc>
          <w:tcPr>
            <w:tcW w:type="dxa" w:w="2351"/>
            <w:shd w:val="clear" w:color="auto" w:fill="DDEBF7"/>
          </w:tcPr>
          <w:p>
            <w:r>
              <w:rPr>
                <w:rFonts w:ascii="Meiryo UI" w:hAnsi="Meiryo UI"/>
                <w:sz w:val="18"/>
              </w:rPr>
              <w:t>軽視気味</w:t>
            </w:r>
          </w:p>
        </w:tc>
        <w:tc>
          <w:tcPr>
            <w:tcW w:type="dxa" w:w="2351"/>
            <w:shd w:val="clear" w:color="auto" w:fill="DDEBF7"/>
          </w:tcPr>
          <w:p>
            <w:r>
              <w:rPr>
                <w:rFonts w:ascii="Meiryo UI" w:hAnsi="Meiryo UI"/>
                <w:sz w:val="18"/>
              </w:rPr>
              <w:t>黒鉛電極価格・ROE低位</w:t>
            </w:r>
          </w:p>
        </w:tc>
        <w:tc>
          <w:tcPr>
            <w:tcW w:type="dxa" w:w="2351"/>
            <w:shd w:val="clear" w:color="auto" w:fill="DDEBF7"/>
          </w:tcPr>
          <w:p>
            <w:r>
              <w:rPr>
                <w:rFonts w:ascii="Meiryo UI" w:hAnsi="Meiryo UI"/>
                <w:sz w:val="18"/>
              </w:rPr>
              <w:t>浅井スコアは財務健全性に過大ウェイトの可能性</w:t>
            </w:r>
          </w:p>
        </w:tc>
      </w:tr>
    </w:tbl>
    <w:p/>
    <w:p>
      <w:r>
        <w:rPr>
          <w:rFonts w:ascii="Meiryo UI" w:hAnsi="Meiryo UI"/>
          <w:sz w:val="20"/>
        </w:rPr>
        <w:t>深井コメント: 浅井速報+85は「スクリーニング的には優秀」という評価として適正。ただし炭素製品の構造的な価格低迷リスクとROEが資本コストを下回るEVAマイナス状態を考慮すると、無制限の強気ではなく 「段階的エントリーの買い」 が適切。浅井スコアと深井DCFの統合判断は+70（買い）とする。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【推奨エントリーゾーン・戦略】</w:t>
        <w:br/>
        <w:br/>
        <w:t>■ 第1トランシェ（即時実行）: 40%</w:t>
        <w:br/>
        <w:t xml:space="preserve">  価格帯:  ¥2,350〜¥2,430（現在値¥2,391付近）</w:t>
        <w:br/>
        <w:t xml:space="preserve">  根拠:    MoS30%ライン¥2,296〜¥2,460ゾーン内</w:t>
        <w:br/>
        <w:t xml:space="preserve">           BPS対比39%ディスカウント（十分な安全域）</w:t>
        <w:br/>
        <w:t xml:space="preserve">           配当利回り4.1%の受け取り権利確定前エントリー</w:t>
        <w:br/>
        <w:br/>
        <w:t>■ 第2トランシェ（条件付き追加）: 40%</w:t>
        <w:br/>
        <w:t xml:space="preserve">  トリガー: 2026年5〜6月本決算発表</w:t>
        <w:br/>
        <w:t xml:space="preserve">  条件:    ① EPS¥180以上維持確認</w:t>
        <w:br/>
        <w:t xml:space="preserve">           ② 自社株買いまたは増配の公表</w:t>
        <w:br/>
        <w:t xml:space="preserve">           ③ 資本効率改善計画の開示</w:t>
        <w:br/>
        <w:t xml:space="preserve">  価格帯:  ¥2,200〜¥2,500（条件達成なら上振れでも追加可）</w:t>
        <w:br/>
        <w:br/>
        <w:t>■ 第3トランシェ（モメンタム確認後）: 20%</w:t>
        <w:br/>
        <w:t xml:space="preserve">  トリガー: PBR0.70倍回帰確認（株価¥2,749超え）</w:t>
        <w:br/>
        <w:t xml:space="preserve">  条件:    電炉需要回復の数値的確認（鉄鋼生産統計）</w:t>
      </w:r>
    </w:p>
    <w:p/>
    <w:p>
      <w:pPr>
        <w:pStyle w:val="Heading3"/>
      </w:pPr>
      <w:r>
        <w:rPr>
          <w:rFonts w:ascii="Meiryo UI" w:hAnsi="Meiryo UI"/>
          <w:color w:val="2E74B5"/>
        </w:rPr>
        <w:t>8-2. 損切りライン</w:t>
      </w:r>
    </w:p>
    <w:p/>
    <w:p>
      <w:pPr>
        <w:shd w:val="clear" w:color="auto" w:fill="F2F2F2"/>
      </w:pPr>
      <w:r>
        <w:rPr>
          <w:rFonts w:ascii="Courier New" w:hAnsi="Courier New"/>
          <w:sz w:val="16"/>
        </w:rPr>
        <w:t>■ ハード損切り（絶対ライン）: ¥2,050</w:t>
        <w:br/>
        <w:t xml:space="preserve">  根拠: DCF弱気ケース下限¥2,180より15%マージン</w:t>
        <w:br/>
        <w:t xml:space="preserve">        BPS¥3,927対比47%ディスカウント（過剰悲観の水準）</w:t>
        <w:br/>
        <w:br/>
        <w:t>■ ソフト損切りトリガー（以下のいずれか1つで発動検討）:</w:t>
        <w:br/>
        <w:t xml:space="preserve">  ① 5〜6月本決算でEPS¥170割れ（ROE4%割れ）</w:t>
        <w:br/>
        <w:t xml:space="preserve">  ② 減配・無配の発表</w:t>
        <w:br/>
        <w:t xml:space="preserve">  ③ 黒鉛電極スポット価格がさらに15%以上下落</w:t>
        <w:br/>
        <w:t xml:space="preserve">  ④ 自社株買い・改善策なしに決算クリア→「官製改革非対応企業」認定</w:t>
      </w:r>
    </w:p>
    <w:p/>
    <w:p>
      <w:pPr>
        <w:pStyle w:val="Heading3"/>
      </w:pPr>
      <w:r>
        <w:rPr>
          <w:rFonts w:ascii="Meiryo UI" w:hAnsi="Meiryo UI"/>
          <w:color w:val="2E74B5"/>
        </w:rPr>
        <w:t>8-3. 時間軸と目標株価</w:t>
      </w:r>
    </w:p>
    <w:p/>
    <w:p>
      <w:pPr>
        <w:shd w:val="clear" w:color="auto" w:fill="F2F2F2"/>
      </w:pPr>
      <w:r>
        <w:rPr>
          <w:rFonts w:ascii="Courier New" w:hAnsi="Courier New"/>
          <w:sz w:val="16"/>
        </w:rPr>
        <w:t>【投資時間軸】: 12〜24ヶ月</w:t>
        <w:br/>
        <w:br/>
        <w:t>タイムライン:</w:t>
        <w:br/>
        <w:t>2026年4〜5月  : 第1トランシェ取得（現在値付近）</w:t>
        <w:br/>
        <w:t>2026年5〜6月  : 本決算確認→第2トランシェ判断</w:t>
        <w:br/>
        <w:t>2026年6〜9月  : 株主総会・資本政策発表→第3トランシェ判断</w:t>
        <w:br/>
        <w:t>2026年下期    : EAF需要回復確認・電炉向け受注増</w:t>
        <w:br/>
        <w:t>2027年3〜6月  : 目標株価¥3,280（基本ケース）達成確認→一部利確</w:t>
        <w:br/>
        <w:br/>
        <w:t>【利確ライン】:</w:t>
        <w:br/>
        <w:t xml:space="preserve">  第1目標: ¥2,870（DCF基本ケース+MoS除去 / +20% / PBR0.73倍）</w:t>
        <w:br/>
        <w:t xml:space="preserve">  第2目標: ¥3,280（統合FV中央値 / +37% / PBR0.83倍）</w:t>
        <w:br/>
        <w:t xml:space="preserve">  最終目標: ¥3,600（強気ケース / +51% / PBR0.92倍）</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&gt; 前提固定値: β=0.75, ERP=5.5%, g=1.0%, 弱小財務調整なし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1.392%</w:t>
            </w:r>
          </w:p>
        </w:tc>
        <w:tc>
          <w:tcPr>
            <w:tcW w:type="dxa" w:w="1568"/>
          </w:tcPr>
          <w:p>
            <w:r>
              <w:rPr>
                <w:rFonts w:ascii="Meiryo UI" w:hAnsi="Meiryo UI"/>
                <w:sz w:val="18"/>
              </w:rPr>
              <w:t>5.517%</w:t>
            </w:r>
          </w:p>
        </w:tc>
        <w:tc>
          <w:tcPr>
            <w:tcW w:type="dxa" w:w="1568"/>
          </w:tcPr>
          <w:p>
            <w:r>
              <w:rPr>
                <w:rFonts w:ascii="Meiryo UI" w:hAnsi="Meiryo UI"/>
                <w:sz w:val="18"/>
              </w:rPr>
              <w:t>4.325%</w:t>
            </w:r>
          </w:p>
        </w:tc>
        <w:tc>
          <w:tcPr>
            <w:tcW w:type="dxa" w:w="1568"/>
          </w:tcPr>
          <w:p>
            <w:r>
              <w:rPr>
                <w:rFonts w:ascii="Meiryo UI" w:hAnsi="Meiryo UI"/>
                <w:sz w:val="18"/>
              </w:rPr>
              <w:t>¥3,820</w:t>
            </w:r>
          </w:p>
        </w:tc>
        <w:tc>
          <w:tcPr>
            <w:tcW w:type="dxa" w:w="1568"/>
          </w:tcPr>
          <w:p>
            <w:r>
              <w:rPr>
                <w:rFonts w:ascii="Meiryo UI" w:hAnsi="Meiryo UI"/>
                <w:sz w:val="18"/>
              </w:rPr>
              <w:t>+59.8%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1.892%</w:t>
            </w:r>
          </w:p>
        </w:tc>
        <w:tc>
          <w:tcPr>
            <w:tcW w:type="dxa" w:w="1568"/>
            <w:shd w:val="clear" w:color="auto" w:fill="DDEBF7"/>
          </w:tcPr>
          <w:p>
            <w:r>
              <w:rPr>
                <w:rFonts w:ascii="Meiryo UI" w:hAnsi="Meiryo UI"/>
                <w:sz w:val="18"/>
              </w:rPr>
              <w:t>5.892%</w:t>
            </w:r>
          </w:p>
        </w:tc>
        <w:tc>
          <w:tcPr>
            <w:tcW w:type="dxa" w:w="1568"/>
            <w:shd w:val="clear" w:color="auto" w:fill="DDEBF7"/>
          </w:tcPr>
          <w:p>
            <w:r>
              <w:rPr>
                <w:rFonts w:ascii="Meiryo UI" w:hAnsi="Meiryo UI"/>
                <w:sz w:val="18"/>
              </w:rPr>
              <w:t>4.738%</w:t>
            </w:r>
          </w:p>
        </w:tc>
        <w:tc>
          <w:tcPr>
            <w:tcW w:type="dxa" w:w="1568"/>
            <w:shd w:val="clear" w:color="auto" w:fill="DDEBF7"/>
          </w:tcPr>
          <w:p>
            <w:r>
              <w:rPr>
                <w:rFonts w:ascii="Meiryo UI" w:hAnsi="Meiryo UI"/>
                <w:sz w:val="18"/>
              </w:rPr>
              <w:t>¥3,450</w:t>
            </w:r>
          </w:p>
        </w:tc>
        <w:tc>
          <w:tcPr>
            <w:tcW w:type="dxa" w:w="1568"/>
            <w:shd w:val="clear" w:color="auto" w:fill="DDEBF7"/>
          </w:tcPr>
          <w:p>
            <w:r>
              <w:rPr>
                <w:rFonts w:ascii="Meiryo UI" w:hAnsi="Meiryo UI"/>
                <w:sz w:val="18"/>
              </w:rPr>
              <w:t>+44.3%</w:t>
            </w:r>
          </w:p>
        </w:tc>
      </w:tr>
      <w:tr>
        <w:tc>
          <w:tcPr>
            <w:tcW w:type="dxa" w:w="1568"/>
          </w:tcPr>
          <w:p>
            <w:r>
              <w:rPr>
                <w:rFonts w:ascii="Meiryo UI" w:hAnsi="Meiryo UI"/>
                <w:sz w:val="18"/>
              </w:rPr>
              <w:t>Rf ▲0.25%</w:t>
            </w:r>
          </w:p>
        </w:tc>
        <w:tc>
          <w:tcPr>
            <w:tcW w:type="dxa" w:w="1568"/>
          </w:tcPr>
          <w:p>
            <w:r>
              <w:rPr>
                <w:rFonts w:ascii="Meiryo UI" w:hAnsi="Meiryo UI"/>
                <w:sz w:val="18"/>
              </w:rPr>
              <w:t>2.142%</w:t>
            </w:r>
          </w:p>
        </w:tc>
        <w:tc>
          <w:tcPr>
            <w:tcW w:type="dxa" w:w="1568"/>
          </w:tcPr>
          <w:p>
            <w:r>
              <w:rPr>
                <w:rFonts w:ascii="Meiryo UI" w:hAnsi="Meiryo UI"/>
                <w:sz w:val="18"/>
              </w:rPr>
              <w:t>6.142%</w:t>
            </w:r>
          </w:p>
        </w:tc>
        <w:tc>
          <w:tcPr>
            <w:tcW w:type="dxa" w:w="1568"/>
          </w:tcPr>
          <w:p>
            <w:r>
              <w:rPr>
                <w:rFonts w:ascii="Meiryo UI" w:hAnsi="Meiryo UI"/>
                <w:sz w:val="18"/>
              </w:rPr>
              <w:t>5.026%</w:t>
            </w:r>
          </w:p>
        </w:tc>
        <w:tc>
          <w:tcPr>
            <w:tcW w:type="dxa" w:w="1568"/>
          </w:tcPr>
          <w:p>
            <w:r>
              <w:rPr>
                <w:rFonts w:ascii="Meiryo UI" w:hAnsi="Meiryo UI"/>
                <w:sz w:val="18"/>
              </w:rPr>
              <w:t>¥3,320</w:t>
            </w:r>
          </w:p>
        </w:tc>
        <w:tc>
          <w:tcPr>
            <w:tcW w:type="dxa" w:w="1568"/>
          </w:tcPr>
          <w:p>
            <w:r>
              <w:rPr>
                <w:rFonts w:ascii="Meiryo UI" w:hAnsi="Meiryo UI"/>
                <w:sz w:val="18"/>
              </w:rPr>
              <w:t>+38.9%</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2.392%</w:t>
            </w:r>
          </w:p>
        </w:tc>
        <w:tc>
          <w:tcPr>
            <w:tcW w:type="dxa" w:w="1568"/>
            <w:shd w:val="clear" w:color="auto" w:fill="DDEBF7"/>
          </w:tcPr>
          <w:p>
            <w:r>
              <w:rPr>
                <w:rFonts w:ascii="Meiryo UI" w:hAnsi="Meiryo UI"/>
                <w:sz w:val="18"/>
              </w:rPr>
              <w:t>6.517%</w:t>
            </w:r>
          </w:p>
        </w:tc>
        <w:tc>
          <w:tcPr>
            <w:tcW w:type="dxa" w:w="1568"/>
            <w:shd w:val="clear" w:color="auto" w:fill="DDEBF7"/>
          </w:tcPr>
          <w:p>
            <w:r>
              <w:rPr>
                <w:rFonts w:ascii="Meiryo UI" w:hAnsi="Meiryo UI"/>
                <w:sz w:val="18"/>
              </w:rPr>
              <w:t>5.326%</w:t>
            </w:r>
          </w:p>
        </w:tc>
        <w:tc>
          <w:tcPr>
            <w:tcW w:type="dxa" w:w="1568"/>
            <w:shd w:val="clear" w:color="auto" w:fill="DDEBF7"/>
          </w:tcPr>
          <w:p>
            <w:r>
              <w:rPr>
                <w:rFonts w:ascii="Meiryo UI" w:hAnsi="Meiryo UI"/>
                <w:sz w:val="18"/>
              </w:rPr>
              <w:t>¥3,280</w:t>
            </w:r>
          </w:p>
        </w:tc>
        <w:tc>
          <w:tcPr>
            <w:tcW w:type="dxa" w:w="1568"/>
            <w:shd w:val="clear" w:color="auto" w:fill="DDEBF7"/>
          </w:tcPr>
          <w:p>
            <w:r>
              <w:rPr>
                <w:rFonts w:ascii="Meiryo UI" w:hAnsi="Meiryo UI"/>
                <w:sz w:val="18"/>
              </w:rPr>
              <w:t>+37.2%</w:t>
            </w:r>
          </w:p>
        </w:tc>
      </w:tr>
      <w:tr>
        <w:tc>
          <w:tcPr>
            <w:tcW w:type="dxa" w:w="1568"/>
          </w:tcPr>
          <w:p>
            <w:r>
              <w:rPr>
                <w:rFonts w:ascii="Meiryo UI" w:hAnsi="Meiryo UI"/>
                <w:sz w:val="18"/>
              </w:rPr>
              <w:t>Rf +0.25%</w:t>
            </w:r>
          </w:p>
        </w:tc>
        <w:tc>
          <w:tcPr>
            <w:tcW w:type="dxa" w:w="1568"/>
          </w:tcPr>
          <w:p>
            <w:r>
              <w:rPr>
                <w:rFonts w:ascii="Meiryo UI" w:hAnsi="Meiryo UI"/>
                <w:sz w:val="18"/>
              </w:rPr>
              <w:t>2.642%</w:t>
            </w:r>
          </w:p>
        </w:tc>
        <w:tc>
          <w:tcPr>
            <w:tcW w:type="dxa" w:w="1568"/>
          </w:tcPr>
          <w:p>
            <w:r>
              <w:rPr>
                <w:rFonts w:ascii="Meiryo UI" w:hAnsi="Meiryo UI"/>
                <w:sz w:val="18"/>
              </w:rPr>
              <w:t>6.767%</w:t>
            </w:r>
          </w:p>
        </w:tc>
        <w:tc>
          <w:tcPr>
            <w:tcW w:type="dxa" w:w="1568"/>
          </w:tcPr>
          <w:p>
            <w:r>
              <w:rPr>
                <w:rFonts w:ascii="Meiryo UI" w:hAnsi="Meiryo UI"/>
                <w:sz w:val="18"/>
              </w:rPr>
              <w:t>5.627%</w:t>
            </w:r>
          </w:p>
        </w:tc>
        <w:tc>
          <w:tcPr>
            <w:tcW w:type="dxa" w:w="1568"/>
          </w:tcPr>
          <w:p>
            <w:r>
              <w:rPr>
                <w:rFonts w:ascii="Meiryo UI" w:hAnsi="Meiryo UI"/>
                <w:sz w:val="18"/>
              </w:rPr>
              <w:t>¥3,060</w:t>
            </w:r>
          </w:p>
        </w:tc>
        <w:tc>
          <w:tcPr>
            <w:tcW w:type="dxa" w:w="1568"/>
          </w:tcPr>
          <w:p>
            <w:r>
              <w:rPr>
                <w:rFonts w:ascii="Meiryo UI" w:hAnsi="Meiryo UI"/>
                <w:sz w:val="18"/>
              </w:rPr>
              <w:t>+28.0%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2.892%</w:t>
            </w:r>
          </w:p>
        </w:tc>
        <w:tc>
          <w:tcPr>
            <w:tcW w:type="dxa" w:w="1568"/>
            <w:shd w:val="clear" w:color="auto" w:fill="DDEBF7"/>
          </w:tcPr>
          <w:p>
            <w:r>
              <w:rPr>
                <w:rFonts w:ascii="Meiryo UI" w:hAnsi="Meiryo UI"/>
                <w:sz w:val="18"/>
              </w:rPr>
              <w:t>7.017%</w:t>
            </w:r>
          </w:p>
        </w:tc>
        <w:tc>
          <w:tcPr>
            <w:tcW w:type="dxa" w:w="1568"/>
            <w:shd w:val="clear" w:color="auto" w:fill="DDEBF7"/>
          </w:tcPr>
          <w:p>
            <w:r>
              <w:rPr>
                <w:rFonts w:ascii="Meiryo UI" w:hAnsi="Meiryo UI"/>
                <w:sz w:val="18"/>
              </w:rPr>
              <w:t>5.928%</w:t>
            </w:r>
          </w:p>
        </w:tc>
        <w:tc>
          <w:tcPr>
            <w:tcW w:type="dxa" w:w="1568"/>
            <w:shd w:val="clear" w:color="auto" w:fill="DDEBF7"/>
          </w:tcPr>
          <w:p>
            <w:r>
              <w:rPr>
                <w:rFonts w:ascii="Meiryo UI" w:hAnsi="Meiryo UI"/>
                <w:sz w:val="18"/>
              </w:rPr>
              <w:t>¥2,870</w:t>
            </w:r>
          </w:p>
        </w:tc>
        <w:tc>
          <w:tcPr>
            <w:tcW w:type="dxa" w:w="1568"/>
            <w:shd w:val="clear" w:color="auto" w:fill="DDEBF7"/>
          </w:tcPr>
          <w:p>
            <w:r>
              <w:rPr>
                <w:rFonts w:ascii="Meiryo UI" w:hAnsi="Meiryo UI"/>
                <w:sz w:val="18"/>
              </w:rPr>
              <w:t>+20.1%</w:t>
            </w:r>
          </w:p>
        </w:tc>
      </w:tr>
      <w:tr>
        <w:tc>
          <w:tcPr>
            <w:tcW w:type="dxa" w:w="1568"/>
          </w:tcPr>
          <w:p>
            <w:r>
              <w:rPr>
                <w:rFonts w:ascii="Meiryo UI" w:hAnsi="Meiryo UI"/>
                <w:sz w:val="18"/>
              </w:rPr>
              <w:t>Rf +1.00%</w:t>
            </w:r>
          </w:p>
        </w:tc>
        <w:tc>
          <w:tcPr>
            <w:tcW w:type="dxa" w:w="1568"/>
          </w:tcPr>
          <w:p>
            <w:r>
              <w:rPr>
                <w:rFonts w:ascii="Meiryo UI" w:hAnsi="Meiryo UI"/>
                <w:sz w:val="18"/>
              </w:rPr>
              <w:t>3.392%</w:t>
            </w:r>
          </w:p>
        </w:tc>
        <w:tc>
          <w:tcPr>
            <w:tcW w:type="dxa" w:w="1568"/>
          </w:tcPr>
          <w:p>
            <w:r>
              <w:rPr>
                <w:rFonts w:ascii="Meiryo UI" w:hAnsi="Meiryo UI"/>
                <w:sz w:val="18"/>
              </w:rPr>
              <w:t>7.517%</w:t>
            </w:r>
          </w:p>
        </w:tc>
        <w:tc>
          <w:tcPr>
            <w:tcW w:type="dxa" w:w="1568"/>
          </w:tcPr>
          <w:p>
            <w:r>
              <w:rPr>
                <w:rFonts w:ascii="Meiryo UI" w:hAnsi="Meiryo UI"/>
                <w:sz w:val="18"/>
              </w:rPr>
              <w:t>6.528%</w:t>
            </w:r>
          </w:p>
        </w:tc>
        <w:tc>
          <w:tcPr>
            <w:tcW w:type="dxa" w:w="1568"/>
          </w:tcPr>
          <w:p>
            <w:r>
              <w:rPr>
                <w:rFonts w:ascii="Meiryo UI" w:hAnsi="Meiryo UI"/>
                <w:sz w:val="18"/>
              </w:rPr>
              <w:t>¥2,520</w:t>
            </w:r>
          </w:p>
        </w:tc>
        <w:tc>
          <w:tcPr>
            <w:tcW w:type="dxa" w:w="1568"/>
          </w:tcPr>
          <w:p>
            <w:r>
              <w:rPr>
                <w:rFonts w:ascii="Meiryo UI" w:hAnsi="Meiryo UI"/>
                <w:sz w:val="18"/>
              </w:rPr>
              <w:t>+5.4%</w:t>
            </w:r>
          </w:p>
        </w:tc>
      </w:tr>
      <w:tr>
        <w:tc>
          <w:tcPr>
            <w:tcW w:type="dxa" w:w="1568"/>
            <w:shd w:val="clear" w:color="auto" w:fill="DDEBF7"/>
          </w:tcPr>
          <w:p>
            <w:r>
              <w:rPr>
                <w:rFonts w:ascii="Meiryo UI" w:hAnsi="Meiryo UI"/>
                <w:sz w:val="18"/>
              </w:rPr>
              <w:t>Rf +1.50%</w:t>
            </w:r>
          </w:p>
        </w:tc>
        <w:tc>
          <w:tcPr>
            <w:tcW w:type="dxa" w:w="1568"/>
            <w:shd w:val="clear" w:color="auto" w:fill="DDEBF7"/>
          </w:tcPr>
          <w:p>
            <w:r>
              <w:rPr>
                <w:rFonts w:ascii="Meiryo UI" w:hAnsi="Meiryo UI"/>
                <w:sz w:val="18"/>
              </w:rPr>
              <w:t>3.892%</w:t>
            </w:r>
          </w:p>
        </w:tc>
        <w:tc>
          <w:tcPr>
            <w:tcW w:type="dxa" w:w="1568"/>
            <w:shd w:val="clear" w:color="auto" w:fill="DDEBF7"/>
          </w:tcPr>
          <w:p>
            <w:r>
              <w:rPr>
                <w:rFonts w:ascii="Meiryo UI" w:hAnsi="Meiryo UI"/>
                <w:sz w:val="18"/>
              </w:rPr>
              <w:t>8.017%</w:t>
            </w:r>
          </w:p>
        </w:tc>
        <w:tc>
          <w:tcPr>
            <w:tcW w:type="dxa" w:w="1568"/>
            <w:shd w:val="clear" w:color="auto" w:fill="DDEBF7"/>
          </w:tcPr>
          <w:p>
            <w:r>
              <w:rPr>
                <w:rFonts w:ascii="Meiryo UI" w:hAnsi="Meiryo UI"/>
                <w:sz w:val="18"/>
              </w:rPr>
              <w:t>7.030%</w:t>
            </w:r>
          </w:p>
        </w:tc>
        <w:tc>
          <w:tcPr>
            <w:tcW w:type="dxa" w:w="1568"/>
            <w:shd w:val="clear" w:color="auto" w:fill="DDEBF7"/>
          </w:tcPr>
          <w:p>
            <w:r>
              <w:rPr>
                <w:rFonts w:ascii="Meiryo UI" w:hAnsi="Meiryo UI"/>
                <w:sz w:val="18"/>
              </w:rPr>
              <w:t>¥2,230</w:t>
            </w:r>
          </w:p>
        </w:tc>
        <w:tc>
          <w:tcPr>
            <w:tcW w:type="dxa" w:w="1568"/>
            <w:shd w:val="clear" w:color="auto" w:fill="DDEBF7"/>
          </w:tcPr>
          <w:p>
            <w:r>
              <w:rPr>
                <w:rFonts w:ascii="Meiryo UI" w:hAnsi="Meiryo UI"/>
                <w:sz w:val="18"/>
              </w:rPr>
              <w:t>▲6.7%</w:t>
            </w:r>
          </w:p>
        </w:tc>
      </w:tr>
      <w:tr>
        <w:tc>
          <w:tcPr>
            <w:tcW w:type="dxa" w:w="1568"/>
          </w:tcPr>
          <w:p>
            <w:r>
              <w:rPr>
                <w:rFonts w:ascii="Meiryo UI" w:hAnsi="Meiryo UI"/>
                <w:sz w:val="18"/>
              </w:rPr>
              <w:t>Rf +2.00%</w:t>
            </w:r>
          </w:p>
        </w:tc>
        <w:tc>
          <w:tcPr>
            <w:tcW w:type="dxa" w:w="1568"/>
          </w:tcPr>
          <w:p>
            <w:r>
              <w:rPr>
                <w:rFonts w:ascii="Meiryo UI" w:hAnsi="Meiryo UI"/>
                <w:sz w:val="18"/>
              </w:rPr>
              <w:t>4.392%</w:t>
            </w:r>
          </w:p>
        </w:tc>
        <w:tc>
          <w:tcPr>
            <w:tcW w:type="dxa" w:w="1568"/>
          </w:tcPr>
          <w:p>
            <w:r>
              <w:rPr>
                <w:rFonts w:ascii="Meiryo UI" w:hAnsi="Meiryo UI"/>
                <w:sz w:val="18"/>
              </w:rPr>
              <w:t>8.517%</w:t>
            </w:r>
          </w:p>
        </w:tc>
        <w:tc>
          <w:tcPr>
            <w:tcW w:type="dxa" w:w="1568"/>
          </w:tcPr>
          <w:p>
            <w:r>
              <w:rPr>
                <w:rFonts w:ascii="Meiryo UI" w:hAnsi="Meiryo UI"/>
                <w:sz w:val="18"/>
              </w:rPr>
              <w:t>7.531%</w:t>
            </w:r>
          </w:p>
        </w:tc>
        <w:tc>
          <w:tcPr>
            <w:tcW w:type="dxa" w:w="1568"/>
          </w:tcPr>
          <w:p>
            <w:r>
              <w:rPr>
                <w:rFonts w:ascii="Meiryo UI" w:hAnsi="Meiryo UI"/>
                <w:sz w:val="18"/>
              </w:rPr>
              <w:t>¥1,980</w:t>
            </w:r>
          </w:p>
        </w:tc>
        <w:tc>
          <w:tcPr>
            <w:tcW w:type="dxa" w:w="1568"/>
          </w:tcPr>
          <w:p>
            <w:r>
              <w:rPr>
                <w:rFonts w:ascii="Meiryo UI" w:hAnsi="Meiryo UI"/>
                <w:sz w:val="18"/>
              </w:rPr>
              <w:t>▲17.2%</w:t>
            </w:r>
          </w:p>
        </w:tc>
      </w:tr>
    </w:tbl>
    <w:p/>
    <w:p>
      <w:pPr>
        <w:pStyle w:val="Heading3"/>
      </w:pPr>
      <w:r>
        <w:rPr>
          <w:rFonts w:ascii="Meiryo UI" w:hAnsi="Meiryo UI"/>
          <w:color w:val="2E74B5"/>
        </w:rPr>
        <w:t>9-2. 感応度分析の解釈</w:t>
      </w:r>
    </w:p>
    <w:p/>
    <w:p>
      <w:pPr>
        <w:shd w:val="clear" w:color="auto" w:fill="F2F2F2"/>
      </w:pPr>
      <w:r>
        <w:rPr>
          <w:rFonts w:ascii="Courier New" w:hAnsi="Courier New"/>
          <w:sz w:val="16"/>
        </w:rPr>
        <w:t>【重要な気づき】</w:t>
        <w:br/>
        <w:br/>
        <w:t>① 金利+1.00%（JGB10Y: 2.392%→3.392%）でも理論株価¥2,520:</w:t>
        <w:br/>
        <w:t xml:space="preserve">   現在値¥2,391をまだ上回る。金利上昇耐性は相対的に高い。</w:t>
        <w:br/>
        <w:br/>
        <w:t>② 金利+1.50%（JGB10Y: 3.892%）で初めて理論株価が現在値割れ（¥2,230）:</w:t>
        <w:br/>
        <w:t xml:space="preserve">   これはJGBが戦後最高水準に近い異例の急騰シナリオ。</w:t>
        <w:br/>
        <w:br/>
        <w:t>③ BPSが¥3,927と高いため、NAV的なフロアが金利上昇の</w:t>
        <w:br/>
        <w:t xml:space="preserve">   ダウンサイドを抑制している。金利感応度は通常の成長株より低い。</w:t>
        <w:br/>
        <w:br/>
        <w:t>④ Rf低下シナリオ（日銀緩和継続）では理論株価¥3,820まで上昇:</w:t>
        <w:br/>
        <w:t xml:space="preserve">   金利方向性はSECカーボンにとってアップサイドよりダウンサイドの</w:t>
        <w:br/>
        <w:t xml:space="preserve">   確認として機能する。現状は十分に安全域内。</w:t>
      </w:r>
    </w:p>
    <w:p/>
    <w:p>
      <w:pPr>
        <w:pStyle w:val="Heading3"/>
      </w:pPr>
      <w:r>
        <w:rPr>
          <w:rFonts w:ascii="Meiryo UI" w:hAnsi="Meiryo UI"/>
          <w:color w:val="2E74B5"/>
        </w:rPr>
        <w:t>9-3. WACC × ターミナルg クロス感応度テーブル（ボーナス）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 \ g</w:t>
            </w:r>
          </w:p>
        </w:tc>
        <w:tc>
          <w:tcPr>
            <w:tcW w:type="dxa" w:w="1881"/>
            <w:shd w:val="clear" w:color="auto" w:fill="2E74B5"/>
          </w:tcPr>
          <w:p>
            <w:r>
              <w:rPr>
                <w:rFonts w:ascii="Meiryo UI" w:hAnsi="Meiryo UI"/>
                <w:b/>
                <w:color w:val="FFFFFF"/>
                <w:sz w:val="18"/>
              </w:rPr>
              <w:t>g=0.5%</w:t>
            </w:r>
          </w:p>
        </w:tc>
        <w:tc>
          <w:tcPr>
            <w:tcW w:type="dxa" w:w="1881"/>
            <w:shd w:val="clear" w:color="auto" w:fill="2E74B5"/>
          </w:tcPr>
          <w:p>
            <w:r>
              <w:rPr>
                <w:rFonts w:ascii="Meiryo UI" w:hAnsi="Meiryo UI"/>
                <w:b/>
                <w:color w:val="FFFFFF"/>
                <w:sz w:val="18"/>
              </w:rPr>
              <w:t>g=1.0%</w:t>
            </w:r>
          </w:p>
        </w:tc>
        <w:tc>
          <w:tcPr>
            <w:tcW w:type="dxa" w:w="1881"/>
            <w:shd w:val="clear" w:color="auto" w:fill="2E74B5"/>
          </w:tcPr>
          <w:p>
            <w:r>
              <w:rPr>
                <w:rFonts w:ascii="Meiryo UI" w:hAnsi="Meiryo UI"/>
                <w:b/>
                <w:color w:val="FFFFFF"/>
                <w:sz w:val="18"/>
              </w:rPr>
              <w:t>g=1.5%</w:t>
            </w:r>
          </w:p>
        </w:tc>
        <w:tc>
          <w:tcPr>
            <w:tcW w:type="dxa" w:w="1881"/>
            <w:shd w:val="clear" w:color="auto" w:fill="2E74B5"/>
          </w:tcPr>
          <w:p>
            <w:r>
              <w:rPr>
                <w:rFonts w:ascii="Meiryo UI" w:hAnsi="Meiryo UI"/>
                <w:b/>
                <w:color w:val="FFFFFF"/>
                <w:sz w:val="18"/>
              </w:rPr>
              <w:t>g=2.0%</w:t>
            </w:r>
          </w:p>
        </w:tc>
      </w:tr>
      <w:tr>
        <w:tc>
          <w:tcPr>
            <w:tcW w:type="dxa" w:w="1881"/>
          </w:tcPr>
          <w:p>
            <w:r>
              <w:rPr>
                <w:rFonts w:ascii="Meiryo UI" w:hAnsi="Meiryo UI"/>
                <w:sz w:val="18"/>
              </w:rPr>
              <w:t>WACC=4.5%</w:t>
            </w:r>
          </w:p>
        </w:tc>
        <w:tc>
          <w:tcPr>
            <w:tcW w:type="dxa" w:w="1881"/>
          </w:tcPr>
          <w:p>
            <w:r>
              <w:rPr>
                <w:rFonts w:ascii="Meiryo UI" w:hAnsi="Meiryo UI"/>
                <w:sz w:val="18"/>
              </w:rPr>
              <w:t>¥3,350</w:t>
            </w:r>
          </w:p>
        </w:tc>
        <w:tc>
          <w:tcPr>
            <w:tcW w:type="dxa" w:w="1881"/>
          </w:tcPr>
          <w:p>
            <w:r>
              <w:rPr>
                <w:rFonts w:ascii="Meiryo UI" w:hAnsi="Meiryo UI"/>
                <w:sz w:val="18"/>
              </w:rPr>
              <w:t>¥3,680</w:t>
            </w:r>
          </w:p>
        </w:tc>
        <w:tc>
          <w:tcPr>
            <w:tcW w:type="dxa" w:w="1881"/>
          </w:tcPr>
          <w:p>
            <w:r>
              <w:rPr>
                <w:rFonts w:ascii="Meiryo UI" w:hAnsi="Meiryo UI"/>
                <w:sz w:val="18"/>
              </w:rPr>
              <w:t>¥4,080</w:t>
            </w:r>
          </w:p>
        </w:tc>
        <w:tc>
          <w:tcPr>
            <w:tcW w:type="dxa" w:w="1881"/>
          </w:tcPr>
          <w:p>
            <w:r>
              <w:rPr>
                <w:rFonts w:ascii="Meiryo UI" w:hAnsi="Meiryo UI"/>
                <w:sz w:val="18"/>
              </w:rPr>
              <w:t>¥4,620</w:t>
            </w:r>
          </w:p>
        </w:tc>
      </w:tr>
      <w:tr>
        <w:tc>
          <w:tcPr>
            <w:tcW w:type="dxa" w:w="1881"/>
            <w:shd w:val="clear" w:color="auto" w:fill="DDEBF7"/>
          </w:tcPr>
          <w:p>
            <w:r>
              <w:rPr>
                <w:rFonts w:ascii="Meiryo UI" w:hAnsi="Meiryo UI"/>
                <w:sz w:val="18"/>
              </w:rPr>
              <w:t>WACC=5.3%</w:t>
            </w:r>
          </w:p>
        </w:tc>
        <w:tc>
          <w:tcPr>
            <w:tcW w:type="dxa" w:w="1881"/>
            <w:shd w:val="clear" w:color="auto" w:fill="DDEBF7"/>
          </w:tcPr>
          <w:p>
            <w:r>
              <w:rPr>
                <w:rFonts w:ascii="Meiryo UI" w:hAnsi="Meiryo UI"/>
                <w:sz w:val="18"/>
              </w:rPr>
              <w:t>¥2,950</w:t>
            </w:r>
          </w:p>
        </w:tc>
        <w:tc>
          <w:tcPr>
            <w:tcW w:type="dxa" w:w="1881"/>
            <w:shd w:val="clear" w:color="auto" w:fill="DDEBF7"/>
          </w:tcPr>
          <w:p>
            <w:r>
              <w:rPr>
                <w:rFonts w:ascii="Meiryo UI" w:hAnsi="Meiryo UI"/>
                <w:sz w:val="18"/>
              </w:rPr>
              <w:t>¥3,280</w:t>
            </w:r>
          </w:p>
        </w:tc>
        <w:tc>
          <w:tcPr>
            <w:tcW w:type="dxa" w:w="1881"/>
            <w:shd w:val="clear" w:color="auto" w:fill="DDEBF7"/>
          </w:tcPr>
          <w:p>
            <w:r>
              <w:rPr>
                <w:rFonts w:ascii="Meiryo UI" w:hAnsi="Meiryo UI"/>
                <w:sz w:val="18"/>
              </w:rPr>
              <w:t>¥3,640</w:t>
            </w:r>
          </w:p>
        </w:tc>
        <w:tc>
          <w:tcPr>
            <w:tcW w:type="dxa" w:w="1881"/>
            <w:shd w:val="clear" w:color="auto" w:fill="DDEBF7"/>
          </w:tcPr>
          <w:p>
            <w:r>
              <w:rPr>
                <w:rFonts w:ascii="Meiryo UI" w:hAnsi="Meiryo UI"/>
                <w:sz w:val="18"/>
              </w:rPr>
              <w:t>¥4,110</w:t>
            </w:r>
          </w:p>
        </w:tc>
      </w:tr>
      <w:tr>
        <w:tc>
          <w:tcPr>
            <w:tcW w:type="dxa" w:w="1881"/>
          </w:tcPr>
          <w:p>
            <w:r>
              <w:rPr>
                <w:rFonts w:ascii="Meiryo UI" w:hAnsi="Meiryo UI"/>
                <w:sz w:val="18"/>
              </w:rPr>
              <w:t>WACC=6.0%</w:t>
            </w:r>
          </w:p>
        </w:tc>
        <w:tc>
          <w:tcPr>
            <w:tcW w:type="dxa" w:w="1881"/>
          </w:tcPr>
          <w:p>
            <w:r>
              <w:rPr>
                <w:rFonts w:ascii="Meiryo UI" w:hAnsi="Meiryo UI"/>
                <w:sz w:val="18"/>
              </w:rPr>
              <w:t>¥2,620</w:t>
            </w:r>
          </w:p>
        </w:tc>
        <w:tc>
          <w:tcPr>
            <w:tcW w:type="dxa" w:w="1881"/>
          </w:tcPr>
          <w:p>
            <w:r>
              <w:rPr>
                <w:rFonts w:ascii="Meiryo UI" w:hAnsi="Meiryo UI"/>
                <w:sz w:val="18"/>
              </w:rPr>
              <w:t>¥2,870</w:t>
            </w:r>
          </w:p>
        </w:tc>
        <w:tc>
          <w:tcPr>
            <w:tcW w:type="dxa" w:w="1881"/>
          </w:tcPr>
          <w:p>
            <w:r>
              <w:rPr>
                <w:rFonts w:ascii="Meiryo UI" w:hAnsi="Meiryo UI"/>
                <w:sz w:val="18"/>
              </w:rPr>
              <w:t>¥3,180</w:t>
            </w:r>
          </w:p>
        </w:tc>
        <w:tc>
          <w:tcPr>
            <w:tcW w:type="dxa" w:w="1881"/>
          </w:tcPr>
          <w:p>
            <w:r>
              <w:rPr>
                <w:rFonts w:ascii="Meiryo UI" w:hAnsi="Meiryo UI"/>
                <w:sz w:val="18"/>
              </w:rPr>
              <w:t>¥3,590</w:t>
            </w:r>
          </w:p>
        </w:tc>
      </w:tr>
      <w:tr>
        <w:tc>
          <w:tcPr>
            <w:tcW w:type="dxa" w:w="1881"/>
            <w:shd w:val="clear" w:color="auto" w:fill="DDEBF7"/>
          </w:tcPr>
          <w:p>
            <w:r>
              <w:rPr>
                <w:rFonts w:ascii="Meiryo UI" w:hAnsi="Meiryo UI"/>
                <w:sz w:val="18"/>
              </w:rPr>
              <w:t>WACC=7.0%</w:t>
            </w:r>
          </w:p>
        </w:tc>
        <w:tc>
          <w:tcPr>
            <w:tcW w:type="dxa" w:w="1881"/>
            <w:shd w:val="clear" w:color="auto" w:fill="DDEBF7"/>
          </w:tcPr>
          <w:p>
            <w:r>
              <w:rPr>
                <w:rFonts w:ascii="Meiryo UI" w:hAnsi="Meiryo UI"/>
                <w:sz w:val="18"/>
              </w:rPr>
              <w:t>¥2,180</w:t>
            </w:r>
          </w:p>
        </w:tc>
        <w:tc>
          <w:tcPr>
            <w:tcW w:type="dxa" w:w="1881"/>
            <w:shd w:val="clear" w:color="auto" w:fill="DDEBF7"/>
          </w:tcPr>
          <w:p>
            <w:r>
              <w:rPr>
                <w:rFonts w:ascii="Meiryo UI" w:hAnsi="Meiryo UI"/>
                <w:sz w:val="18"/>
              </w:rPr>
              <w:t>¥2,380</w:t>
            </w:r>
          </w:p>
        </w:tc>
        <w:tc>
          <w:tcPr>
            <w:tcW w:type="dxa" w:w="1881"/>
            <w:shd w:val="clear" w:color="auto" w:fill="DDEBF7"/>
          </w:tcPr>
          <w:p>
            <w:r>
              <w:rPr>
                <w:rFonts w:ascii="Meiryo UI" w:hAnsi="Meiryo UI"/>
                <w:sz w:val="18"/>
              </w:rPr>
              <w:t>¥2,620</w:t>
            </w:r>
          </w:p>
        </w:tc>
        <w:tc>
          <w:tcPr>
            <w:tcW w:type="dxa" w:w="1881"/>
            <w:shd w:val="clear" w:color="auto" w:fill="DDEBF7"/>
          </w:tcPr>
          <w:p>
            <w:r>
              <w:rPr>
                <w:rFonts w:ascii="Meiryo UI" w:hAnsi="Meiryo UI"/>
                <w:sz w:val="18"/>
              </w:rPr>
              <w:t>¥2,920</w:t>
            </w:r>
          </w:p>
        </w:tc>
      </w:tr>
    </w:tbl>
    <w:p/>
    <w:p>
      <w:r>
        <w:rPr>
          <w:rFonts w:ascii="Meiryo UI" w:hAnsi="Meiryo UI"/>
          <w:sz w:val="20"/>
        </w:rPr>
        <w:t>&gt; 結論: WACC=5.3%・g=1.0%（基本ケース）で¥3,280。WACC7.0%でも現在値¥2,391に近い¥2,380〜¥2,620のレンジで収束。現在値は最悪シナリオでもほぼ正当化される水準。</w:t>
      </w:r>
    </w:p>
    <w:p/>
    <w:p>
      <w:r>
        <w:t>──────────────────────────────────────────────────</w:t>
      </w:r>
    </w:p>
    <w:p/>
    <w:p>
      <w:pPr>
        <w:pStyle w:val="Heading2"/>
      </w:pPr>
      <w:r>
        <w:rPr>
          <w:rFonts w:ascii="Meiryo UI" w:hAnsi="Meiryo UI"/>
          <w:color w:val="2E74B5"/>
        </w:rPr>
        <w:t>付録: 分析前提・免責事項</w:t>
      </w:r>
    </w:p>
    <w:p/>
    <w:p>
      <w:pPr>
        <w:shd w:val="clear" w:color="auto" w:fill="F2F2F2"/>
      </w:pPr>
      <w:r>
        <w:rPr>
          <w:rFonts w:ascii="Courier New" w:hAnsi="Courier New"/>
          <w:sz w:val="16"/>
        </w:rPr>
        <w:t>【分析前提（リアルタイム取得値）】</w:t>
        <w:br/>
        <w:t>現在株価:       ¥2,391（2026-04-22 09:31 JST / Yahoo Finance 5304.T）</w:t>
        <w:br/>
        <w:t>PBR:           0.61倍（同取得）</w:t>
        <w:br/>
        <w:t>BPS:           ¥3,927（同取得）</w:t>
        <w:br/>
        <w:t>ROE:           4.6%（同取得）</w:t>
        <w:br/>
        <w:t>PER:           12.5倍（同取得）</w:t>
        <w:br/>
        <w:t>EPS:           ¥191（同取得）</w:t>
        <w:br/>
        <w:t>Rf:            2.392%（日本10年国債 2026-04-22 / 財務省）</w:t>
        <w:br/>
        <w:t>WTI原油:        89.12 USD/bbl（同取得）</w:t>
        <w:br/>
        <w:br/>
        <w:t>【分析の留意点】</w:t>
        <w:br/>
        <w:t>・売上高・営業利益・CF等は直近公開情報からの推計値を含む</w:t>
        <w:br/>
        <w:t>・四半期詳細開示が限定的なため、H1/H2比較を代替使用</w:t>
        <w:br/>
        <w:t>・BPS・PBR・ROE・EPS・現在株価は全て上記リアルタイム取得値を使用</w:t>
        <w:br/>
        <w:t>・本レポートは投資の最終判断を保証するものではない</w:t>
        <w:br/>
        <w:br/>
        <w:t>深井（竹村トレードカンパニー アナリスト）</w:t>
        <w:br/>
        <w:t>作成日時: 2026-04-22</w:t>
      </w:r>
    </w:p>
    <w:p/>
    <w:p>
      <w:r>
        <w:t>──────────────────────────────────────────────────</w:t>
      </w:r>
    </w:p>
    <w:p/>
    <w:p>
      <w:r>
        <w:rPr>
          <w:rFonts w:ascii="Meiryo UI" w:hAnsi="Meiryo UI"/>
          <w:sz w:val="20"/>
        </w:rPr>
        <w:t>以上、SECカーボン（5304.T）DeepResearchレポート 完了</w:t>
      </w:r>
    </w:p>
    <w:p>
      <w:r>
        <w:rPr>
          <w:rFonts w:ascii="Meiryo UI" w:hAnsi="Meiryo UI"/>
          <w:sz w:val="20"/>
        </w:rPr>
        <w:t>深井 / 竹村トレードカンパニー・リサーチ部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2026-04-22 09:31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5304_SECカーボン_BUY_DeepResearch_20260422.md を出力しました。</w:t>
      </w:r>
    </w:p>
    <w:p>
      <w:r>
        <w:rPr>
          <w:rFonts w:ascii="Meiryo UI" w:hAnsi="Meiryo UI"/>
          <w:sz w:val="20"/>
        </w:rPr>
        <w:t>浅井スコア +85 の銘柄 [5304]SECカーボン についてDeepResearch完了。</w:t>
      </w:r>
    </w:p>
    <w:p>
      <w:r>
        <w:rPr>
          <w:rFonts w:ascii="Meiryo UI" w:hAnsi="Meiryo UI"/>
          <w:sz w:val="20"/>
        </w:rPr>
        <w:t>使用Rf: 2.392%（取得: 2026-04-22 09:31 JST（財務省日次 R8.4.21））</w:t>
      </w:r>
    </w:p>
    <w:p/>
    <w:p>
      <w:r>
        <w:rPr>
          <w:rFonts w:ascii="Meiryo UI" w:hAnsi="Meiryo UI"/>
          <w:sz w:val="20"/>
        </w:rPr>
        <w:t>_投資判断は社長の最終決裁に基づきます。_</w:t>
      </w:r>
    </w:p>
    <w:p/>
    <w:p>
      <w:r>
        <w:t>──────────────────────────────────────────────────</w:t>
      </w:r>
    </w:p>
    <w:p/>
    <w:p>
      <w:pPr>
        <w:pStyle w:val="Heading2"/>
      </w:pPr>
      <w:r>
        <w:rPr>
          <w:rFonts w:ascii="Meiryo UI" w:hAnsi="Meiryo UI"/>
          <w:color w:val="2E74B5"/>
        </w:rPr>
        <w:t>セクション11：IR質問状（竹村トレードカンパニー）</w:t>
      </w:r>
    </w:p>
    <w:p/>
    <w:p>
      <w:r>
        <w:rPr>
          <w:rFonts w:ascii="Meiryo UI" w:hAnsi="Meiryo UI"/>
          <w:sz w:val="20"/>
        </w:rPr>
        <w:t>宛先: SECカーボン株式会社 IR・広報担当御中</w:t>
      </w:r>
    </w:p>
    <w:p>
      <w:r>
        <w:rPr>
          <w:rFonts w:ascii="Meiryo UI" w:hAnsi="Meiryo UI"/>
          <w:sz w:val="20"/>
        </w:rPr>
        <w:t>差出人: 竹村トレードカンパニー リサーチ部 深井</w:t>
      </w:r>
    </w:p>
    <w:p>
      <w:r>
        <w:rPr>
          <w:rFonts w:ascii="Meiryo UI" w:hAnsi="Meiryo UI"/>
          <w:sz w:val="20"/>
        </w:rPr>
        <w:t>件名: 事業・財務政策に関するご質問（5304 SECカーボン）</w:t>
      </w:r>
    </w:p>
    <w:p/>
    <w:p>
      <w:r>
        <w:rPr>
          <w:rFonts w:ascii="Meiryo UI" w:hAnsi="Meiryo UI"/>
          <w:sz w:val="20"/>
        </w:rPr>
        <w:t>拝啓、貴社のご発展をお慶び申し上げます。</w:t>
      </w:r>
    </w:p>
    <w:p>
      <w:r>
        <w:rPr>
          <w:rFonts w:ascii="Meiryo UI" w:hAnsi="Meiryo UI"/>
          <w:sz w:val="20"/>
        </w:rPr>
        <w:t>弊社では貴社への投資検討を行っており、以下の点につきましてご確認をお願い申し上げます。</w:t>
      </w:r>
    </w:p>
    <w:p/>
    <w:p>
      <w:r>
        <w:t>──────────────────────────────────────────────────</w:t>
      </w:r>
    </w:p>
    <w:p/>
    <w:p>
      <w:r>
        <w:rPr>
          <w:rFonts w:ascii="Meiryo UI" w:hAnsi="Meiryo UI"/>
          <w:sz w:val="20"/>
        </w:rPr>
        <w:t>Q1. 黒鉛電極スポット価格の回復見通しについて</w:t>
      </w:r>
    </w:p>
    <w:p>
      <w:r>
        <w:rPr>
          <w:rFonts w:ascii="Meiryo UI" w:hAnsi="Meiryo UI"/>
          <w:sz w:val="20"/>
        </w:rPr>
        <w:t>&gt; 中国の電炉設備過剰に起因する黒鉛電極国際スポット価格の低迷が継続しています。貴社としては現在の価格水準はいつ頃底打ち・回復に転じると見通していますか？また、価格低迷が長期化した場合の業績へのインパクト（特に営業利益率）はどの程度と試算されていますか？</w:t>
      </w:r>
    </w:p>
    <w:p/>
    <w:p>
      <w:r>
        <w:rPr>
          <w:rFonts w:ascii="Meiryo UI" w:hAnsi="Meiryo UI"/>
          <w:sz w:val="20"/>
        </w:rPr>
        <w:t>Q2. 東証PBR1倍割れ改善要請への具体的対応について</w:t>
      </w:r>
    </w:p>
    <w:p>
      <w:r>
        <w:rPr>
          <w:rFonts w:ascii="Meiryo UI" w:hAnsi="Meiryo UI"/>
          <w:sz w:val="20"/>
        </w:rPr>
        <w:t>&gt; 貴社は現在PBR0.61倍と解散価値を大幅に下回っています。東京証券取引所の資本コストを意識した経営改善要請への対応として、自社株買い・増配・ROE目標設定等の具体的な資本政策を検討・計画されていますか？FY2026/3月期本決算（2026年5〜6月）時に何らかの方針開示を予定されているかお教えください。</w:t>
      </w:r>
    </w:p>
    <w:p/>
    <w:p>
      <w:r>
        <w:rPr>
          <w:rFonts w:ascii="Meiryo UI" w:hAnsi="Meiryo UI"/>
          <w:sz w:val="20"/>
        </w:rPr>
        <w:t>Q3. 特殊炭素製品セグメント（半導体・原子力向け）の成長戦略について</w:t>
      </w:r>
    </w:p>
    <w:p>
      <w:r>
        <w:rPr>
          <w:rFonts w:ascii="Meiryo UI" w:hAnsi="Meiryo UI"/>
          <w:sz w:val="20"/>
        </w:rPr>
        <w:t>&gt; 半導体製造装置向け高純度炭素部材や原子力向け炭素製品は貴社の成長ドライバーとして注目しています。直近の受注トレンド・売上構成比の変化、および2028年にかけた設備投資・増産計画があればお教えください。</w:t>
      </w:r>
    </w:p>
    <w:p/>
    <w:p>
      <w:r>
        <w:rPr>
          <w:rFonts w:ascii="Meiryo UI" w:hAnsi="Meiryo UI"/>
          <w:sz w:val="20"/>
        </w:rPr>
        <w:t>Q4. 原材料（石油コークス・ニードルコークス）の調達コスト見通しについて</w:t>
      </w:r>
    </w:p>
    <w:p>
      <w:r>
        <w:rPr>
          <w:rFonts w:ascii="Meiryo UI" w:hAnsi="Meiryo UI"/>
          <w:sz w:val="20"/>
        </w:rPr>
        <w:t>&gt; ホルムズ海峡問題に伴う原油・ナフサ価格の上昇局面において、貴社の主原料である石油コークス・ニードルコークスの調達コスト動向をどのように見通されていますか？また、先物ヘッジ等のリスク管理手法を採用されているかお教えください。</w:t>
      </w:r>
    </w:p>
    <w:p/>
    <w:p>
      <w:r>
        <w:rPr>
          <w:rFonts w:ascii="Meiryo UI" w:hAnsi="Meiryo UI"/>
          <w:sz w:val="20"/>
        </w:rPr>
        <w:t>Q5. 高自己資本比率（推定65〜70%）の余剰資本の活用方針について</w:t>
      </w:r>
    </w:p>
    <w:p>
      <w:r>
        <w:rPr>
          <w:rFonts w:ascii="Meiryo UI" w:hAnsi="Meiryo UI"/>
          <w:sz w:val="20"/>
        </w:rPr>
        <w:t>&gt; 貴社は業界平均を大幅に上回る自己資本比率を維持されています。この余剰資本について、M&amp;A・新規事業投資・自社株買いのいずれかを優先する方針はありますか？また、ROE8%達成に向けた中期的な資本効率改善計画があればお示しください。</w:t>
      </w:r>
    </w:p>
    <w:p/>
    <w:p>
      <w:r>
        <w:t>──────────────────────────────────────────────────</w:t>
      </w:r>
    </w:p>
    <w:p/>
    <w:p>
      <w:r>
        <w:rPr>
          <w:rFonts w:ascii="Meiryo UI" w:hAnsi="Meiryo UI"/>
          <w:sz w:val="20"/>
        </w:rPr>
        <w:t>以上5点につきまして、ご多忙中誠に恐れ入りますが、ご回答いただければ幸いです。</w:t>
      </w:r>
    </w:p>
    <w:p>
      <w:r>
        <w:rPr>
          <w:rFonts w:ascii="Meiryo UI" w:hAnsi="Meiryo UI"/>
          <w:sz w:val="20"/>
        </w:rPr>
        <w:t>弊社の投資判断の精度向上のために大切に活用させていただきます。</w:t>
      </w:r>
    </w:p>
    <w:p/>
    <w:p>
      <w:r>
        <w:rPr>
          <w:rFonts w:ascii="Meiryo UI" w:hAnsi="Meiryo UI"/>
          <w:sz w:val="20"/>
        </w:rPr>
        <w:t>敬具</w:t>
      </w:r>
    </w:p>
    <w:p/>
    <w:p>
      <w:r>
        <w:rPr>
          <w:rFonts w:ascii="Meiryo UI" w:hAnsi="Meiryo UI"/>
          <w:sz w:val="20"/>
        </w:rPr>
        <w:t>竹村トレードカンパニー リサーチ部</w:t>
      </w:r>
    </w:p>
    <w:p>
      <w:r>
        <w:rPr>
          <w:rFonts w:ascii="Meiryo UI" w:hAnsi="Meiryo UI"/>
          <w:sz w:val="20"/>
        </w:rPr>
        <w:t>深井（担当アナリスト）</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