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543A ARCHION Corporation ■ Deep Research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分析日：2026年04月24日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543A ARCHION Corporation ■ Deep Research</w:t>
      </w:r>
    </w:p>
    <w:p>
      <w:r>
        <w:rPr>
          <w:rFonts w:ascii="Meiryo UI" w:hAnsi="Meiryo UI"/>
          <w:sz w:val="20"/>
        </w:rPr>
        <w:t>分析日: 2026年04月24日</w:t>
      </w:r>
    </w:p>
    <w:p>
      <w:r>
        <w:rPr>
          <w:rFonts w:ascii="Meiryo UI" w:hAnsi="Meiryo UI"/>
          <w:sz w:val="20"/>
        </w:rPr>
        <w:t>アナリスト: 深井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▼ 10秒エグゼクティブサマリー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投資判断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WATCH（現時点エントリー非推奨）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目標株価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¥420（ベース）/ ¥600（ブル）/ ¥250（ベア）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浅井スコア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+48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¥340（2026年4月24日）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安全域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第1四半期決算（5〜6月想定）後に再判断</w:t>
            </w:r>
          </w:p>
        </w:tc>
      </w:tr>
    </w:tbl>
    <w:p/>
    <w:p>
      <w:r>
        <w:rPr>
          <w:rFonts w:ascii="Meiryo UI" w:hAnsi="Meiryo UI"/>
          <w:sz w:val="20"/>
        </w:rPr>
        <w:t>3弾丸</w:t>
      </w:r>
    </w:p>
    <w:p/>
    <w:p>
      <w:pPr>
        <w:pStyle w:val="ListNumber"/>
      </w:pPr>
      <w:r>
        <w:rPr>
          <w:rFonts w:ascii="Meiryo UI" w:hAnsi="Meiryo UI"/>
          <w:sz w:val="20"/>
        </w:rPr>
        <w:t>上場後−34%の主因は「IPO割高修正（上場時P/E 17-18x vs. いすゞ&lt;10x）」＋「Hino $1.6B米国制裁継続の再評価」のダブル重し</w:t>
      </w:r>
    </w:p>
    <w:p>
      <w:pPr>
        <w:pStyle w:val="ListNumber"/>
      </w:pPr>
      <w:r>
        <w:rPr>
          <w:rFonts w:ascii="Meiryo UI" w:hAnsi="Meiryo UI"/>
          <w:sz w:val="20"/>
        </w:rPr>
        <w:t>Bloomberg P/E 3.64x・P/B 0.91xは帳簿上は超割安だが、IPO時バリュエーションと大きく乖離→データ整合性フラグあり、正規化EPS未確認</w:t>
      </w:r>
    </w:p>
    <w:p>
      <w:pPr>
        <w:pStyle w:val="ListNumber"/>
      </w:pPr>
      <w:r>
        <w:rPr>
          <w:rFonts w:ascii="Meiryo UI" w:hAnsi="Meiryo UI"/>
          <w:sz w:val="20"/>
        </w:rPr>
        <w:t>FoxconnとのEVバス提携・水素FCV（Toyota知見）は中長期optionだが近期カタリストなし（2028年以降）</w:t>
      </w:r>
    </w:p>
    <w:p/>
    <w:p>
      <w:r>
        <w:rPr>
          <w:rFonts w:ascii="Meiryo UI" w:hAnsi="Meiryo UI"/>
          <w:sz w:val="20"/>
        </w:rPr>
        <w:t>1リスク（最重要）: ホルムズ封鎖継続による塗料原材料（イソシアネート・アクリル樹脂）コスト急騰→年間OP影響▲¥90〜240億（OP利益比▲1〜3%）</w:t>
      </w:r>
    </w:p>
    <w:p/>
    <w:p>
      <w:r>
        <w:rPr>
          <w:rFonts w:ascii="Meiryo UI" w:hAnsi="Meiryo UI"/>
          <w:sz w:val="20"/>
        </w:rPr>
        <w:t>推奨アクション: 初回四半期決算・ガイダンス開示まで待機。正規化EPS確認後にエントリー再判断。ポジションゼロ推奨。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企業概要・IR情報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社名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ARCHION Corporation（アーキオン株式会社）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コード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543A（東証プライム、2026年4月1日上場）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事業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日野自動車＋三菱ふそうの持株統合会社。商用トラック・バス製造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主要株主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Toyota Motor Corporation 25% / Daimler Truck AG 25% / 公開株式 約50%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CEO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Karl Deppen（元三菱ふそうCEO）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CFO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Hetal Laligi（元三菱ふそうCFO）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CTO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小木曽聡（元日野自動車CEO）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IR公式URL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https://archion.co.jp/en/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上場プレスリリース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https://www.hino-global.com/corp/news/assets/20260401_EN.pdf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⚠️ データ整合性フラグ（社長注意）</w:t>
      </w:r>
    </w:p>
    <w:p/>
    <w:p>
      <w:r>
        <w:rPr>
          <w:rFonts w:ascii="Meiryo UI" w:hAnsi="Meiryo UI"/>
          <w:sz w:val="20"/>
        </w:rPr>
        <w:t>BloombergとウェブデータにP/E・時価総額で重大乖離あり。過去実績への推定値使用禁止原則に基づき明記。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データ項目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Bloomberg（4/24時点）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ウェブ（4月上旬・SmartKarma等）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¥877.6B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¥222.2B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P/E（TTM）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3.64x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上場直後 約17-18x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P/B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0.91x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上場直後 1.8x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45.8%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記載なし</w:t>
            </w:r>
          </w:p>
        </w:tc>
      </w:tr>
    </w:tbl>
    <w:p/>
    <w:p>
      <w:r>
        <w:rPr>
          <w:rFonts w:ascii="Meiryo UI" w:hAnsi="Meiryo UI"/>
          <w:sz w:val="20"/>
        </w:rPr>
        <w:t>乖離の仮説（確認前は推測として扱うこと）:</w:t>
      </w:r>
    </w:p>
    <w:p/>
    <w:p>
      <w:r>
        <w:rPr>
          <w:rFonts w:ascii="Meiryo UI" w:hAnsi="Meiryo UI"/>
          <w:sz w:val="20"/>
        </w:rPr>
        <w:t>Bloomberg TTM EPS（¥93.4推算）は日野単体の旧決算ベースを引き継いでいる可能性があり、統合後の正規化数値と乖離している恐れがある。IPO時P/E 17-18x（統合コスト・制裁費含む）が実態に近い可能性が高い。第1四半期決算で正規化EPS確認まで、P/E 3.64xを割安の根拠として積極利用すべきでない。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株価急落の要因考察（¥519→¥340 / −34%）</w:t>
      </w:r>
    </w:p>
    <w:p/>
    <w:p>
      <w:r>
        <w:rPr>
          <w:rFonts w:ascii="Meiryo UI" w:hAnsi="Meiryo UI"/>
          <w:sz w:val="20"/>
        </w:rPr>
        <w:t>[2026年4月3日〜4月24日 3週間での急落]</w:t>
      </w:r>
    </w:p>
    <w:p/>
    <w:p>
      <w:pPr>
        <w:pStyle w:val="Heading3"/>
      </w:pPr>
      <w:r>
        <w:rPr>
          <w:rFonts w:ascii="Meiryo UI" w:hAnsi="Meiryo UI"/>
          <w:color w:val="2E74B5"/>
        </w:rPr>
        <w:t>① IPO構造的割高の修正（主因・寄与度40%推定）</w:t>
      </w:r>
    </w:p>
    <w:p/>
    <w:p>
      <w:r>
        <w:rPr>
          <w:rFonts w:ascii="Meiryo UI" w:hAnsi="Meiryo UI"/>
          <w:sz w:val="20"/>
        </w:rPr>
        <w:t>上場当日からSmartKarmaが「ARCHION has landed – expensive」と指摘。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バリュエーション指標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ARCHION（上場時）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いすゞ（比較）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乖離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EV/EBITDA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8.9x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6.0x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+48%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P/E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約17-18x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&lt;10x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+70〜80%超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P/B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1.8x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&lt;1.1x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+64%超</w:t>
            </w:r>
          </w:p>
        </w:tc>
      </w:tr>
    </w:tbl>
    <w:p/>
    <w:p>
      <w:r>
        <w:rPr>
          <w:rFonts w:ascii="Meiryo UI" w:hAnsi="Meiryo UI"/>
          <w:sz w:val="20"/>
        </w:rPr>
        <w:t>上場後1〜2週間で機関投資家（特に海外）によるIPO売り・裁定解消が集中発生。公開株式約50%のフロートの薄さが値動きを増幅。</w:t>
      </w:r>
    </w:p>
    <w:p/>
    <w:p>
      <w:pPr>
        <w:pStyle w:val="Heading3"/>
      </w:pPr>
      <w:r>
        <w:rPr>
          <w:rFonts w:ascii="Meiryo UI" w:hAnsi="Meiryo UI"/>
          <w:color w:val="2E74B5"/>
        </w:rPr>
        <w:t>② Hino Motors 米国制裁の業績インパクト再評価（寄与度30%推定）</w:t>
      </w:r>
    </w:p>
    <w:p/>
    <w:p>
      <w:r>
        <w:rPr>
          <w:rFonts w:ascii="Meiryo UI" w:hAnsi="Meiryo UI"/>
          <w:sz w:val="20"/>
        </w:rPr>
        <w:t>2025年1月15日確定の米国DOJ・EPA和解（出所：米DOJ公式発表・EPA公式発表）: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罰則項目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刑事罰金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$521.76M（¥約83B）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民事罰金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$525.0M（¥約84B）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リコール・排出相殺プロジェクト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推定$300M（¥約48B）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クラスアクション和解（2024年4月確定）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$237.5M（¥約38B）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累計合計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約$1.6B＝¥約253B</w:t>
            </w:r>
          </w:p>
        </w:tc>
      </w:tr>
    </w:tbl>
    <w:p/>
    <w:p>
      <w:r>
        <w:rPr>
          <w:rFonts w:ascii="Meiryo UI" w:hAnsi="Meiryo UI"/>
          <w:sz w:val="20"/>
        </w:rPr>
        <w:t>さらに：5年間の保護観察中につき日野製ディーゼルエンジンの米国輸入禁止継続中。 北米市場が実質封鎖された状態で上場→バリュー再評価による売り加速。</w:t>
      </w:r>
    </w:p>
    <w:p/>
    <w:p>
      <w:pPr>
        <w:pStyle w:val="Heading3"/>
      </w:pPr>
      <w:r>
        <w:rPr>
          <w:rFonts w:ascii="Meiryo UI" w:hAnsi="Meiryo UI"/>
          <w:color w:val="2E74B5"/>
        </w:rPr>
        <w:t>③ 市場全体の弱地合い（寄与度20%推定）</w:t>
      </w:r>
    </w:p>
    <w:p/>
    <w:p>
      <w:r>
        <w:rPr>
          <w:rFonts w:ascii="Meiryo UI" w:hAnsi="Meiryo UI"/>
          <w:sz w:val="20"/>
        </w:rPr>
        <w:t>4月の日本株式市場はEWJ大量解約（4月21日USD508M、4月21〜23日累計▲USD525M純流出）により海外売り圧力が継続。Beta −0.62（市場と逆相関）という異常値は統計的信頼性が低い（上場24日のみのデータ）ものの、市場下落局面でも固有の売りが重なり逆相関挙動を示した。</w:t>
      </w:r>
    </w:p>
    <w:p/>
    <w:p>
      <w:pPr>
        <w:pStyle w:val="Heading3"/>
      </w:pPr>
      <w:r>
        <w:rPr>
          <w:rFonts w:ascii="Meiryo UI" w:hAnsi="Meiryo UI"/>
          <w:color w:val="2E74B5"/>
        </w:rPr>
        <w:t>④ 統合移行コスト先行認識（寄与度10%推定）</w:t>
      </w:r>
    </w:p>
    <w:p/>
    <w:p>
      <w:r>
        <w:rPr>
          <w:rFonts w:ascii="Meiryo UI" w:hAnsi="Meiryo UI"/>
          <w:sz w:val="20"/>
        </w:rPr>
        <w:t>2028年末までの5工場→3工場集約に向けたリストラ・設備移転・退職費用が業績に先行織り込み中。羽村工場（日野）のToyota移管により日野の生産能力が一時縮小する見通し。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ホルムズ海峡・塗料不足リスク定量評価</w:t>
      </w:r>
    </w:p>
    <w:p/>
    <w:p>
      <w:r>
        <w:rPr>
          <w:rFonts w:ascii="Meiryo UI" w:hAnsi="Meiryo UI"/>
          <w:sz w:val="20"/>
        </w:rPr>
        <w:t>[商用車への塗料コスト影響：定量評価]</w:t>
      </w:r>
    </w:p>
    <w:p/>
    <w:p>
      <w:r>
        <w:rPr>
          <w:rFonts w:ascii="Meiryo UI" w:hAnsi="Meiryo UI"/>
          <w:sz w:val="20"/>
        </w:rPr>
        <w:t>大型商用トラック1台の塗料原価は乗用車の3〜4倍（推定¥100,000〜¥200,000/台）。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原材料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主用途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ホルムズ依存度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価格上昇推定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MDI/TDI（イソシアネート）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ウレタン系クリアコート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中〜高（中東産ナフサ経由）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+30〜50%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アクリル樹脂モノマー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ベース塗料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中（中東産プロピレン経由）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+20〜40%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エポキシ樹脂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下塗り・防食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低〜中（BPA経由）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+15〜30%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二酸化チタン（TiO2）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白色顔料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低（国内外産）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+5〜15%</w:t>
            </w:r>
          </w:p>
        </w:tc>
      </w:tr>
    </w:tbl>
    <w:p/>
    <w:p>
      <w:r>
        <w:rPr>
          <w:rFonts w:ascii="Meiryo UI" w:hAnsi="Meiryo UI"/>
          <w:sz w:val="20"/>
        </w:rPr>
        <w:t>ARCHION固有の感応度（Rationale：国内5工場生産100%・通常在庫水準3〜6ヶ月）:</w:t>
      </w:r>
    </w:p>
    <w:p/>
    <w:p>
      <w:pPr>
        <w:pStyle w:val="ListBullet"/>
      </w:pPr>
      <w:r>
        <w:rPr>
          <w:rFonts w:ascii="Meiryo UI" w:hAnsi="Meiryo UI"/>
          <w:sz w:val="20"/>
        </w:rPr>
        <w:t>1台あたり追加コスト（封鎖長期化時）：¥30,000〜¥80,000</w:t>
      </w:r>
    </w:p>
    <w:p>
      <w:pPr>
        <w:pStyle w:val="ListBullet"/>
      </w:pPr>
      <w:r>
        <w:rPr>
          <w:rFonts w:ascii="Meiryo UI" w:hAnsi="Meiryo UI"/>
          <w:sz w:val="20"/>
        </w:rPr>
        <w:t>年間生産台数（日野+ふそう合算）：推定25〜35万台</w:t>
      </w:r>
    </w:p>
    <w:p>
      <w:pPr>
        <w:pStyle w:val="ListBullet"/>
      </w:pPr>
      <w:r>
        <w:rPr>
          <w:rFonts w:ascii="Meiryo UI" w:hAnsi="Meiryo UI"/>
          <w:sz w:val="20"/>
        </w:rPr>
        <w:t>年間追加コスト合計：¥90億〜¥240億</w:t>
      </w:r>
    </w:p>
    <w:p>
      <w:pPr>
        <w:pStyle w:val="ListBullet"/>
      </w:pPr>
      <w:r>
        <w:rPr>
          <w:rFonts w:ascii="Meiryo UI" w:hAnsi="Meiryo UI"/>
          <w:sz w:val="20"/>
        </w:rPr>
        <w:t>OP利益¥74.8B比：▲1.2〜3.2%</w:t>
      </w:r>
    </w:p>
    <w:p/>
    <w:p>
      <w:r>
        <w:rPr>
          <w:rFonts w:ascii="Meiryo UI" w:hAnsi="Meiryo UI"/>
          <w:sz w:val="20"/>
        </w:rPr>
        <w:t>総合評価：軽微〜中程度ネガティブ（短期は許容範囲内。封鎖6ヶ月超継続の場合は重大リスクに昇格）</w:t>
      </w:r>
    </w:p>
    <w:p/>
    <w:p>
      <w:r>
        <w:rPr>
          <w:rFonts w:ascii="Meiryo UI" w:hAnsi="Meiryo UI"/>
          <w:sz w:val="20"/>
        </w:rPr>
        <w:t>鉄鋼原料（コークス・鉄鉱石）への影響は限定的。ただし日本製鉄等からの鋼材調達コストへの間接波及は留意。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財務サマリー（直近12ヶ月実績）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Rationale（出所）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¥1,558.3B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ウェブリサーチ（Investing.com / SimplyWallSt）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EBITDA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¥183.7B（率11.8%）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同上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純利益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¥78.193B（率5.0%）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同上・YoY▲17.67%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¥74.8B推定（率4.8%）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Bloomberg OP率4.8%×売上逆算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D/E比率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140.4%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Bloomberg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45.8%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Bloomberg（⚠️Book Value圧縮による過大表示疑義あり）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株価（4/24）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¥340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Bloomberg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¥877.6B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Bloomberg（ウェブ¥222.2Bと乖離→要確認）</w:t>
            </w:r>
          </w:p>
        </w:tc>
      </w:tr>
    </w:tbl>
    <w:p/>
    <w:p>
      <w:r>
        <w:rPr>
          <w:rFonts w:ascii="Meiryo UI" w:hAnsi="Meiryo UI"/>
          <w:sz w:val="20"/>
        </w:rPr>
        <w:t>ROEの解釈注意： ¥253Bの制裁費用で純資産が大幅圧縮→ROEが机上で高く見える可能性が高い。正規Book Valueベースでは大幅に低下すると推定される。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バリュエーション比較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ARCHION（Bloomberg）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いすゞ（参考）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差異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P/E（TTM）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3.64x（⚠️整合性確認要）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&lt;10x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▲64%（表面上）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P/B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0.91x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&lt;1.1x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▲17%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45.8%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+33.8pt（圧縮Book要因）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D/E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140.4%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約80%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+60pt（負債大）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0%（無配）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約3〜4%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▲3〜4pt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フェアバリュー算出</w:t>
      </w:r>
    </w:p>
    <w:p/>
    <w:p>
      <w:pPr>
        <w:pStyle w:val="Heading3"/>
      </w:pPr>
      <w:r>
        <w:rPr>
          <w:rFonts w:ascii="Meiryo UI" w:hAnsi="Meiryo UI"/>
          <w:color w:val="2E74B5"/>
        </w:rPr>
        <w:t>Method 1：アナリストコンセンサス（最高信頼性）</w:t>
      </w:r>
    </w:p>
    <w:p/>
    <w:p>
      <w:pPr>
        <w:pStyle w:val="ListBullet"/>
      </w:pPr>
      <w:r>
        <w:rPr>
          <w:rFonts w:ascii="Meiryo UI" w:hAnsi="Meiryo UI"/>
          <w:sz w:val="20"/>
        </w:rPr>
        <w:t>中央値：¥385（現値¥340比+13.2%）</w:t>
      </w:r>
    </w:p>
    <w:p>
      <w:pPr>
        <w:pStyle w:val="ListBullet"/>
      </w:pPr>
      <w:r>
        <w:rPr>
          <w:rFonts w:ascii="Meiryo UI" w:hAnsi="Meiryo UI"/>
          <w:sz w:val="20"/>
        </w:rPr>
        <w:t>レンジ：¥350〜¥420</w:t>
      </w:r>
    </w:p>
    <w:p>
      <w:pPr>
        <w:pStyle w:val="ListBullet"/>
      </w:pPr>
      <w:r>
        <w:rPr>
          <w:rFonts w:ascii="Meiryo UI" w:hAnsi="Meiryo UI"/>
          <w:sz w:val="20"/>
        </w:rPr>
        <w:t>カバレッジ：3名（Buy 0 / Hold 2 / Sell 1）</w:t>
      </w:r>
    </w:p>
    <w:p>
      <w:pPr>
        <w:pStyle w:val="ListBullet"/>
      </w:pPr>
      <w:r>
        <w:rPr>
          <w:rFonts w:ascii="Meiryo UI" w:hAnsi="Meiryo UI"/>
          <w:sz w:val="20"/>
        </w:rPr>
        <w:t>Rationale：現時点で唯一の外部客観評価。正規化EPS未確認のため、このメソッドを最重視</w:t>
      </w:r>
    </w:p>
    <w:p/>
    <w:p>
      <w:pPr>
        <w:pStyle w:val="Heading3"/>
      </w:pPr>
      <w:r>
        <w:rPr>
          <w:rFonts w:ascii="Meiryo UI" w:hAnsi="Meiryo UI"/>
          <w:color w:val="2E74B5"/>
        </w:rPr>
        <w:t>Method 2：シナリオ加重平均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株価想定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主要トリガー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統合順調・シナジー早期実現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¥550〜650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 OP率&gt;6%達成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ベースケース（現状継続）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¥380〜450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統合コスト続くも黒字維持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ホルムズ長期封鎖+制裁継続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¥280〜320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塗料コスト急騰・北米禁止長期化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統合失敗・EV競合侵食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¥180〜250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中国EV進出・Toyota/Daimler分離</w:t>
            </w:r>
          </w:p>
        </w:tc>
      </w:tr>
    </w:tbl>
    <w:p/>
    <w:p>
      <w:r>
        <w:rPr>
          <w:rFonts w:ascii="Meiryo UI" w:hAnsi="Meiryo UI"/>
          <w:sz w:val="20"/>
        </w:rPr>
        <w:t>加重平均FV：¥383（アナリストコンセンサス¥385と整合）</w:t>
      </w:r>
    </w:p>
    <w:p/>
    <w:p>
      <w:pPr>
        <w:pStyle w:val="Heading3"/>
      </w:pPr>
      <w:r>
        <w:rPr>
          <w:rFonts w:ascii="Meiryo UI" w:hAnsi="Meiryo UI"/>
          <w:color w:val="2E74B5"/>
        </w:rPr>
        <w:t>採用フェアバリュー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ケース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FV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現値比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ベースケース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¥420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+23.5%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ブルケース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¥600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+76.5%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ベアケース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¥250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−26.5%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浅井スコア内訳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スコア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根拠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バリュエーション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P/B&lt;1・P/E&lt;4（表面）は魅力的。ただしデータ整合性疑義を折り込み減点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FoxconnEVバス・水素FC・工場売却益。全て2028年以降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テクニカル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−15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3週で−34%の落下ナイフ・ボラ85.8%・Beta異常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アナリスト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−8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 Buy・2 Hold・1 Sell。カバレッジわずか3名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地政学リスク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−7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ホルムズ塗料コスト+Hino北米ディーゼル輸入禁止継続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財務健全性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Toyota+Daimler各25%保有→実質デフォルトリスクなし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不動産NAV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羽村・中津工場の売却益optionality（詳細は次章）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情報リスク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−13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上場24日・データ乖離未解消・制裁影響の定量化困難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統合シナジー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+10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調達統合・3工場集約のコスト削減ポテンシャル（2028年顕在化）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+48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WATCH中立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不動産含み益 NAV考察</w:t>
      </w:r>
    </w:p>
    <w:p/>
    <w:p>
      <w:r>
        <w:rPr>
          <w:rFonts w:ascii="Meiryo UI" w:hAnsi="Meiryo UI"/>
          <w:sz w:val="20"/>
        </w:rPr>
        <w:t>ARCHION傘下の5工場のうち、統合後に売却・移管予定の工場（2028年末目処）: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工場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所在地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予定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推定含み益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羽村工場（日野）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東京都羽村市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Toyota移管予定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¥70〜150億推定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中津工場（三菱ふそう）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神奈川県愛甲郡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川崎工場へ集約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¥40〜100億推定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潜在合計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−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−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¥110〜250億</w:t>
            </w:r>
          </w:p>
        </w:tc>
      </w:tr>
    </w:tbl>
    <w:p/>
    <w:p>
      <w:r>
        <w:rPr>
          <w:rFonts w:ascii="Meiryo UI" w:hAnsi="Meiryo UI"/>
          <w:sz w:val="20"/>
        </w:rPr>
        <w:t>1株あたり換算：¥17〜38（現在値¥340比+5〜11%）</w:t>
      </w:r>
    </w:p>
    <w:p>
      <w:r>
        <w:rPr>
          <w:rFonts w:ascii="Meiryo UI" w:hAnsi="Meiryo UI"/>
          <w:sz w:val="20"/>
        </w:rPr>
        <w:t>Rationale：東京・神奈川近郊工業地の市場単価×敷地面積概算（公表情報より推計）</w:t>
      </w:r>
    </w:p>
    <w:p/>
    <w:p>
      <w:r>
        <w:rPr>
          <w:rFonts w:ascii="Meiryo UI" w:hAnsi="Meiryo UI"/>
          <w:sz w:val="20"/>
        </w:rPr>
        <w:t>→ 売却時期は2028年末目処のため、現在の株価を直接サポートするカタリストとしては遠い。将来の特別利益として留意。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10. ガイダンス考察・Q−1定性変化</w:t>
      </w:r>
    </w:p>
    <w:p/>
    <w:p>
      <w:r>
        <w:rPr>
          <w:rFonts w:ascii="Meiryo UI" w:hAnsi="Meiryo UI"/>
          <w:sz w:val="20"/>
        </w:rPr>
        <w:t>ARCHION初の単独四半期決算は未発表（上場24日目）。前身比較:</w:t>
      </w:r>
    </w:p>
    <w:p/>
    <w:p>
      <w:pPr>
        <w:pStyle w:val="ListBullet"/>
      </w:pPr>
      <w:r>
        <w:rPr>
          <w:rFonts w:ascii="Meiryo UI" w:hAnsi="Meiryo UI"/>
          <w:sz w:val="20"/>
        </w:rPr>
        <w:t>日野自動車FY2025（統合前最終年度）: 米国制裁費用大量計上→純利益YoY▲17.67%</w:t>
      </w:r>
    </w:p>
    <w:p>
      <w:pPr>
        <w:pStyle w:val="ListBullet"/>
      </w:pPr>
      <w:r>
        <w:rPr>
          <w:rFonts w:ascii="Meiryo UI" w:hAnsi="Meiryo UI"/>
          <w:sz w:val="20"/>
        </w:rPr>
        <w:t>三菱ふそう（Daimler Truck開示）: Q1 2026日本市場で「最も改善したトップ20ブランド」と評価</w:t>
      </w:r>
    </w:p>
    <w:p/>
    <w:p>
      <w:r>
        <w:rPr>
          <w:rFonts w:ascii="Meiryo UI" w:hAnsi="Meiryo UI"/>
          <w:sz w:val="20"/>
        </w:rPr>
        <w:t>初回ガイダンス開示（5〜6月想定）の注目5論点:</w:t>
      </w:r>
    </w:p>
    <w:p/>
    <w:p>
      <w:pPr>
        <w:pStyle w:val="ListNumber"/>
      </w:pPr>
      <w:r>
        <w:rPr>
          <w:rFonts w:ascii="Meiryo UI" w:hAnsi="Meiryo UI"/>
          <w:sz w:val="20"/>
        </w:rPr>
        <w:t>統合シナジー定量目標（2028年末・年間削減額または利益改善額）</w:t>
      </w:r>
    </w:p>
    <w:p>
      <w:pPr>
        <w:pStyle w:val="ListNumber"/>
      </w:pPr>
      <w:r>
        <w:rPr>
          <w:rFonts w:ascii="Meiryo UI" w:hAnsi="Meiryo UI"/>
          <w:sz w:val="20"/>
        </w:rPr>
        <w:t>Hino北米制裁の残存コスト（保護観察対応費・コンプライアンスプログラム・機会損失）年間インパクト</w:t>
      </w:r>
    </w:p>
    <w:p>
      <w:pPr>
        <w:pStyle w:val="ListNumber"/>
      </w:pPr>
      <w:r>
        <w:rPr>
          <w:rFonts w:ascii="Meiryo UI" w:hAnsi="Meiryo UI"/>
          <w:sz w:val="20"/>
        </w:rPr>
        <w:t>EV投資CAPEX規模・Foxconn合弁出資比率・損益貢献時期</w:t>
      </w:r>
    </w:p>
    <w:p>
      <w:pPr>
        <w:pStyle w:val="ListNumber"/>
      </w:pPr>
      <w:r>
        <w:rPr>
          <w:rFonts w:ascii="Meiryo UI" w:hAnsi="Meiryo UI"/>
          <w:sz w:val="20"/>
        </w:rPr>
        <w:t>配当政策（現在ゼロ→開始時期・配当性向目標）</w:t>
      </w:r>
    </w:p>
    <w:p>
      <w:pPr>
        <w:pStyle w:val="ListNumber"/>
      </w:pPr>
      <w:r>
        <w:rPr>
          <w:rFonts w:ascii="Meiryo UI" w:hAnsi="Meiryo UI"/>
          <w:sz w:val="20"/>
        </w:rPr>
        <w:t>正規化EPS（統合一過性費用除き）の開示</w:t>
      </w:r>
    </w:p>
    <w:p/>
    <w:p>
      <w:r>
        <w:rPr>
          <w:rFonts w:ascii="Meiryo UI" w:hAnsi="Meiryo UI"/>
          <w:sz w:val="20"/>
        </w:rPr>
        <w:t>→ この5点が揃うまで¥385アナリスト中央値を超えたFVの確信は持てない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11. 中長期戦略・EV移行ロードマップ</w:t>
      </w:r>
    </w:p>
    <w:p/>
    <w:p>
      <w:r>
        <w:rPr>
          <w:rFonts w:ascii="Meiryo UI" w:hAnsi="Meiryo UI"/>
          <w:sz w:val="20"/>
        </w:rPr>
        <w:t>生産集約（2028年末目標）: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工場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所在地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状態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川崎工場（三菱ふそう）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神奈川県川崎市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存続（中津統合先）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古河工場（日野）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茨城県古河市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存続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太田工場（日野）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群馬県太田市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存続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羽村工場（日野）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東京都羽村市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Toyota移管予定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中津工場（三菱ふそう）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神奈川県愛甲郡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川崎へ集約予定</w:t>
            </w:r>
          </w:p>
        </w:tc>
      </w:tr>
    </w:tbl>
    <w:p/>
    <w:p>
      <w:r>
        <w:rPr>
          <w:rFonts w:ascii="Meiryo UI" w:hAnsi="Meiryo UI"/>
          <w:sz w:val="20"/>
        </w:rPr>
        <w:t>EV・ゼロエミッション戦略:</w:t>
      </w:r>
    </w:p>
    <w:p/>
    <w:p>
      <w:pPr>
        <w:pStyle w:val="ListBullet"/>
      </w:pPr>
      <w:r>
        <w:rPr>
          <w:rFonts w:ascii="Meiryo UI" w:hAnsi="Meiryo UI"/>
          <w:sz w:val="20"/>
        </w:rPr>
        <w:t>2026年1月：三菱ふそう×Foxconn（鴻海）×Foxtron×MFBMが電動バス合弁MOU締結</w:t>
      </w:r>
    </w:p>
    <w:p>
      <w:pPr>
        <w:pStyle w:val="ListBullet"/>
      </w:pPr>
      <w:r>
        <w:rPr>
          <w:rFonts w:ascii="Meiryo UI" w:hAnsi="Meiryo UI"/>
          <w:sz w:val="20"/>
        </w:rPr>
        <w:t>2026年下半期：合弁会社設立予定（規制・株主承認待ち）</w:t>
      </w:r>
    </w:p>
    <w:p>
      <w:pPr>
        <w:pStyle w:val="ListBullet"/>
      </w:pPr>
      <w:r>
        <w:rPr>
          <w:rFonts w:ascii="Meiryo UI" w:hAnsi="Meiryo UI"/>
          <w:sz w:val="20"/>
        </w:rPr>
        <w:t>水素燃料電池：Toyota技術活用のFCVロードマップを並行推進</w:t>
      </w:r>
    </w:p>
    <w:p>
      <w:pPr>
        <w:pStyle w:val="ListBullet"/>
      </w:pPr>
      <w:r>
        <w:rPr>
          <w:rFonts w:ascii="Meiryo UI" w:hAnsi="Meiryo UI"/>
          <w:sz w:val="20"/>
        </w:rPr>
        <w:t>CASE（Connected/Autonomous/Shared/Electric）全領域への注力方針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12. IR質問状</w:t>
      </w:r>
    </w:p>
    <w:p/>
    <w:p>
      <w:r>
        <w:rPr>
          <w:rFonts w:ascii="Meiryo UI" w:hAnsi="Meiryo UI"/>
          <w:sz w:val="20"/>
        </w:rPr>
        <w:t>送付先： ARCHION Corporation IR部門　https://archion.co.jp/en/ （IRフォーム）</w:t>
      </w:r>
    </w:p>
    <w:p>
      <w:r>
        <w:rPr>
          <w:rFonts w:ascii="Meiryo UI" w:hAnsi="Meiryo UI"/>
          <w:sz w:val="20"/>
        </w:rPr>
        <w:t>件名： 投資家向けIR照会（竹村トレードカンパニー）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拝啓</w:t>
      </w:r>
    </w:p>
    <w:p/>
    <w:p>
      <w:r>
        <w:rPr>
          <w:rFonts w:ascii="Meiryo UI" w:hAnsi="Meiryo UI"/>
          <w:sz w:val="20"/>
        </w:rPr>
        <w:t>竹村トレードカンパニーの竹村と申します。貴社の東証プライム上場を機に投資検討を進めております。下記5点についてご確認をお願いしたく存じます。</w:t>
      </w:r>
    </w:p>
    <w:p/>
    <w:p>
      <w:r>
        <w:rPr>
          <w:rFonts w:ascii="Meiryo UI" w:hAnsi="Meiryo UI"/>
          <w:sz w:val="20"/>
        </w:rPr>
        <w:t>Q1. 統合シナジーの定量目標について</w:t>
      </w:r>
    </w:p>
    <w:p/>
    <w:p>
      <w:r>
        <w:rPr>
          <w:rFonts w:ascii="Meiryo UI" w:hAnsi="Meiryo UI"/>
          <w:sz w:val="20"/>
        </w:rPr>
        <w:t>日野・三菱ふそう統合による2028年末までの調達・製造シナジーの定量目標（年間削減額または利益改善額）をご開示いただけますか？現在のランレートと目標値の乖離をどのように評価されているでしょうか。</w:t>
      </w:r>
    </w:p>
    <w:p/>
    <w:p>
      <w:r>
        <w:rPr>
          <w:rFonts w:ascii="Meiryo UI" w:hAnsi="Meiryo UI"/>
          <w:sz w:val="20"/>
        </w:rPr>
        <w:t>Q2. Hino Motors米国制裁の業績影響について</w:t>
      </w:r>
    </w:p>
    <w:p/>
    <w:p>
      <w:r>
        <w:rPr>
          <w:rFonts w:ascii="Meiryo UI" w:hAnsi="Meiryo UI"/>
          <w:sz w:val="20"/>
        </w:rPr>
        <w:t>2025年1月確定の米国Clean Air Act和解（刑事$521M・民事$525M）について、FY2026以降の残存コスト（保護観察対応費・コンプライアンスプログラム費用・北米販売機会損失）の年間インパクトを教えていただけますか。</w:t>
      </w:r>
    </w:p>
    <w:p/>
    <w:p>
      <w:r>
        <w:rPr>
          <w:rFonts w:ascii="Meiryo UI" w:hAnsi="Meiryo UI"/>
          <w:sz w:val="20"/>
        </w:rPr>
        <w:t>Q3. 塗料・化学原料の調達状況について</w:t>
      </w:r>
    </w:p>
    <w:p/>
    <w:p>
      <w:r>
        <w:rPr>
          <w:rFonts w:ascii="Meiryo UI" w:hAnsi="Meiryo UI"/>
          <w:sz w:val="20"/>
        </w:rPr>
        <w:t>ホルムズ海峡情勢によるイソシアネート・アクリル樹脂等の塗料原材料の調達状況と在庫水準、および価格上昇リスクに対するヘッジ・代替調達状況をご説明いただけますか。</w:t>
      </w:r>
    </w:p>
    <w:p/>
    <w:p>
      <w:r>
        <w:rPr>
          <w:rFonts w:ascii="Meiryo UI" w:hAnsi="Meiryo UI"/>
          <w:sz w:val="20"/>
        </w:rPr>
        <w:t>Q4. EV移行ロードマップと投資規模について</w:t>
      </w:r>
    </w:p>
    <w:p/>
    <w:p>
      <w:r>
        <w:rPr>
          <w:rFonts w:ascii="Meiryo UI" w:hAnsi="Meiryo UI"/>
          <w:sz w:val="20"/>
        </w:rPr>
        <w:t>Foxconnとのゼロエミッションバス合弁（2026年下半期設立予定）の出資比率・CAPEX規模・売上貢献時期の見通しを教えていただけますか。また日野・ふそうブランドの電動化ロードマップ（2030年目標台数・モデル数）もご開示いただけますか。</w:t>
      </w:r>
    </w:p>
    <w:p/>
    <w:p>
      <w:r>
        <w:rPr>
          <w:rFonts w:ascii="Meiryo UI" w:hAnsi="Meiryo UI"/>
          <w:sz w:val="20"/>
        </w:rPr>
        <w:t>Q5. 配当政策について</w:t>
      </w:r>
    </w:p>
    <w:p/>
    <w:p>
      <w:r>
        <w:rPr>
          <w:rFonts w:ascii="Meiryo UI" w:hAnsi="Meiryo UI"/>
          <w:sz w:val="20"/>
        </w:rPr>
        <w:t>現時点では配当なしと認識しておりますが、初回配当の目処（時期・配当性向の目標レンジ）についてお聞かせいただけますか。</w:t>
      </w:r>
    </w:p>
    <w:p/>
    <w:p>
      <w:r>
        <w:rPr>
          <w:rFonts w:ascii="Meiryo UI" w:hAnsi="Meiryo UI"/>
          <w:sz w:val="20"/>
        </w:rPr>
        <w:t>以上、ご回答のほど何卒よろしくお願い申し上げます。</w:t>
      </w:r>
    </w:p>
    <w:p/>
    <w:p>
      <w:r>
        <w:rPr>
          <w:rFonts w:ascii="Meiryo UI" w:hAnsi="Meiryo UI"/>
          <w:sz w:val="20"/>
        </w:rPr>
        <w:t>竹村トレードカンパニー　竹村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まとめ</w:t>
      </w:r>
    </w:p>
    <w:p/>
    <w:p>
      <w:r>
        <w:rPr>
          <w:rFonts w:ascii="Meiryo UI" w:hAnsi="Meiryo UI"/>
          <w:sz w:val="20"/>
        </w:rPr>
        <w:t>543A ARCHION Corporation ／ 浅井スコア +48 ／ WATCH</w:t>
      </w:r>
    </w:p>
    <w:p/>
    <w:p>
      <w:r>
        <w:rPr>
          <w:rFonts w:ascii="Meiryo UI" w:hAnsi="Meiryo UI"/>
          <w:sz w:val="20"/>
        </w:rPr>
        <w:t>上場後34%急落の主因は「IPO割高（17-18x P/E）の修正」と「Hino $1.6B米国制裁の再評価」。帳簿上のP/E 3.64x・P/B 0.91xは魅力的に見えるが、IPO時バリュエーションとのデータ乖離が未解消のため正規化EPS確認前のエントリーは高リスク。ホルムズ封鎖による塗料コスト影響は短期的には許容範囲内（OP比▲1〜3%）だが長期化は要注意。Toyota・Daimlerの各25%保有でデフォルトリスクは実質ゼロという下値支持は評価できる。5〜6月の初回四半期決算・ガイダンス開示後に再判断推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r>
        <w:rPr>
          <w:rFonts w:ascii="Meiryo UI" w:hAnsi="Meiryo UI"/>
          <w:sz w:val="20"/>
        </w:rPr>
        <w:t>本レポートは竹村トレードカンパニー 深井作成。投資判断はご自身の責任において行ってください。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