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543A ARCHION Corporation ■ Deep Research【JPMorgan岸本AN資料反映・改訂版】</w:t>
      </w:r>
    </w:p>
    <w:p/>
    <w:p/>
    <w:p>
      <w:pPr>
        <w:jc w:val="center"/>
      </w:pPr>
      <w:r>
        <w:rPr>
          <w:rFonts w:ascii="Meiryo UI" w:hAnsi="Meiryo UI"/>
          <w:sz w:val="24"/>
        </w:rPr>
        <w:t>アナリスト：深井</w:t>
      </w:r>
    </w:p>
    <w:p>
      <w:pPr>
        <w:jc w:val="center"/>
      </w:pPr>
      <w:r>
        <w:rPr>
          <w:rFonts w:ascii="Meiryo UI" w:hAnsi="Meiryo UI"/>
          <w:sz w:val="24"/>
        </w:rPr>
        <w:t>分析日：2026年04月24日</w:t>
      </w:r>
    </w:p>
    <w:p>
      <w:r>
        <w:br w:type="page"/>
      </w:r>
    </w:p>
    <w:p>
      <w:pPr>
        <w:pStyle w:val="Heading1"/>
      </w:pPr>
      <w:r>
        <w:rPr>
          <w:rFonts w:ascii="Meiryo UI" w:hAnsi="Meiryo UI"/>
          <w:color w:val="1F3864"/>
        </w:rPr>
        <w:t>543A ARCHION Corporation ■ Deep Research【JPMorgan岸本AN資料反映・改訂版】</w:t>
      </w:r>
    </w:p>
    <w:p>
      <w:r>
        <w:rPr>
          <w:rFonts w:ascii="Meiryo UI" w:hAnsi="Meiryo UI"/>
          <w:sz w:val="20"/>
        </w:rPr>
        <w:t>分析日: 2026年04月24日</w:t>
      </w:r>
    </w:p>
    <w:p>
      <w:r>
        <w:rPr>
          <w:rFonts w:ascii="Meiryo UI" w:hAnsi="Meiryo UI"/>
          <w:sz w:val="20"/>
        </w:rPr>
        <w:t>アナリスト: 深井</w:t>
      </w:r>
    </w:p>
    <w:p/>
    <w:p>
      <w:r>
        <w:t>──────────────────────────────────────────────────</w:t>
      </w:r>
    </w:p>
    <w:p/>
    <w:p>
      <w:pPr>
        <w:pStyle w:val="Heading2"/>
      </w:pPr>
      <w:r>
        <w:rPr>
          <w:rFonts w:ascii="Meiryo UI" w:hAnsi="Meiryo UI"/>
          <w:color w:val="2E74B5"/>
        </w:rPr>
        <w:t>▼ 10秒エグゼクティブサマリー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WATCH弱気（現時点エントリー回避）</w:t>
            </w:r>
          </w:p>
        </w:tc>
      </w:tr>
      <w:tr>
        <w:tc>
          <w:tcPr>
            <w:tcW w:type="dxa" w:w="4703"/>
            <w:shd w:val="clear" w:color="auto" w:fill="DDEBF7"/>
          </w:tcPr>
          <w:p>
            <w:r>
              <w:rPr>
                <w:rFonts w:ascii="Meiryo UI" w:hAnsi="Meiryo UI"/>
                <w:sz w:val="18"/>
              </w:rPr>
              <w:t>目標株価（深井）</w:t>
            </w:r>
          </w:p>
        </w:tc>
        <w:tc>
          <w:tcPr>
            <w:tcW w:type="dxa" w:w="4703"/>
            <w:shd w:val="clear" w:color="auto" w:fill="DDEBF7"/>
          </w:tcPr>
          <w:p>
            <w:r>
              <w:rPr>
                <w:rFonts w:ascii="Meiryo UI" w:hAnsi="Meiryo UI"/>
                <w:sz w:val="18"/>
              </w:rPr>
              <w:t>¥340（ベース）/ ¥480（ブル）/ ¥260（ベア）</w:t>
            </w:r>
          </w:p>
        </w:tc>
      </w:tr>
      <w:tr>
        <w:tc>
          <w:tcPr>
            <w:tcW w:type="dxa" w:w="4703"/>
          </w:tcPr>
          <w:p>
            <w:r>
              <w:rPr>
                <w:rFonts w:ascii="Meiryo UI" w:hAnsi="Meiryo UI"/>
                <w:sz w:val="18"/>
              </w:rPr>
              <w:t>JPMorgan TP</w:t>
            </w:r>
          </w:p>
        </w:tc>
        <w:tc>
          <w:tcPr>
            <w:tcW w:type="dxa" w:w="4703"/>
          </w:tcPr>
          <w:p>
            <w:r>
              <w:rPr>
                <w:rFonts w:ascii="Meiryo UI" w:hAnsi="Meiryo UI"/>
                <w:sz w:val="18"/>
              </w:rPr>
              <w:t>¥350（Neutral、4月16日付）</w:t>
            </w:r>
          </w:p>
        </w:tc>
      </w:tr>
      <w:tr>
        <w:tc>
          <w:tcPr>
            <w:tcW w:type="dxa" w:w="4703"/>
            <w:shd w:val="clear" w:color="auto" w:fill="DDEBF7"/>
          </w:tcPr>
          <w:p>
            <w:r>
              <w:rPr>
                <w:rFonts w:ascii="Meiryo UI" w:hAnsi="Meiryo UI"/>
                <w:sz w:val="18"/>
              </w:rPr>
              <w:t>浅井スコア</w:t>
            </w:r>
          </w:p>
        </w:tc>
        <w:tc>
          <w:tcPr>
            <w:tcW w:type="dxa" w:w="4703"/>
            <w:shd w:val="clear" w:color="auto" w:fill="DDEBF7"/>
          </w:tcPr>
          <w:p>
            <w:r>
              <w:rPr>
                <w:rFonts w:ascii="Meiryo UI" w:hAnsi="Meiryo UI"/>
                <w:sz w:val="18"/>
              </w:rPr>
              <w:t>+29（改訂）</w:t>
            </w:r>
          </w:p>
        </w:tc>
      </w:tr>
      <w:tr>
        <w:tc>
          <w:tcPr>
            <w:tcW w:type="dxa" w:w="4703"/>
          </w:tcPr>
          <w:p>
            <w:r>
              <w:rPr>
                <w:rFonts w:ascii="Meiryo UI" w:hAnsi="Meiryo UI"/>
                <w:sz w:val="18"/>
              </w:rPr>
              <w:t>現在値</w:t>
            </w:r>
          </w:p>
        </w:tc>
        <w:tc>
          <w:tcPr>
            <w:tcW w:type="dxa" w:w="4703"/>
          </w:tcPr>
          <w:p>
            <w:r>
              <w:rPr>
                <w:rFonts w:ascii="Meiryo UI" w:hAnsi="Meiryo UI"/>
                <w:sz w:val="18"/>
              </w:rPr>
              <w:t>¥340（2026年4月24日）</w:t>
            </w:r>
          </w:p>
        </w:tc>
      </w:tr>
      <w:tr>
        <w:tc>
          <w:tcPr>
            <w:tcW w:type="dxa" w:w="4703"/>
            <w:shd w:val="clear" w:color="auto" w:fill="DDEBF7"/>
          </w:tcPr>
          <w:p>
            <w:r>
              <w:rPr>
                <w:rFonts w:ascii="Meiryo UI" w:hAnsi="Meiryo UI"/>
                <w:sz w:val="18"/>
              </w:rPr>
              <w:t>安全域</w:t>
            </w:r>
          </w:p>
        </w:tc>
        <w:tc>
          <w:tcPr>
            <w:tcW w:type="dxa" w:w="4703"/>
            <w:shd w:val="clear" w:color="auto" w:fill="DDEBF7"/>
          </w:tcPr>
          <w:p>
            <w:r>
              <w:rPr>
                <w:rFonts w:ascii="Meiryo UI" w:hAnsi="Meiryo UI"/>
                <w:sz w:val="18"/>
              </w:rPr>
              <w:t>トヨタ・ダイムラー持分売却完了まで上値重い</w:t>
            </w:r>
          </w:p>
        </w:tc>
      </w:tr>
    </w:tbl>
    <w:p/>
    <w:p>
      <w:r>
        <w:rPr>
          <w:rFonts w:ascii="Meiryo UI" w:hAnsi="Meiryo UI"/>
          <w:sz w:val="20"/>
        </w:rPr>
        <w:t>3弾丸</w:t>
      </w:r>
    </w:p>
    <w:p/>
    <w:p>
      <w:pPr>
        <w:pStyle w:val="ListNumber"/>
      </w:pPr>
      <w:r>
        <w:rPr>
          <w:rFonts w:ascii="Meiryo UI" w:hAnsi="Meiryo UI"/>
          <w:sz w:val="20"/>
        </w:rPr>
        <w:t>株価急落の真因はIPO割高修正ではなく「トヨタ・ダイムラー合計32.8%＝約¥3,070億の持分売却需給圧力」。浮動株17.9%に対して天文学的な売り玉が控えている</w:t>
      </w:r>
    </w:p>
    <w:p>
      <w:pPr>
        <w:pStyle w:val="ListNumber"/>
      </w:pPr>
      <w:r>
        <w:rPr>
          <w:rFonts w:ascii="Meiryo UI" w:hAnsi="Meiryo UI"/>
          <w:sz w:val="20"/>
        </w:rPr>
        <w:t>Bloomberg P/E 3.64x は27/3期の一過性利益（羽村工場売却¥1,500億込みのBBG EPS ¥107.87）が分母であり「超割安」の解釈は誤り。正規化P/Eは10倍超</w:t>
      </w:r>
    </w:p>
    <w:p>
      <w:pPr>
        <w:pStyle w:val="ListNumber"/>
      </w:pPr>
      <w:r>
        <w:rPr>
          <w:rFonts w:ascii="Meiryo UI" w:hAnsi="Meiryo UI"/>
          <w:sz w:val="20"/>
        </w:rPr>
        <w:t>一方で27/3期DPS ¥20（配当利回り5.2%）・28/3期DPS ¥25（6.4%）という高配当開始は下値サポートとして有効</w:t>
      </w:r>
    </w:p>
    <w:p/>
    <w:p>
      <w:r>
        <w:rPr>
          <w:rFonts w:ascii="Meiryo UI" w:hAnsi="Meiryo UI"/>
          <w:sz w:val="20"/>
        </w:rPr>
        <w:t>1リスク（最重要）: トヨタ・ダイムラーの持分売却スケジュール未公表。東証プライム浮動株比率要件を満たすための売却が想定外の早期実施・大口出来となった場合、¥260台まで株価が押し下げられるリスク</w:t>
      </w:r>
    </w:p>
    <w:p/>
    <w:p>
      <w:r>
        <w:rPr>
          <w:rFonts w:ascii="Meiryo UI" w:hAnsi="Meiryo UI"/>
          <w:sz w:val="20"/>
        </w:rPr>
        <w:t>推奨アクション: 売却スケジュールの公表待ち。¥300前後（正規化EPS¥34×9倍）での分割エントリーを検討。持分売却完了後は配当利回り6%超の高配当株として再評価。</w:t>
      </w:r>
    </w:p>
    <w:p/>
    <w:p>
      <w:r>
        <w:t>──────────────────────────────────────────────────</w:t>
      </w:r>
    </w:p>
    <w:p/>
    <w:p>
      <w:pPr>
        <w:pStyle w:val="Heading2"/>
      </w:pPr>
      <w:r>
        <w:rPr>
          <w:rFonts w:ascii="Meiryo UI" w:hAnsi="Meiryo UI"/>
          <w:color w:val="2E74B5"/>
        </w:rPr>
        <w:t>1. 企業概要・IR情報</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社名</w:t>
            </w:r>
          </w:p>
        </w:tc>
        <w:tc>
          <w:tcPr>
            <w:tcW w:type="dxa" w:w="4703"/>
          </w:tcPr>
          <w:p>
            <w:r>
              <w:rPr>
                <w:rFonts w:ascii="Meiryo UI" w:hAnsi="Meiryo UI"/>
                <w:sz w:val="18"/>
              </w:rPr>
              <w:t>ARCHION Corporation（アーキオン株式会社）</w:t>
            </w:r>
          </w:p>
        </w:tc>
      </w:tr>
      <w:tr>
        <w:tc>
          <w:tcPr>
            <w:tcW w:type="dxa" w:w="4703"/>
            <w:shd w:val="clear" w:color="auto" w:fill="DDEBF7"/>
          </w:tcPr>
          <w:p>
            <w:r>
              <w:rPr>
                <w:rFonts w:ascii="Meiryo UI" w:hAnsi="Meiryo UI"/>
                <w:sz w:val="18"/>
              </w:rPr>
              <w:t>コード</w:t>
            </w:r>
          </w:p>
        </w:tc>
        <w:tc>
          <w:tcPr>
            <w:tcW w:type="dxa" w:w="4703"/>
            <w:shd w:val="clear" w:color="auto" w:fill="DDEBF7"/>
          </w:tcPr>
          <w:p>
            <w:r>
              <w:rPr>
                <w:rFonts w:ascii="Meiryo UI" w:hAnsi="Meiryo UI"/>
                <w:sz w:val="18"/>
              </w:rPr>
              <w:t>543A（東証プライム、2026年4月1日テクニカル上場）</w:t>
            </w:r>
          </w:p>
        </w:tc>
      </w:tr>
      <w:tr>
        <w:tc>
          <w:tcPr>
            <w:tcW w:type="dxa" w:w="4703"/>
          </w:tcPr>
          <w:p>
            <w:r>
              <w:rPr>
                <w:rFonts w:ascii="Meiryo UI" w:hAnsi="Meiryo UI"/>
                <w:sz w:val="18"/>
              </w:rPr>
              <w:t>事業</w:t>
            </w:r>
          </w:p>
        </w:tc>
        <w:tc>
          <w:tcPr>
            <w:tcW w:type="dxa" w:w="4703"/>
          </w:tcPr>
          <w:p>
            <w:r>
              <w:rPr>
                <w:rFonts w:ascii="Meiryo UI" w:hAnsi="Meiryo UI"/>
                <w:sz w:val="18"/>
              </w:rPr>
              <w:t>日野自動車＋三菱ふそうの持株統合会社。商用トラック・バス製造</w:t>
            </w:r>
          </w:p>
        </w:tc>
      </w:tr>
      <w:tr>
        <w:tc>
          <w:tcPr>
            <w:tcW w:type="dxa" w:w="4703"/>
            <w:shd w:val="clear" w:color="auto" w:fill="DDEBF7"/>
          </w:tcPr>
          <w:p>
            <w:r>
              <w:rPr>
                <w:rFonts w:ascii="Meiryo UI" w:hAnsi="Meiryo UI"/>
                <w:sz w:val="18"/>
              </w:rPr>
              <w:t>発行済株式数</w:t>
            </w:r>
          </w:p>
        </w:tc>
        <w:tc>
          <w:tcPr>
            <w:tcW w:type="dxa" w:w="4703"/>
            <w:shd w:val="clear" w:color="auto" w:fill="DDEBF7"/>
          </w:tcPr>
          <w:p>
            <w:r>
              <w:rPr>
                <w:rFonts w:ascii="Meiryo UI" w:hAnsi="Meiryo UI"/>
                <w:sz w:val="18"/>
              </w:rPr>
              <w:t>2,757百万株（JPMorgan確認）</w:t>
            </w:r>
          </w:p>
        </w:tc>
      </w:tr>
      <w:tr>
        <w:tc>
          <w:tcPr>
            <w:tcW w:type="dxa" w:w="4703"/>
          </w:tcPr>
          <w:p>
            <w:r>
              <w:rPr>
                <w:rFonts w:ascii="Meiryo UI" w:hAnsi="Meiryo UI"/>
                <w:sz w:val="18"/>
              </w:rPr>
              <w:t>主要株主</w:t>
            </w:r>
          </w:p>
        </w:tc>
        <w:tc>
          <w:tcPr>
            <w:tcW w:type="dxa" w:w="4703"/>
          </w:tcPr>
          <w:p>
            <w:r>
              <w:rPr>
                <w:rFonts w:ascii="Meiryo UI" w:hAnsi="Meiryo UI"/>
                <w:sz w:val="18"/>
              </w:rPr>
              <w:t>Toyota Motor 41.4% / Daimler Truck AG 41.4% / 公開株式 約17.2%</w:t>
            </w:r>
          </w:p>
        </w:tc>
      </w:tr>
      <w:tr>
        <w:tc>
          <w:tcPr>
            <w:tcW w:type="dxa" w:w="4703"/>
            <w:shd w:val="clear" w:color="auto" w:fill="DDEBF7"/>
          </w:tcPr>
          <w:p>
            <w:r>
              <w:rPr>
                <w:rFonts w:ascii="Meiryo UI" w:hAnsi="Meiryo UI"/>
                <w:sz w:val="18"/>
              </w:rPr>
              <w:t>浮動株比率</w:t>
            </w:r>
          </w:p>
        </w:tc>
        <w:tc>
          <w:tcPr>
            <w:tcW w:type="dxa" w:w="4703"/>
            <w:shd w:val="clear" w:color="auto" w:fill="DDEBF7"/>
          </w:tcPr>
          <w:p>
            <w:r>
              <w:rPr>
                <w:rFonts w:ascii="Meiryo UI" w:hAnsi="Meiryo UI"/>
                <w:sz w:val="18"/>
              </w:rPr>
              <w:t>17.9%（極めて低い）</w:t>
            </w:r>
          </w:p>
        </w:tc>
      </w:tr>
      <w:tr>
        <w:tc>
          <w:tcPr>
            <w:tcW w:type="dxa" w:w="4703"/>
          </w:tcPr>
          <w:p>
            <w:r>
              <w:rPr>
                <w:rFonts w:ascii="Meiryo UI" w:hAnsi="Meiryo UI"/>
                <w:sz w:val="18"/>
              </w:rPr>
              <w:t>CEO</w:t>
            </w:r>
          </w:p>
        </w:tc>
        <w:tc>
          <w:tcPr>
            <w:tcW w:type="dxa" w:w="4703"/>
          </w:tcPr>
          <w:p>
            <w:r>
              <w:rPr>
                <w:rFonts w:ascii="Meiryo UI" w:hAnsi="Meiryo UI"/>
                <w:sz w:val="18"/>
              </w:rPr>
              <w:t>Karl Deppen（元三菱ふそうCEO）</w:t>
            </w:r>
          </w:p>
        </w:tc>
      </w:tr>
      <w:tr>
        <w:tc>
          <w:tcPr>
            <w:tcW w:type="dxa" w:w="4703"/>
            <w:shd w:val="clear" w:color="auto" w:fill="DDEBF7"/>
          </w:tcPr>
          <w:p>
            <w:r>
              <w:rPr>
                <w:rFonts w:ascii="Meiryo UI" w:hAnsi="Meiryo UI"/>
                <w:sz w:val="18"/>
              </w:rPr>
              <w:t>CFO</w:t>
            </w:r>
          </w:p>
        </w:tc>
        <w:tc>
          <w:tcPr>
            <w:tcW w:type="dxa" w:w="4703"/>
            <w:shd w:val="clear" w:color="auto" w:fill="DDEBF7"/>
          </w:tcPr>
          <w:p>
            <w:r>
              <w:rPr>
                <w:rFonts w:ascii="Meiryo UI" w:hAnsi="Meiryo UI"/>
                <w:sz w:val="18"/>
              </w:rPr>
              <w:t>Hetal Laligi（元三菱ふそうCFO）</w:t>
            </w:r>
          </w:p>
        </w:tc>
      </w:tr>
      <w:tr>
        <w:tc>
          <w:tcPr>
            <w:tcW w:type="dxa" w:w="4703"/>
          </w:tcPr>
          <w:p>
            <w:r>
              <w:rPr>
                <w:rFonts w:ascii="Meiryo UI" w:hAnsi="Meiryo UI"/>
                <w:sz w:val="18"/>
              </w:rPr>
              <w:t>CTO</w:t>
            </w:r>
          </w:p>
        </w:tc>
        <w:tc>
          <w:tcPr>
            <w:tcW w:type="dxa" w:w="4703"/>
          </w:tcPr>
          <w:p>
            <w:r>
              <w:rPr>
                <w:rFonts w:ascii="Meiryo UI" w:hAnsi="Meiryo UI"/>
                <w:sz w:val="18"/>
              </w:rPr>
              <w:t>小木曽聡（元日野自動車CEO）</w:t>
            </w:r>
          </w:p>
        </w:tc>
      </w:tr>
      <w:tr>
        <w:tc>
          <w:tcPr>
            <w:tcW w:type="dxa" w:w="4703"/>
            <w:shd w:val="clear" w:color="auto" w:fill="DDEBF7"/>
          </w:tcPr>
          <w:p>
            <w:r>
              <w:rPr>
                <w:rFonts w:ascii="Meiryo UI" w:hAnsi="Meiryo UI"/>
                <w:sz w:val="18"/>
              </w:rPr>
              <w:t>IR公式URL</w:t>
            </w:r>
          </w:p>
        </w:tc>
        <w:tc>
          <w:tcPr>
            <w:tcW w:type="dxa" w:w="4703"/>
            <w:shd w:val="clear" w:color="auto" w:fill="DDEBF7"/>
          </w:tcPr>
          <w:p>
            <w:r>
              <w:rPr>
                <w:rFonts w:ascii="Meiryo UI" w:hAnsi="Meiryo UI"/>
                <w:sz w:val="18"/>
              </w:rPr>
              <w:t>https://archion.co.jp/en/</w:t>
            </w:r>
          </w:p>
        </w:tc>
      </w:tr>
      <w:tr>
        <w:tc>
          <w:tcPr>
            <w:tcW w:type="dxa" w:w="4703"/>
          </w:tcPr>
          <w:p>
            <w:r>
              <w:rPr>
                <w:rFonts w:ascii="Meiryo UI" w:hAnsi="Meiryo UI"/>
                <w:sz w:val="18"/>
              </w:rPr>
              <w:t>JPMorgan担当AN</w:t>
            </w:r>
          </w:p>
        </w:tc>
        <w:tc>
          <w:tcPr>
            <w:tcW w:type="dxa" w:w="4703"/>
          </w:tcPr>
          <w:p>
            <w:r>
              <w:rPr>
                <w:rFonts w:ascii="Meiryo UI" w:hAnsi="Meiryo UI"/>
                <w:sz w:val="18"/>
              </w:rPr>
              <w:t>岸本章 (akira.x.kishimoto@jpmorgan.com)</w:t>
            </w:r>
          </w:p>
        </w:tc>
      </w:tr>
    </w:tbl>
    <w:p/>
    <w:p>
      <w:r>
        <w:t>──────────────────────────────────────────────────</w:t>
      </w:r>
    </w:p>
    <w:p/>
    <w:p>
      <w:pPr>
        <w:pStyle w:val="Heading2"/>
      </w:pPr>
      <w:r>
        <w:rPr>
          <w:rFonts w:ascii="Meiryo UI" w:hAnsi="Meiryo UI"/>
          <w:color w:val="2E74B5"/>
        </w:rPr>
        <w:t>2. 株価急落の真因（改訂・最重要）</w:t>
      </w:r>
    </w:p>
    <w:p/>
    <w:p>
      <w:r>
        <w:rPr>
          <w:rFonts w:ascii="Meiryo UI" w:hAnsi="Meiryo UI"/>
          <w:sz w:val="20"/>
        </w:rPr>
        <w:t>[4月1日上場〜4月24日 ¥562（52週高値）→¥340 ▲39%の要因分解]</w:t>
      </w:r>
    </w:p>
    <w:p/>
    <w:p>
      <w:pPr>
        <w:pStyle w:val="Heading3"/>
      </w:pPr>
      <w:r>
        <w:rPr>
          <w:rFonts w:ascii="Meiryo UI" w:hAnsi="Meiryo UI"/>
          <w:color w:val="2E74B5"/>
        </w:rPr>
        <w:t>① トヨタ・ダイムラーの持分売却需給（主因・寄与度50%推定）</w:t>
      </w:r>
    </w:p>
    <w:p/>
    <w:p>
      <w:r>
        <w:rPr>
          <w:rFonts w:ascii="Meiryo UI" w:hAnsi="Meiryo UI"/>
          <w:sz w:val="20"/>
        </w:rPr>
        <w:t>JPMorganレポートで明示された最重要リスク（出所：JPMorgan 2026年4月16日付レポート）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トヨタ現保有比率</w:t>
            </w:r>
          </w:p>
        </w:tc>
        <w:tc>
          <w:tcPr>
            <w:tcW w:type="dxa" w:w="4703"/>
          </w:tcPr>
          <w:p>
            <w:r>
              <w:rPr>
                <w:rFonts w:ascii="Meiryo UI" w:hAnsi="Meiryo UI"/>
                <w:sz w:val="18"/>
              </w:rPr>
              <w:t>41.4%</w:t>
            </w:r>
          </w:p>
        </w:tc>
      </w:tr>
      <w:tr>
        <w:tc>
          <w:tcPr>
            <w:tcW w:type="dxa" w:w="4703"/>
            <w:shd w:val="clear" w:color="auto" w:fill="DDEBF7"/>
          </w:tcPr>
          <w:p>
            <w:r>
              <w:rPr>
                <w:rFonts w:ascii="Meiryo UI" w:hAnsi="Meiryo UI"/>
                <w:sz w:val="18"/>
              </w:rPr>
              <w:t>ダイムラー現保有比率</w:t>
            </w:r>
          </w:p>
        </w:tc>
        <w:tc>
          <w:tcPr>
            <w:tcW w:type="dxa" w:w="4703"/>
            <w:shd w:val="clear" w:color="auto" w:fill="DDEBF7"/>
          </w:tcPr>
          <w:p>
            <w:r>
              <w:rPr>
                <w:rFonts w:ascii="Meiryo UI" w:hAnsi="Meiryo UI"/>
                <w:sz w:val="18"/>
              </w:rPr>
              <w:t>41.4%</w:t>
            </w:r>
          </w:p>
        </w:tc>
      </w:tr>
      <w:tr>
        <w:tc>
          <w:tcPr>
            <w:tcW w:type="dxa" w:w="4703"/>
          </w:tcPr>
          <w:p>
            <w:r>
              <w:rPr>
                <w:rFonts w:ascii="Meiryo UI" w:hAnsi="Meiryo UI"/>
                <w:sz w:val="18"/>
              </w:rPr>
              <w:t>目標保有比率（東証プライム要件）</w:t>
            </w:r>
          </w:p>
        </w:tc>
        <w:tc>
          <w:tcPr>
            <w:tcW w:type="dxa" w:w="4703"/>
          </w:tcPr>
          <w:p>
            <w:r>
              <w:rPr>
                <w:rFonts w:ascii="Meiryo UI" w:hAnsi="Meiryo UI"/>
                <w:sz w:val="18"/>
              </w:rPr>
              <w:t>各25.0%</w:t>
            </w:r>
          </w:p>
        </w:tc>
      </w:tr>
      <w:tr>
        <w:tc>
          <w:tcPr>
            <w:tcW w:type="dxa" w:w="4703"/>
            <w:shd w:val="clear" w:color="auto" w:fill="DDEBF7"/>
          </w:tcPr>
          <w:p>
            <w:r>
              <w:rPr>
                <w:rFonts w:ascii="Meiryo UI" w:hAnsi="Meiryo UI"/>
                <w:sz w:val="18"/>
              </w:rPr>
              <w:t>1社あたり売却規模</w:t>
            </w:r>
          </w:p>
        </w:tc>
        <w:tc>
          <w:tcPr>
            <w:tcW w:type="dxa" w:w="4703"/>
            <w:shd w:val="clear" w:color="auto" w:fill="DDEBF7"/>
          </w:tcPr>
          <w:p>
            <w:r>
              <w:rPr>
                <w:rFonts w:ascii="Meiryo UI" w:hAnsi="Meiryo UI"/>
                <w:sz w:val="18"/>
              </w:rPr>
              <w:t>16.4% = 2,757M株 × 16.4% = 451M株</w:t>
            </w:r>
          </w:p>
        </w:tc>
      </w:tr>
      <w:tr>
        <w:tc>
          <w:tcPr>
            <w:tcW w:type="dxa" w:w="4703"/>
          </w:tcPr>
          <w:p>
            <w:r>
              <w:rPr>
                <w:rFonts w:ascii="Meiryo UI" w:hAnsi="Meiryo UI"/>
                <w:sz w:val="18"/>
              </w:rPr>
              <w:t>合計売却規模</w:t>
            </w:r>
          </w:p>
        </w:tc>
        <w:tc>
          <w:tcPr>
            <w:tcW w:type="dxa" w:w="4703"/>
          </w:tcPr>
          <w:p>
            <w:r>
              <w:rPr>
                <w:rFonts w:ascii="Meiryo UI" w:hAnsi="Meiryo UI"/>
                <w:sz w:val="18"/>
              </w:rPr>
              <w:t>32.8% = 903M株</w:t>
            </w:r>
          </w:p>
        </w:tc>
      </w:tr>
      <w:tr>
        <w:tc>
          <w:tcPr>
            <w:tcW w:type="dxa" w:w="4703"/>
            <w:shd w:val="clear" w:color="auto" w:fill="DDEBF7"/>
          </w:tcPr>
          <w:p>
            <w:r>
              <w:rPr>
                <w:rFonts w:ascii="Meiryo UI" w:hAnsi="Meiryo UI"/>
                <w:sz w:val="18"/>
              </w:rPr>
              <w:t>売却金額概算（¥340ベース）</w:t>
            </w:r>
          </w:p>
        </w:tc>
        <w:tc>
          <w:tcPr>
            <w:tcW w:type="dxa" w:w="4703"/>
            <w:shd w:val="clear" w:color="auto" w:fill="DDEBF7"/>
          </w:tcPr>
          <w:p>
            <w:r>
              <w:rPr>
                <w:rFonts w:ascii="Meiryo UI" w:hAnsi="Meiryo UI"/>
                <w:sz w:val="18"/>
              </w:rPr>
              <w:t>約¥3,070億</w:t>
            </w:r>
          </w:p>
        </w:tc>
      </w:tr>
      <w:tr>
        <w:tc>
          <w:tcPr>
            <w:tcW w:type="dxa" w:w="4703"/>
          </w:tcPr>
          <w:p>
            <w:r>
              <w:rPr>
                <w:rFonts w:ascii="Meiryo UI" w:hAnsi="Meiryo UI"/>
                <w:sz w:val="18"/>
              </w:rPr>
              <w:t>現在の浮動株数</w:t>
            </w:r>
          </w:p>
        </w:tc>
        <w:tc>
          <w:tcPr>
            <w:tcW w:type="dxa" w:w="4703"/>
          </w:tcPr>
          <w:p>
            <w:r>
              <w:rPr>
                <w:rFonts w:ascii="Meiryo UI" w:hAnsi="Meiryo UI"/>
                <w:sz w:val="18"/>
              </w:rPr>
              <w:t>2,757M株 × 17.9% = 494M株</w:t>
            </w:r>
          </w:p>
        </w:tc>
      </w:tr>
    </w:tbl>
    <w:p/>
    <w:p>
      <w:r>
        <w:rPr>
          <w:rFonts w:ascii="Meiryo UI" w:hAnsi="Meiryo UI"/>
          <w:sz w:val="20"/>
        </w:rPr>
        <w:t>903M株の売却玉は現在の浮動株数(494M株)の1.83倍。 これが株価急落の構造的主因。</w:t>
      </w:r>
    </w:p>
    <w:p/>
    <w:p>
      <w:pPr>
        <w:pStyle w:val="Heading3"/>
      </w:pPr>
      <w:r>
        <w:rPr>
          <w:rFonts w:ascii="Meiryo UI" w:hAnsi="Meiryo UI"/>
          <w:color w:val="2E74B5"/>
        </w:rPr>
        <w:t>② Bloomberg P/E 3.64xの謎が解明（「割安幻想」の訂正）</w:t>
      </w:r>
    </w:p>
    <w:p/>
    <w:p>
      <w:r>
        <w:rPr>
          <w:rFonts w:ascii="Meiryo UI" w:hAnsi="Meiryo UI"/>
          <w:sz w:val="20"/>
        </w:rPr>
        <w:t>JPMorgan資料でBBG consensus EPS = ¥107.87（26/3E）が確認された。</w:t>
      </w:r>
    </w:p>
    <w:p/>
    <w:p>
      <w:pPr>
        <w:pStyle w:val="ListBullet"/>
      </w:pPr>
      <w:r>
        <w:rPr>
          <w:rFonts w:ascii="Meiryo UI" w:hAnsi="Meiryo UI"/>
          <w:sz w:val="20"/>
        </w:rPr>
        <w:t>4/16株価¥388 ÷ BBG EPS ¥107.87 = 3.60x ≈ Bloombergの3.64x → 正体確認</w:t>
      </w:r>
    </w:p>
    <w:p>
      <w:pPr>
        <w:pStyle w:val="ListBullet"/>
      </w:pPr>
      <w:r>
        <w:rPr>
          <w:rFonts w:ascii="Meiryo UI" w:hAnsi="Meiryo UI"/>
          <w:sz w:val="20"/>
        </w:rPr>
        <w:t>この¥107.87には27/3期一過性利益（羽村工場売却¥1,500億等）込みのEPS</w:t>
      </w:r>
    </w:p>
    <w:p>
      <w:pPr>
        <w:pStyle w:val="ListBullet"/>
      </w:pPr>
      <w:r>
        <w:rPr>
          <w:rFonts w:ascii="Meiryo UI" w:hAnsi="Meiryo UI"/>
          <w:sz w:val="20"/>
        </w:rPr>
        <w:t>正規化EPS（一過性除く）= ¥34.2（28/3期EPSに相当）</w:t>
      </w:r>
    </w:p>
    <w:p>
      <w:pPr>
        <w:pStyle w:val="ListBullet"/>
      </w:pPr>
      <w:r>
        <w:rPr>
          <w:rFonts w:ascii="Meiryo UI" w:hAnsi="Meiryo UI"/>
          <w:sz w:val="20"/>
        </w:rPr>
        <w:t>正規化P/E（¥340基準）= ¥340 ÷ ¥34.2 = 9.9倍（同業並み水準）</w:t>
      </w:r>
    </w:p>
    <w:p/>
    <w:p>
      <w:r>
        <w:rPr>
          <w:rFonts w:ascii="Meiryo UI" w:hAnsi="Meiryo UI"/>
          <w:sz w:val="20"/>
        </w:rPr>
        <w:t>「超割安P/E 3.64x」は誤読。正規化P/Eは約10倍でいすゞと同水準。</w:t>
      </w:r>
    </w:p>
    <w:p/>
    <w:p>
      <w:pPr>
        <w:pStyle w:val="Heading3"/>
      </w:pPr>
      <w:r>
        <w:rPr>
          <w:rFonts w:ascii="Meiryo UI" w:hAnsi="Meiryo UI"/>
          <w:color w:val="2E74B5"/>
        </w:rPr>
        <w:t>③ IPO初値割高の修正（寄与度20%推定）</w:t>
      </w:r>
    </w:p>
    <w:p/>
    <w:p>
      <w:r>
        <w:rPr>
          <w:rFonts w:ascii="Meiryo UI" w:hAnsi="Meiryo UI"/>
          <w:sz w:val="20"/>
        </w:rPr>
        <w:t>上場当日SmartKarmaが「ARCHION has landed – expensive」と指摘。EV/EBITDA 8.9x vs いすゞ6x。IPO初期の海外機関投資家売りが加速した。</w:t>
      </w:r>
    </w:p>
    <w:p/>
    <w:p>
      <w:pPr>
        <w:pStyle w:val="Heading3"/>
      </w:pPr>
      <w:r>
        <w:rPr>
          <w:rFonts w:ascii="Meiryo UI" w:hAnsi="Meiryo UI"/>
          <w:color w:val="2E74B5"/>
        </w:rPr>
        <w:t>④ 統合移行コスト先行認識（寄与度10%推定）</w:t>
      </w:r>
    </w:p>
    <w:p/>
    <w:p>
      <w:r>
        <w:rPr>
          <w:rFonts w:ascii="Meiryo UI" w:hAnsi="Meiryo UI"/>
          <w:sz w:val="20"/>
        </w:rPr>
        <w:t>羽村工場（日野）のトヨタへの移管（4月1日実施済、¥1,500億）・米アーカンソー部品事業撤退（27年末）・5工場→3工場集約の費用先行計上。</w:t>
      </w:r>
    </w:p>
    <w:p/>
    <w:p>
      <w:pPr>
        <w:pStyle w:val="Heading3"/>
      </w:pPr>
      <w:r>
        <w:rPr>
          <w:rFonts w:ascii="Meiryo UI" w:hAnsi="Meiryo UI"/>
          <w:color w:val="2E74B5"/>
        </w:rPr>
        <w:t>⑤ 市場全体の弱地合い（寄与度20%推定）</w:t>
      </w:r>
    </w:p>
    <w:p/>
    <w:p>
      <w:r>
        <w:rPr>
          <w:rFonts w:ascii="Meiryo UI" w:hAnsi="Meiryo UI"/>
          <w:sz w:val="20"/>
        </w:rPr>
        <w:t>EWJ大量解約（4月21日USD508M・3日累計▲USD525M純流出）による海外売り継続。</w:t>
      </w:r>
    </w:p>
    <w:p/>
    <w:p>
      <w:r>
        <w:t>──────────────────────────────────────────────────</w:t>
      </w:r>
    </w:p>
    <w:p/>
    <w:p>
      <w:pPr>
        <w:pStyle w:val="Heading2"/>
      </w:pPr>
      <w:r>
        <w:rPr>
          <w:rFonts w:ascii="Meiryo UI" w:hAnsi="Meiryo UI"/>
          <w:color w:val="2E74B5"/>
        </w:rPr>
        <w:t>3. JPMorgan公式業績予想（確認済数値）</w:t>
      </w:r>
    </w:p>
    <w:p/>
    <w:p>
      <w:r>
        <w:rPr>
          <w:rFonts w:ascii="Meiryo UI" w:hAnsi="Meiryo UI"/>
          <w:sz w:val="20"/>
        </w:rPr>
        <w:t>出所：JPMorgan 岸本章AN 2026年4月16日付レポート（IFRS、10億円）</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25/3A</w:t>
            </w:r>
          </w:p>
        </w:tc>
        <w:tc>
          <w:tcPr>
            <w:tcW w:type="dxa" w:w="1881"/>
            <w:shd w:val="clear" w:color="auto" w:fill="2E74B5"/>
          </w:tcPr>
          <w:p>
            <w:r>
              <w:rPr>
                <w:rFonts w:ascii="Meiryo UI" w:hAnsi="Meiryo UI"/>
                <w:b/>
                <w:color w:val="FFFFFF"/>
                <w:sz w:val="18"/>
              </w:rPr>
              <w:t>26/3E</w:t>
            </w:r>
          </w:p>
        </w:tc>
        <w:tc>
          <w:tcPr>
            <w:tcW w:type="dxa" w:w="1881"/>
            <w:shd w:val="clear" w:color="auto" w:fill="2E74B5"/>
          </w:tcPr>
          <w:p>
            <w:r>
              <w:rPr>
                <w:rFonts w:ascii="Meiryo UI" w:hAnsi="Meiryo UI"/>
                <w:b/>
                <w:color w:val="FFFFFF"/>
                <w:sz w:val="18"/>
              </w:rPr>
              <w:t>27/3E</w:t>
            </w:r>
          </w:p>
        </w:tc>
        <w:tc>
          <w:tcPr>
            <w:tcW w:type="dxa" w:w="1881"/>
            <w:shd w:val="clear" w:color="auto" w:fill="2E74B5"/>
          </w:tcPr>
          <w:p>
            <w:r>
              <w:rPr>
                <w:rFonts w:ascii="Meiryo UI" w:hAnsi="Meiryo UI"/>
                <w:b/>
                <w:color w:val="FFFFFF"/>
                <w:sz w:val="18"/>
              </w:rPr>
              <w:t>28/3E</w:t>
            </w:r>
          </w:p>
        </w:tc>
      </w:tr>
      <w:tr>
        <w:tc>
          <w:tcPr>
            <w:tcW w:type="dxa" w:w="1881"/>
          </w:tcPr>
          <w:p>
            <w:r>
              <w:rPr>
                <w:rFonts w:ascii="Meiryo UI" w:hAnsi="Meiryo UI"/>
                <w:sz w:val="18"/>
              </w:rPr>
              <w:t>売上高</w:t>
            </w:r>
          </w:p>
        </w:tc>
        <w:tc>
          <w:tcPr>
            <w:tcW w:type="dxa" w:w="1881"/>
          </w:tcPr>
          <w:p>
            <w:r>
              <w:rPr>
                <w:rFonts w:ascii="Meiryo UI" w:hAnsi="Meiryo UI"/>
                <w:sz w:val="18"/>
              </w:rPr>
              <w:t>2,518.8</w:t>
            </w:r>
          </w:p>
        </w:tc>
        <w:tc>
          <w:tcPr>
            <w:tcW w:type="dxa" w:w="1881"/>
          </w:tcPr>
          <w:p>
            <w:r>
              <w:rPr>
                <w:rFonts w:ascii="Meiryo UI" w:hAnsi="Meiryo UI"/>
                <w:sz w:val="18"/>
              </w:rPr>
              <w:t>2,378.7</w:t>
            </w:r>
          </w:p>
        </w:tc>
        <w:tc>
          <w:tcPr>
            <w:tcW w:type="dxa" w:w="1881"/>
          </w:tcPr>
          <w:p>
            <w:r>
              <w:rPr>
                <w:rFonts w:ascii="Meiryo UI" w:hAnsi="Meiryo UI"/>
                <w:sz w:val="18"/>
              </w:rPr>
              <w:t>2,140.2</w:t>
            </w:r>
          </w:p>
        </w:tc>
        <w:tc>
          <w:tcPr>
            <w:tcW w:type="dxa" w:w="1881"/>
          </w:tcPr>
          <w:p>
            <w:r>
              <w:rPr>
                <w:rFonts w:ascii="Meiryo UI" w:hAnsi="Meiryo UI"/>
                <w:sz w:val="18"/>
              </w:rPr>
              <w:t>2,270.3</w:t>
            </w:r>
          </w:p>
        </w:tc>
      </w:tr>
      <w:tr>
        <w:tc>
          <w:tcPr>
            <w:tcW w:type="dxa" w:w="1881"/>
            <w:shd w:val="clear" w:color="auto" w:fill="DDEBF7"/>
          </w:tcPr>
          <w:p>
            <w:r>
              <w:rPr>
                <w:rFonts w:ascii="Meiryo UI" w:hAnsi="Meiryo UI"/>
                <w:sz w:val="18"/>
              </w:rPr>
              <w:t>EBITDA</w:t>
            </w:r>
          </w:p>
        </w:tc>
        <w:tc>
          <w:tcPr>
            <w:tcW w:type="dxa" w:w="1881"/>
            <w:shd w:val="clear" w:color="auto" w:fill="DDEBF7"/>
          </w:tcPr>
          <w:p>
            <w:r>
              <w:rPr>
                <w:rFonts w:ascii="Meiryo UI" w:hAnsi="Meiryo UI"/>
                <w:sz w:val="18"/>
              </w:rPr>
              <w:t>196.7</w:t>
            </w:r>
          </w:p>
        </w:tc>
        <w:tc>
          <w:tcPr>
            <w:tcW w:type="dxa" w:w="1881"/>
            <w:shd w:val="clear" w:color="auto" w:fill="DDEBF7"/>
          </w:tcPr>
          <w:p>
            <w:r>
              <w:rPr>
                <w:rFonts w:ascii="Meiryo UI" w:hAnsi="Meiryo UI"/>
                <w:sz w:val="18"/>
              </w:rPr>
              <w:t>211.8</w:t>
            </w:r>
          </w:p>
        </w:tc>
        <w:tc>
          <w:tcPr>
            <w:tcW w:type="dxa" w:w="1881"/>
            <w:shd w:val="clear" w:color="auto" w:fill="DDEBF7"/>
          </w:tcPr>
          <w:p>
            <w:r>
              <w:rPr>
                <w:rFonts w:ascii="Meiryo UI" w:hAnsi="Meiryo UI"/>
                <w:sz w:val="18"/>
              </w:rPr>
              <w:t>401.4</w:t>
            </w:r>
          </w:p>
        </w:tc>
        <w:tc>
          <w:tcPr>
            <w:tcW w:type="dxa" w:w="1881"/>
            <w:shd w:val="clear" w:color="auto" w:fill="DDEBF7"/>
          </w:tcPr>
          <w:p>
            <w:r>
              <w:rPr>
                <w:rFonts w:ascii="Meiryo UI" w:hAnsi="Meiryo UI"/>
                <w:sz w:val="18"/>
              </w:rPr>
              <w:t>233.4</w:t>
            </w:r>
          </w:p>
        </w:tc>
      </w:tr>
      <w:tr>
        <w:tc>
          <w:tcPr>
            <w:tcW w:type="dxa" w:w="1881"/>
          </w:tcPr>
          <w:p>
            <w:r>
              <w:rPr>
                <w:rFonts w:ascii="Meiryo UI" w:hAnsi="Meiryo UI"/>
                <w:sz w:val="18"/>
              </w:rPr>
              <w:t>営業利益</w:t>
            </w:r>
          </w:p>
        </w:tc>
        <w:tc>
          <w:tcPr>
            <w:tcW w:type="dxa" w:w="1881"/>
          </w:tcPr>
          <w:p>
            <w:r>
              <w:rPr>
                <w:rFonts w:ascii="Meiryo UI" w:hAnsi="Meiryo UI"/>
                <w:sz w:val="18"/>
              </w:rPr>
              <w:t>101.5</w:t>
            </w:r>
          </w:p>
        </w:tc>
        <w:tc>
          <w:tcPr>
            <w:tcW w:type="dxa" w:w="1881"/>
          </w:tcPr>
          <w:p>
            <w:r>
              <w:rPr>
                <w:rFonts w:ascii="Meiryo UI" w:hAnsi="Meiryo UI"/>
                <w:sz w:val="18"/>
              </w:rPr>
              <w:t>117.9</w:t>
            </w:r>
          </w:p>
        </w:tc>
        <w:tc>
          <w:tcPr>
            <w:tcW w:type="dxa" w:w="1881"/>
          </w:tcPr>
          <w:p>
            <w:r>
              <w:rPr>
                <w:rFonts w:ascii="Meiryo UI" w:hAnsi="Meiryo UI"/>
                <w:sz w:val="18"/>
              </w:rPr>
              <w:t>292.5</w:t>
            </w:r>
          </w:p>
        </w:tc>
        <w:tc>
          <w:tcPr>
            <w:tcW w:type="dxa" w:w="1881"/>
          </w:tcPr>
          <w:p>
            <w:r>
              <w:rPr>
                <w:rFonts w:ascii="Meiryo UI" w:hAnsi="Meiryo UI"/>
                <w:sz w:val="18"/>
              </w:rPr>
              <w:t>130.4</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△183.6</w:t>
            </w:r>
          </w:p>
        </w:tc>
        <w:tc>
          <w:tcPr>
            <w:tcW w:type="dxa" w:w="1881"/>
            <w:shd w:val="clear" w:color="auto" w:fill="DDEBF7"/>
          </w:tcPr>
          <w:p>
            <w:r>
              <w:rPr>
                <w:rFonts w:ascii="Meiryo UI" w:hAnsi="Meiryo UI"/>
                <w:sz w:val="18"/>
              </w:rPr>
              <w:t>105.0</w:t>
            </w:r>
          </w:p>
        </w:tc>
        <w:tc>
          <w:tcPr>
            <w:tcW w:type="dxa" w:w="1881"/>
            <w:shd w:val="clear" w:color="auto" w:fill="DDEBF7"/>
          </w:tcPr>
          <w:p>
            <w:r>
              <w:rPr>
                <w:rFonts w:ascii="Meiryo UI" w:hAnsi="Meiryo UI"/>
                <w:sz w:val="18"/>
              </w:rPr>
              <w:t>214.3</w:t>
            </w:r>
          </w:p>
        </w:tc>
        <w:tc>
          <w:tcPr>
            <w:tcW w:type="dxa" w:w="1881"/>
            <w:shd w:val="clear" w:color="auto" w:fill="DDEBF7"/>
          </w:tcPr>
          <w:p>
            <w:r>
              <w:rPr>
                <w:rFonts w:ascii="Meiryo UI" w:hAnsi="Meiryo UI"/>
                <w:sz w:val="18"/>
              </w:rPr>
              <w:t>94.3</w:t>
            </w:r>
          </w:p>
        </w:tc>
      </w:tr>
      <w:tr>
        <w:tc>
          <w:tcPr>
            <w:tcW w:type="dxa" w:w="1881"/>
          </w:tcPr>
          <w:p>
            <w:r>
              <w:rPr>
                <w:rFonts w:ascii="Meiryo UI" w:hAnsi="Meiryo UI"/>
                <w:sz w:val="18"/>
              </w:rPr>
              <w:t>EPS（円）</w:t>
            </w:r>
          </w:p>
        </w:tc>
        <w:tc>
          <w:tcPr>
            <w:tcW w:type="dxa" w:w="1881"/>
          </w:tcPr>
          <w:p>
            <w:r>
              <w:rPr>
                <w:rFonts w:ascii="Meiryo UI" w:hAnsi="Meiryo UI"/>
                <w:sz w:val="18"/>
              </w:rPr>
              <w:t>△66.6</w:t>
            </w:r>
          </w:p>
        </w:tc>
        <w:tc>
          <w:tcPr>
            <w:tcW w:type="dxa" w:w="1881"/>
          </w:tcPr>
          <w:p>
            <w:r>
              <w:rPr>
                <w:rFonts w:ascii="Meiryo UI" w:hAnsi="Meiryo UI"/>
                <w:sz w:val="18"/>
              </w:rPr>
              <w:t>38.1</w:t>
            </w:r>
          </w:p>
        </w:tc>
        <w:tc>
          <w:tcPr>
            <w:tcW w:type="dxa" w:w="1881"/>
          </w:tcPr>
          <w:p>
            <w:r>
              <w:rPr>
                <w:rFonts w:ascii="Meiryo UI" w:hAnsi="Meiryo UI"/>
                <w:sz w:val="18"/>
              </w:rPr>
              <w:t>77.7</w:t>
            </w:r>
          </w:p>
        </w:tc>
        <w:tc>
          <w:tcPr>
            <w:tcW w:type="dxa" w:w="1881"/>
          </w:tcPr>
          <w:p>
            <w:r>
              <w:rPr>
                <w:rFonts w:ascii="Meiryo UI" w:hAnsi="Meiryo UI"/>
                <w:sz w:val="18"/>
              </w:rPr>
              <w:t>34.2</w:t>
            </w:r>
          </w:p>
        </w:tc>
      </w:tr>
      <w:tr>
        <w:tc>
          <w:tcPr>
            <w:tcW w:type="dxa" w:w="1881"/>
            <w:shd w:val="clear" w:color="auto" w:fill="DDEBF7"/>
          </w:tcPr>
          <w:p>
            <w:r>
              <w:rPr>
                <w:rFonts w:ascii="Meiryo UI" w:hAnsi="Meiryo UI"/>
                <w:sz w:val="18"/>
              </w:rPr>
              <w:t>DPS（円）</w:t>
            </w:r>
          </w:p>
        </w:tc>
        <w:tc>
          <w:tcPr>
            <w:tcW w:type="dxa" w:w="1881"/>
            <w:shd w:val="clear" w:color="auto" w:fill="DDEBF7"/>
          </w:tcPr>
          <w:p>
            <w:r>
              <w:rPr>
                <w:rFonts w:ascii="Meiryo UI" w:hAnsi="Meiryo UI"/>
                <w:sz w:val="18"/>
              </w:rPr>
              <w:t>0</w:t>
            </w:r>
          </w:p>
        </w:tc>
        <w:tc>
          <w:tcPr>
            <w:tcW w:type="dxa" w:w="1881"/>
            <w:shd w:val="clear" w:color="auto" w:fill="DDEBF7"/>
          </w:tcPr>
          <w:p>
            <w:r>
              <w:rPr>
                <w:rFonts w:ascii="Meiryo UI" w:hAnsi="Meiryo UI"/>
                <w:sz w:val="18"/>
              </w:rPr>
              <w:t>0</w:t>
            </w:r>
          </w:p>
        </w:tc>
        <w:tc>
          <w:tcPr>
            <w:tcW w:type="dxa" w:w="1881"/>
            <w:shd w:val="clear" w:color="auto" w:fill="DDEBF7"/>
          </w:tcPr>
          <w:p>
            <w:r>
              <w:rPr>
                <w:rFonts w:ascii="Meiryo UI" w:hAnsi="Meiryo UI"/>
                <w:sz w:val="18"/>
              </w:rPr>
              <w:t>20.0</w:t>
            </w:r>
          </w:p>
        </w:tc>
        <w:tc>
          <w:tcPr>
            <w:tcW w:type="dxa" w:w="1881"/>
            <w:shd w:val="clear" w:color="auto" w:fill="DDEBF7"/>
          </w:tcPr>
          <w:p>
            <w:r>
              <w:rPr>
                <w:rFonts w:ascii="Meiryo UI" w:hAnsi="Meiryo UI"/>
                <w:sz w:val="18"/>
              </w:rPr>
              <w:t>25.0</w:t>
            </w:r>
          </w:p>
        </w:tc>
      </w:tr>
      <w:tr>
        <w:tc>
          <w:tcPr>
            <w:tcW w:type="dxa" w:w="1881"/>
          </w:tcPr>
          <w:p>
            <w:r>
              <w:rPr>
                <w:rFonts w:ascii="Meiryo UI" w:hAnsi="Meiryo UI"/>
                <w:sz w:val="18"/>
              </w:rPr>
              <w:t>BPS（円）</w:t>
            </w:r>
          </w:p>
        </w:tc>
        <w:tc>
          <w:tcPr>
            <w:tcW w:type="dxa" w:w="1881"/>
          </w:tcPr>
          <w:p>
            <w:r>
              <w:rPr>
                <w:rFonts w:ascii="Meiryo UI" w:hAnsi="Meiryo UI"/>
                <w:sz w:val="18"/>
              </w:rPr>
              <w:t>150</w:t>
            </w:r>
          </w:p>
        </w:tc>
        <w:tc>
          <w:tcPr>
            <w:tcW w:type="dxa" w:w="1881"/>
          </w:tcPr>
          <w:p>
            <w:r>
              <w:rPr>
                <w:rFonts w:ascii="Meiryo UI" w:hAnsi="Meiryo UI"/>
                <w:sz w:val="18"/>
              </w:rPr>
              <w:t>228</w:t>
            </w:r>
          </w:p>
        </w:tc>
        <w:tc>
          <w:tcPr>
            <w:tcW w:type="dxa" w:w="1881"/>
          </w:tcPr>
          <w:p>
            <w:r>
              <w:rPr>
                <w:rFonts w:ascii="Meiryo UI" w:hAnsi="Meiryo UI"/>
                <w:sz w:val="18"/>
              </w:rPr>
              <w:t>159</w:t>
            </w:r>
          </w:p>
        </w:tc>
        <w:tc>
          <w:tcPr>
            <w:tcW w:type="dxa" w:w="1881"/>
          </w:tcPr>
          <w:p>
            <w:r>
              <w:rPr>
                <w:rFonts w:ascii="Meiryo UI" w:hAnsi="Meiryo UI"/>
                <w:sz w:val="18"/>
              </w:rPr>
              <w:t>196</w:t>
            </w:r>
          </w:p>
        </w:tc>
      </w:tr>
      <w:tr>
        <w:tc>
          <w:tcPr>
            <w:tcW w:type="dxa" w:w="1881"/>
            <w:shd w:val="clear" w:color="auto" w:fill="DDEBF7"/>
          </w:tcPr>
          <w:p>
            <w:r>
              <w:rPr>
                <w:rFonts w:ascii="Meiryo UI" w:hAnsi="Meiryo UI"/>
                <w:sz w:val="18"/>
              </w:rPr>
              <w:t>ROE</w:t>
            </w:r>
          </w:p>
        </w:tc>
        <w:tc>
          <w:tcPr>
            <w:tcW w:type="dxa" w:w="1881"/>
            <w:shd w:val="clear" w:color="auto" w:fill="DDEBF7"/>
          </w:tcPr>
          <w:p>
            <w:r>
              <w:rPr>
                <w:rFonts w:ascii="Meiryo UI" w:hAnsi="Meiryo UI"/>
                <w:sz w:val="18"/>
              </w:rPr>
              <w:t>△35.5%</w:t>
            </w:r>
          </w:p>
        </w:tc>
        <w:tc>
          <w:tcPr>
            <w:tcW w:type="dxa" w:w="1881"/>
            <w:shd w:val="clear" w:color="auto" w:fill="DDEBF7"/>
          </w:tcPr>
          <w:p>
            <w:r>
              <w:rPr>
                <w:rFonts w:ascii="Meiryo UI" w:hAnsi="Meiryo UI"/>
                <w:sz w:val="18"/>
              </w:rPr>
              <w:t>20.1%</w:t>
            </w:r>
          </w:p>
        </w:tc>
        <w:tc>
          <w:tcPr>
            <w:tcW w:type="dxa" w:w="1881"/>
            <w:shd w:val="clear" w:color="auto" w:fill="DDEBF7"/>
          </w:tcPr>
          <w:p>
            <w:r>
              <w:rPr>
                <w:rFonts w:ascii="Meiryo UI" w:hAnsi="Meiryo UI"/>
                <w:sz w:val="18"/>
              </w:rPr>
              <w:t>40.1%</w:t>
            </w:r>
          </w:p>
        </w:tc>
        <w:tc>
          <w:tcPr>
            <w:tcW w:type="dxa" w:w="1881"/>
            <w:shd w:val="clear" w:color="auto" w:fill="DDEBF7"/>
          </w:tcPr>
          <w:p>
            <w:r>
              <w:rPr>
                <w:rFonts w:ascii="Meiryo UI" w:hAnsi="Meiryo UI"/>
                <w:sz w:val="18"/>
              </w:rPr>
              <w:t>19.2%</w:t>
            </w:r>
          </w:p>
        </w:tc>
      </w:tr>
      <w:tr>
        <w:tc>
          <w:tcPr>
            <w:tcW w:type="dxa" w:w="1881"/>
          </w:tcPr>
          <w:p>
            <w:r>
              <w:rPr>
                <w:rFonts w:ascii="Meiryo UI" w:hAnsi="Meiryo UI"/>
                <w:sz w:val="18"/>
              </w:rPr>
              <w:t>PER（x）</w:t>
            </w:r>
          </w:p>
        </w:tc>
        <w:tc>
          <w:tcPr>
            <w:tcW w:type="dxa" w:w="1881"/>
          </w:tcPr>
          <w:p>
            <w:r>
              <w:rPr>
                <w:rFonts w:ascii="Meiryo UI" w:hAnsi="Meiryo UI"/>
                <w:sz w:val="18"/>
              </w:rPr>
              <w:t>NM</w:t>
            </w:r>
          </w:p>
        </w:tc>
        <w:tc>
          <w:tcPr>
            <w:tcW w:type="dxa" w:w="1881"/>
          </w:tcPr>
          <w:p>
            <w:r>
              <w:rPr>
                <w:rFonts w:ascii="Meiryo UI" w:hAnsi="Meiryo UI"/>
                <w:sz w:val="18"/>
              </w:rPr>
              <w:t>10.2</w:t>
            </w:r>
          </w:p>
        </w:tc>
        <w:tc>
          <w:tcPr>
            <w:tcW w:type="dxa" w:w="1881"/>
          </w:tcPr>
          <w:p>
            <w:r>
              <w:rPr>
                <w:rFonts w:ascii="Meiryo UI" w:hAnsi="Meiryo UI"/>
                <w:sz w:val="18"/>
              </w:rPr>
              <w:t>5.0</w:t>
            </w:r>
          </w:p>
        </w:tc>
        <w:tc>
          <w:tcPr>
            <w:tcW w:type="dxa" w:w="1881"/>
          </w:tcPr>
          <w:p>
            <w:r>
              <w:rPr>
                <w:rFonts w:ascii="Meiryo UI" w:hAnsi="Meiryo UI"/>
                <w:sz w:val="18"/>
              </w:rPr>
              <w:t>11.3</w:t>
            </w:r>
          </w:p>
        </w:tc>
      </w:tr>
      <w:tr>
        <w:tc>
          <w:tcPr>
            <w:tcW w:type="dxa" w:w="1881"/>
            <w:shd w:val="clear" w:color="auto" w:fill="DDEBF7"/>
          </w:tcPr>
          <w:p>
            <w:r>
              <w:rPr>
                <w:rFonts w:ascii="Meiryo UI" w:hAnsi="Meiryo UI"/>
                <w:sz w:val="18"/>
              </w:rPr>
              <w:t>EV/EBITDA（x）</w:t>
            </w:r>
          </w:p>
        </w:tc>
        <w:tc>
          <w:tcPr>
            <w:tcW w:type="dxa" w:w="1881"/>
            <w:shd w:val="clear" w:color="auto" w:fill="DDEBF7"/>
          </w:tcPr>
          <w:p>
            <w:r>
              <w:rPr>
                <w:rFonts w:ascii="Meiryo UI" w:hAnsi="Meiryo UI"/>
                <w:sz w:val="18"/>
              </w:rPr>
              <w:t>7.1</w:t>
            </w:r>
          </w:p>
        </w:tc>
        <w:tc>
          <w:tcPr>
            <w:tcW w:type="dxa" w:w="1881"/>
            <w:shd w:val="clear" w:color="auto" w:fill="DDEBF7"/>
          </w:tcPr>
          <w:p>
            <w:r>
              <w:rPr>
                <w:rFonts w:ascii="Meiryo UI" w:hAnsi="Meiryo UI"/>
                <w:sz w:val="18"/>
              </w:rPr>
              <w:t>6.5</w:t>
            </w:r>
          </w:p>
        </w:tc>
        <w:tc>
          <w:tcPr>
            <w:tcW w:type="dxa" w:w="1881"/>
            <w:shd w:val="clear" w:color="auto" w:fill="DDEBF7"/>
          </w:tcPr>
          <w:p>
            <w:r>
              <w:rPr>
                <w:rFonts w:ascii="Meiryo UI" w:hAnsi="Meiryo UI"/>
                <w:sz w:val="18"/>
              </w:rPr>
              <w:t>3.5</w:t>
            </w:r>
          </w:p>
        </w:tc>
        <w:tc>
          <w:tcPr>
            <w:tcW w:type="dxa" w:w="1881"/>
            <w:shd w:val="clear" w:color="auto" w:fill="DDEBF7"/>
          </w:tcPr>
          <w:p>
            <w:r>
              <w:rPr>
                <w:rFonts w:ascii="Meiryo UI" w:hAnsi="Meiryo UI"/>
                <w:sz w:val="18"/>
              </w:rPr>
              <w:t>5.7</w:t>
            </w:r>
          </w:p>
        </w:tc>
      </w:tr>
      <w:tr>
        <w:tc>
          <w:tcPr>
            <w:tcW w:type="dxa" w:w="1881"/>
          </w:tcPr>
          <w:p>
            <w:r>
              <w:rPr>
                <w:rFonts w:ascii="Meiryo UI" w:hAnsi="Meiryo UI"/>
                <w:sz w:val="18"/>
              </w:rPr>
              <w:t>配当利回り</w:t>
            </w:r>
          </w:p>
        </w:tc>
        <w:tc>
          <w:tcPr>
            <w:tcW w:type="dxa" w:w="1881"/>
          </w:tcPr>
          <w:p>
            <w:r>
              <w:rPr>
                <w:rFonts w:ascii="Meiryo UI" w:hAnsi="Meiryo UI"/>
                <w:sz w:val="18"/>
              </w:rPr>
              <w:t>0%</w:t>
            </w:r>
          </w:p>
        </w:tc>
        <w:tc>
          <w:tcPr>
            <w:tcW w:type="dxa" w:w="1881"/>
          </w:tcPr>
          <w:p>
            <w:r>
              <w:rPr>
                <w:rFonts w:ascii="Meiryo UI" w:hAnsi="Meiryo UI"/>
                <w:sz w:val="18"/>
              </w:rPr>
              <w:t>0%</w:t>
            </w:r>
          </w:p>
        </w:tc>
        <w:tc>
          <w:tcPr>
            <w:tcW w:type="dxa" w:w="1881"/>
          </w:tcPr>
          <w:p>
            <w:r>
              <w:rPr>
                <w:rFonts w:ascii="Meiryo UI" w:hAnsi="Meiryo UI"/>
                <w:sz w:val="18"/>
              </w:rPr>
              <w:t>5.2%</w:t>
            </w:r>
          </w:p>
        </w:tc>
        <w:tc>
          <w:tcPr>
            <w:tcW w:type="dxa" w:w="1881"/>
          </w:tcPr>
          <w:p>
            <w:r>
              <w:rPr>
                <w:rFonts w:ascii="Meiryo UI" w:hAnsi="Meiryo UI"/>
                <w:sz w:val="18"/>
              </w:rPr>
              <w:t>6.4%</w:t>
            </w:r>
          </w:p>
        </w:tc>
      </w:tr>
    </w:tbl>
    <w:p/>
    <w:p>
      <w:r>
        <w:rPr>
          <w:rFonts w:ascii="Meiryo UI" w:hAnsi="Meiryo UI"/>
          <w:sz w:val="20"/>
        </w:rPr>
        <w:t>27/3期営業利益¥292.5Bの内訳（重要）：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金額（推定）</w:t>
            </w:r>
          </w:p>
        </w:tc>
      </w:tr>
      <w:tr>
        <w:tc>
          <w:tcPr>
            <w:tcW w:type="dxa" w:w="4703"/>
          </w:tcPr>
          <w:p>
            <w:r>
              <w:rPr>
                <w:rFonts w:ascii="Meiryo UI" w:hAnsi="Meiryo UI"/>
                <w:sz w:val="18"/>
              </w:rPr>
              <w:t>本業営業利益（統合シナジー¥50億含む）</w:t>
            </w:r>
          </w:p>
        </w:tc>
        <w:tc>
          <w:tcPr>
            <w:tcW w:type="dxa" w:w="4703"/>
          </w:tcPr>
          <w:p>
            <w:r>
              <w:rPr>
                <w:rFonts w:ascii="Meiryo UI" w:hAnsi="Meiryo UI"/>
                <w:sz w:val="18"/>
              </w:rPr>
              <w:t>約¥118B</w:t>
            </w:r>
          </w:p>
        </w:tc>
      </w:tr>
      <w:tr>
        <w:tc>
          <w:tcPr>
            <w:tcW w:type="dxa" w:w="4703"/>
            <w:shd w:val="clear" w:color="auto" w:fill="DDEBF7"/>
          </w:tcPr>
          <w:p>
            <w:r>
              <w:rPr>
                <w:rFonts w:ascii="Meiryo UI" w:hAnsi="Meiryo UI"/>
                <w:sz w:val="18"/>
              </w:rPr>
              <w:t>羽村工場トヨタへの売却益（4/1移管済）</w:t>
            </w:r>
          </w:p>
        </w:tc>
        <w:tc>
          <w:tcPr>
            <w:tcW w:type="dxa" w:w="4703"/>
            <w:shd w:val="clear" w:color="auto" w:fill="DDEBF7"/>
          </w:tcPr>
          <w:p>
            <w:r>
              <w:rPr>
                <w:rFonts w:ascii="Meiryo UI" w:hAnsi="Meiryo UI"/>
                <w:sz w:val="18"/>
              </w:rPr>
              <w:t>¥150B</w:t>
            </w:r>
          </w:p>
        </w:tc>
      </w:tr>
      <w:tr>
        <w:tc>
          <w:tcPr>
            <w:tcW w:type="dxa" w:w="4703"/>
          </w:tcPr>
          <w:p>
            <w:r>
              <w:rPr>
                <w:rFonts w:ascii="Meiryo UI" w:hAnsi="Meiryo UI"/>
                <w:sz w:val="18"/>
              </w:rPr>
              <w:t>販売子会社経営移管等</w:t>
            </w:r>
          </w:p>
        </w:tc>
        <w:tc>
          <w:tcPr>
            <w:tcW w:type="dxa" w:w="4703"/>
          </w:tcPr>
          <w:p>
            <w:r>
              <w:rPr>
                <w:rFonts w:ascii="Meiryo UI" w:hAnsi="Meiryo UI"/>
                <w:sz w:val="18"/>
              </w:rPr>
              <w:t>約¥29B</w:t>
            </w:r>
          </w:p>
        </w:tc>
      </w:tr>
      <w:tr>
        <w:tc>
          <w:tcPr>
            <w:tcW w:type="dxa" w:w="4703"/>
            <w:shd w:val="clear" w:color="auto" w:fill="DDEBF7"/>
          </w:tcPr>
          <w:p>
            <w:r>
              <w:rPr>
                <w:rFonts w:ascii="Meiryo UI" w:hAnsi="Meiryo UI"/>
                <w:sz w:val="18"/>
              </w:rPr>
              <w:t>その他収益合計（一過性）</w:t>
            </w:r>
          </w:p>
        </w:tc>
        <w:tc>
          <w:tcPr>
            <w:tcW w:type="dxa" w:w="4703"/>
            <w:shd w:val="clear" w:color="auto" w:fill="DDEBF7"/>
          </w:tcPr>
          <w:p>
            <w:r>
              <w:rPr>
                <w:rFonts w:ascii="Meiryo UI" w:hAnsi="Meiryo UI"/>
                <w:sz w:val="18"/>
              </w:rPr>
              <w:t>約¥179B</w:t>
            </w:r>
          </w:p>
        </w:tc>
      </w:tr>
    </w:tbl>
    <w:p/>
    <w:p>
      <w:r>
        <w:rPr>
          <w:rFonts w:ascii="Meiryo UI" w:hAnsi="Meiryo UI"/>
          <w:sz w:val="20"/>
        </w:rPr>
        <w:t>27/3期の出荷台数急減の理由：</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区分</w:t>
            </w:r>
          </w:p>
        </w:tc>
        <w:tc>
          <w:tcPr>
            <w:tcW w:type="dxa" w:w="2351"/>
            <w:shd w:val="clear" w:color="auto" w:fill="2E74B5"/>
          </w:tcPr>
          <w:p>
            <w:r>
              <w:rPr>
                <w:rFonts w:ascii="Meiryo UI" w:hAnsi="Meiryo UI"/>
                <w:b/>
                <w:color w:val="FFFFFF"/>
                <w:sz w:val="18"/>
              </w:rPr>
              <w:t>26/3E</w:t>
            </w:r>
          </w:p>
        </w:tc>
        <w:tc>
          <w:tcPr>
            <w:tcW w:type="dxa" w:w="2351"/>
            <w:shd w:val="clear" w:color="auto" w:fill="2E74B5"/>
          </w:tcPr>
          <w:p>
            <w:r>
              <w:rPr>
                <w:rFonts w:ascii="Meiryo UI" w:hAnsi="Meiryo UI"/>
                <w:b/>
                <w:color w:val="FFFFFF"/>
                <w:sz w:val="18"/>
              </w:rPr>
              <w:t>27/3E</w:t>
            </w:r>
          </w:p>
        </w:tc>
        <w:tc>
          <w:tcPr>
            <w:tcW w:type="dxa" w:w="2351"/>
            <w:shd w:val="clear" w:color="auto" w:fill="2E74B5"/>
          </w:tcPr>
          <w:p>
            <w:r>
              <w:rPr>
                <w:rFonts w:ascii="Meiryo UI" w:hAnsi="Meiryo UI"/>
                <w:b/>
                <w:color w:val="FFFFFF"/>
                <w:sz w:val="18"/>
              </w:rPr>
              <w:t>変化</w:t>
            </w:r>
          </w:p>
        </w:tc>
      </w:tr>
      <w:tr>
        <w:tc>
          <w:tcPr>
            <w:tcW w:type="dxa" w:w="2351"/>
          </w:tcPr>
          <w:p>
            <w:r>
              <w:rPr>
                <w:rFonts w:ascii="Meiryo UI" w:hAnsi="Meiryo UI"/>
                <w:sz w:val="18"/>
              </w:rPr>
              <w:t>日本向け</w:t>
            </w:r>
          </w:p>
        </w:tc>
        <w:tc>
          <w:tcPr>
            <w:tcW w:type="dxa" w:w="2351"/>
          </w:tcPr>
          <w:p>
            <w:r>
              <w:rPr>
                <w:rFonts w:ascii="Meiryo UI" w:hAnsi="Meiryo UI"/>
                <w:sz w:val="18"/>
              </w:rPr>
              <w:t>73.5千台</w:t>
            </w:r>
          </w:p>
        </w:tc>
        <w:tc>
          <w:tcPr>
            <w:tcW w:type="dxa" w:w="2351"/>
          </w:tcPr>
          <w:p>
            <w:r>
              <w:rPr>
                <w:rFonts w:ascii="Meiryo UI" w:hAnsi="Meiryo UI"/>
                <w:sz w:val="18"/>
              </w:rPr>
              <w:t>84.4千台</w:t>
            </w:r>
          </w:p>
        </w:tc>
        <w:tc>
          <w:tcPr>
            <w:tcW w:type="dxa" w:w="2351"/>
          </w:tcPr>
          <w:p>
            <w:r>
              <w:rPr>
                <w:rFonts w:ascii="Meiryo UI" w:hAnsi="Meiryo UI"/>
                <w:sz w:val="18"/>
              </w:rPr>
              <w:t>+14.9%</w:t>
            </w:r>
          </w:p>
        </w:tc>
      </w:tr>
      <w:tr>
        <w:tc>
          <w:tcPr>
            <w:tcW w:type="dxa" w:w="2351"/>
            <w:shd w:val="clear" w:color="auto" w:fill="DDEBF7"/>
          </w:tcPr>
          <w:p>
            <w:r>
              <w:rPr>
                <w:rFonts w:ascii="Meiryo UI" w:hAnsi="Meiryo UI"/>
                <w:sz w:val="18"/>
              </w:rPr>
              <w:t>海外向け</w:t>
            </w:r>
          </w:p>
        </w:tc>
        <w:tc>
          <w:tcPr>
            <w:tcW w:type="dxa" w:w="2351"/>
            <w:shd w:val="clear" w:color="auto" w:fill="DDEBF7"/>
          </w:tcPr>
          <w:p>
            <w:r>
              <w:rPr>
                <w:rFonts w:ascii="Meiryo UI" w:hAnsi="Meiryo UI"/>
                <w:sz w:val="18"/>
              </w:rPr>
              <w:t>139.7千台</w:t>
            </w:r>
          </w:p>
        </w:tc>
        <w:tc>
          <w:tcPr>
            <w:tcW w:type="dxa" w:w="2351"/>
            <w:shd w:val="clear" w:color="auto" w:fill="DDEBF7"/>
          </w:tcPr>
          <w:p>
            <w:r>
              <w:rPr>
                <w:rFonts w:ascii="Meiryo UI" w:hAnsi="Meiryo UI"/>
                <w:sz w:val="18"/>
              </w:rPr>
              <w:t>150.5千台</w:t>
            </w:r>
          </w:p>
        </w:tc>
        <w:tc>
          <w:tcPr>
            <w:tcW w:type="dxa" w:w="2351"/>
            <w:shd w:val="clear" w:color="auto" w:fill="DDEBF7"/>
          </w:tcPr>
          <w:p>
            <w:r>
              <w:rPr>
                <w:rFonts w:ascii="Meiryo UI" w:hAnsi="Meiryo UI"/>
                <w:sz w:val="18"/>
              </w:rPr>
              <w:t>+7.7%</w:t>
            </w:r>
          </w:p>
        </w:tc>
      </w:tr>
      <w:tr>
        <w:tc>
          <w:tcPr>
            <w:tcW w:type="dxa" w:w="2351"/>
          </w:tcPr>
          <w:p>
            <w:r>
              <w:rPr>
                <w:rFonts w:ascii="Meiryo UI" w:hAnsi="Meiryo UI"/>
                <w:sz w:val="18"/>
              </w:rPr>
              <w:t>トヨタ受託</w:t>
            </w:r>
          </w:p>
        </w:tc>
        <w:tc>
          <w:tcPr>
            <w:tcW w:type="dxa" w:w="2351"/>
          </w:tcPr>
          <w:p>
            <w:r>
              <w:rPr>
                <w:rFonts w:ascii="Meiryo UI" w:hAnsi="Meiryo UI"/>
                <w:sz w:val="18"/>
              </w:rPr>
              <w:t>148.3千台</w:t>
            </w:r>
          </w:p>
        </w:tc>
        <w:tc>
          <w:tcPr>
            <w:tcW w:type="dxa" w:w="2351"/>
          </w:tcPr>
          <w:p>
            <w:r>
              <w:rPr>
                <w:rFonts w:ascii="Meiryo UI" w:hAnsi="Meiryo UI"/>
                <w:sz w:val="18"/>
              </w:rPr>
              <w:t>8.0千台</w:t>
            </w:r>
          </w:p>
        </w:tc>
        <w:tc>
          <w:tcPr>
            <w:tcW w:type="dxa" w:w="2351"/>
          </w:tcPr>
          <w:p>
            <w:r>
              <w:rPr>
                <w:rFonts w:ascii="Meiryo UI" w:hAnsi="Meiryo UI"/>
                <w:sz w:val="18"/>
              </w:rPr>
              <w:t>▲94.6%</w:t>
            </w:r>
          </w:p>
        </w:tc>
      </w:tr>
      <w:tr>
        <w:tc>
          <w:tcPr>
            <w:tcW w:type="dxa" w:w="2351"/>
            <w:shd w:val="clear" w:color="auto" w:fill="DDEBF7"/>
          </w:tcPr>
          <w:p>
            <w:r>
              <w:rPr>
                <w:rFonts w:ascii="Meiryo UI" w:hAnsi="Meiryo UI"/>
                <w:sz w:val="18"/>
              </w:rPr>
              <w:t>合計</w:t>
            </w:r>
          </w:p>
        </w:tc>
        <w:tc>
          <w:tcPr>
            <w:tcW w:type="dxa" w:w="2351"/>
            <w:shd w:val="clear" w:color="auto" w:fill="DDEBF7"/>
          </w:tcPr>
          <w:p>
            <w:r>
              <w:rPr>
                <w:rFonts w:ascii="Meiryo UI" w:hAnsi="Meiryo UI"/>
                <w:sz w:val="18"/>
              </w:rPr>
              <w:t>361.5千台</w:t>
            </w:r>
          </w:p>
        </w:tc>
        <w:tc>
          <w:tcPr>
            <w:tcW w:type="dxa" w:w="2351"/>
            <w:shd w:val="clear" w:color="auto" w:fill="DDEBF7"/>
          </w:tcPr>
          <w:p>
            <w:r>
              <w:rPr>
                <w:rFonts w:ascii="Meiryo UI" w:hAnsi="Meiryo UI"/>
                <w:sz w:val="18"/>
              </w:rPr>
              <w:t>243.0千台</w:t>
            </w:r>
          </w:p>
        </w:tc>
        <w:tc>
          <w:tcPr>
            <w:tcW w:type="dxa" w:w="2351"/>
            <w:shd w:val="clear" w:color="auto" w:fill="DDEBF7"/>
          </w:tcPr>
          <w:p>
            <w:r>
              <w:rPr>
                <w:rFonts w:ascii="Meiryo UI" w:hAnsi="Meiryo UI"/>
                <w:sz w:val="18"/>
              </w:rPr>
              <w:t>▲32.8%</w:t>
            </w:r>
          </w:p>
        </w:tc>
      </w:tr>
    </w:tbl>
    <w:p/>
    <w:p>
      <w:r>
        <w:rPr>
          <w:rFonts w:ascii="Meiryo UI" w:hAnsi="Meiryo UI"/>
          <w:sz w:val="20"/>
        </w:rPr>
        <w:t>羽村工場移管によりトヨタ向け受託生産がほぼゼロ化→売上高の見かけ上の急減（実態は本業改善）。</w:t>
      </w:r>
    </w:p>
    <w:p/>
    <w:p>
      <w:r>
        <w:t>──────────────────────────────────────────────────</w:t>
      </w:r>
    </w:p>
    <w:p/>
    <w:p>
      <w:pPr>
        <w:pStyle w:val="Heading2"/>
      </w:pPr>
      <w:r>
        <w:rPr>
          <w:rFonts w:ascii="Meiryo UI" w:hAnsi="Meiryo UI"/>
          <w:color w:val="2E74B5"/>
        </w:rPr>
        <w:t>4. フェアバリュー算出（改訂）</w:t>
      </w:r>
    </w:p>
    <w:p/>
    <w:p>
      <w:pPr>
        <w:pStyle w:val="Heading3"/>
      </w:pPr>
      <w:r>
        <w:rPr>
          <w:rFonts w:ascii="Meiryo UI" w:hAnsi="Meiryo UI"/>
          <w:color w:val="2E74B5"/>
        </w:rPr>
        <w:t>Method 1：JPMorgan TP（最高信頼性）</w:t>
      </w:r>
    </w:p>
    <w:p/>
    <w:p>
      <w:r>
        <w:rPr>
          <w:rFonts w:ascii="Meiryo UI" w:hAnsi="Meiryo UI"/>
          <w:sz w:val="20"/>
        </w:rPr>
        <w:t>¥350（Neutral、2026年12月目処）</w:t>
      </w:r>
    </w:p>
    <w:p>
      <w:r>
        <w:rPr>
          <w:rFonts w:ascii="Meiryo UI" w:hAnsi="Meiryo UI"/>
          <w:sz w:val="20"/>
        </w:rPr>
        <w:t>算出根拠：27/3期正規化EPS ¥34（一過性除く）× P/E 10倍（完成車セクター10社平均P/E）</w:t>
      </w:r>
    </w:p>
    <w:p>
      <w:r>
        <w:rPr>
          <w:rFonts w:ascii="Meiryo UI" w:hAnsi="Meiryo UI"/>
          <w:sz w:val="20"/>
        </w:rPr>
        <w:t>Rationale：JPMorgan岸本章AN 2026年4月16日付レポート</w:t>
      </w:r>
    </w:p>
    <w:p/>
    <w:p>
      <w:pPr>
        <w:pStyle w:val="Heading3"/>
      </w:pPr>
      <w:r>
        <w:rPr>
          <w:rFonts w:ascii="Meiryo UI" w:hAnsi="Meiryo UI"/>
          <w:color w:val="2E74B5"/>
        </w:rPr>
        <w:t>Method 2：正規化P/E法</w:t>
      </w:r>
    </w:p>
    <w:p/>
    <w:p>
      <w:pPr>
        <w:pStyle w:val="ListBullet"/>
      </w:pPr>
      <w:r>
        <w:rPr>
          <w:rFonts w:ascii="Meiryo UI" w:hAnsi="Meiryo UI"/>
          <w:sz w:val="20"/>
        </w:rPr>
        <w:t>正規化EPS = 28/3期EPS ¥34.2（統合シナジー¥90億織込み済、一過性なし）</w:t>
      </w:r>
    </w:p>
    <w:p>
      <w:pPr>
        <w:pStyle w:val="ListBullet"/>
      </w:pPr>
      <w:r>
        <w:rPr>
          <w:rFonts w:ascii="Meiryo UI" w:hAnsi="Meiryo UI"/>
          <w:sz w:val="20"/>
        </w:rPr>
        <w:t>P/E 9〜11倍（いすゞ同等水準）</w:t>
      </w:r>
    </w:p>
    <w:p>
      <w:pPr>
        <w:pStyle w:val="ListBullet"/>
      </w:pPr>
      <w:r>
        <w:rPr>
          <w:rFonts w:ascii="Meiryo UI" w:hAnsi="Meiryo UI"/>
          <w:sz w:val="20"/>
        </w:rPr>
        <w:t>FV = ¥308〜¥376（中央値¥342）</w:t>
      </w:r>
    </w:p>
    <w:p/>
    <w:p>
      <w:pPr>
        <w:pStyle w:val="Heading3"/>
      </w:pPr>
      <w:r>
        <w:rPr>
          <w:rFonts w:ascii="Meiryo UI" w:hAnsi="Meiryo UI"/>
          <w:color w:val="2E74B5"/>
        </w:rPr>
        <w:t>Method 3：配当利回り法（インカム視点）</w:t>
      </w:r>
    </w:p>
    <w:p/>
    <w:p>
      <w:pPr>
        <w:pStyle w:val="ListBullet"/>
      </w:pPr>
      <w:r>
        <w:rPr>
          <w:rFonts w:ascii="Meiryo UI" w:hAnsi="Meiryo UI"/>
          <w:sz w:val="20"/>
        </w:rPr>
        <w:t>27/3期DPS ¥20: 利回り5%水準 = ¥400</w:t>
      </w:r>
    </w:p>
    <w:p>
      <w:pPr>
        <w:pStyle w:val="ListBullet"/>
      </w:pPr>
      <w:r>
        <w:rPr>
          <w:rFonts w:ascii="Meiryo UI" w:hAnsi="Meiryo UI"/>
          <w:sz w:val="20"/>
        </w:rPr>
        <w:t>28/3期DPS ¥25: 利回り5%水準 = ¥500</w:t>
      </w:r>
    </w:p>
    <w:p>
      <w:pPr>
        <w:pStyle w:val="ListBullet"/>
      </w:pPr>
      <w:r>
        <w:rPr>
          <w:rFonts w:ascii="Meiryo UI" w:hAnsi="Meiryo UI"/>
          <w:sz w:val="20"/>
        </w:rPr>
        <w:t>利回り6%水準（高配当株需要）: ¥333〜¥417</w:t>
      </w:r>
    </w:p>
    <w:p/>
    <w:p>
      <w:pPr>
        <w:pStyle w:val="Heading3"/>
      </w:pPr>
      <w:r>
        <w:rPr>
          <w:rFonts w:ascii="Meiryo UI" w:hAnsi="Meiryo UI"/>
          <w:color w:val="2E74B5"/>
        </w:rPr>
        <w:t>Method 4：シナリオ加重平均</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株価想定</w:t>
            </w:r>
          </w:p>
        </w:tc>
        <w:tc>
          <w:tcPr>
            <w:tcW w:type="dxa" w:w="2351"/>
            <w:shd w:val="clear" w:color="auto" w:fill="2E74B5"/>
          </w:tcPr>
          <w:p>
            <w:r>
              <w:rPr>
                <w:rFonts w:ascii="Meiryo UI" w:hAnsi="Meiryo UI"/>
                <w:b/>
                <w:color w:val="FFFFFF"/>
                <w:sz w:val="18"/>
              </w:rPr>
              <w:t>トリガー</w:t>
            </w:r>
          </w:p>
        </w:tc>
      </w:tr>
      <w:tr>
        <w:tc>
          <w:tcPr>
            <w:tcW w:type="dxa" w:w="2351"/>
          </w:tcPr>
          <w:p>
            <w:r>
              <w:rPr>
                <w:rFonts w:ascii="Meiryo UI" w:hAnsi="Meiryo UI"/>
                <w:sz w:val="18"/>
              </w:rPr>
              <w:t>持分売却完了・シナジー加速</w:t>
            </w:r>
          </w:p>
        </w:tc>
        <w:tc>
          <w:tcPr>
            <w:tcW w:type="dxa" w:w="2351"/>
          </w:tcPr>
          <w:p>
            <w:r>
              <w:rPr>
                <w:rFonts w:ascii="Meiryo UI" w:hAnsi="Meiryo UI"/>
                <w:sz w:val="18"/>
              </w:rPr>
              <w:t>25%</w:t>
            </w:r>
          </w:p>
        </w:tc>
        <w:tc>
          <w:tcPr>
            <w:tcW w:type="dxa" w:w="2351"/>
          </w:tcPr>
          <w:p>
            <w:r>
              <w:rPr>
                <w:rFonts w:ascii="Meiryo UI" w:hAnsi="Meiryo UI"/>
                <w:sz w:val="18"/>
              </w:rPr>
              <w:t>¥450〜¥480</w:t>
            </w:r>
          </w:p>
        </w:tc>
        <w:tc>
          <w:tcPr>
            <w:tcW w:type="dxa" w:w="2351"/>
          </w:tcPr>
          <w:p>
            <w:r>
              <w:rPr>
                <w:rFonts w:ascii="Meiryo UI" w:hAnsi="Meiryo UI"/>
                <w:sz w:val="18"/>
              </w:rPr>
              <w:t>売却完了後の需給正常化＋27/3期配当</w:t>
            </w:r>
          </w:p>
        </w:tc>
      </w:tr>
      <w:tr>
        <w:tc>
          <w:tcPr>
            <w:tcW w:type="dxa" w:w="2351"/>
            <w:shd w:val="clear" w:color="auto" w:fill="DDEBF7"/>
          </w:tcPr>
          <w:p>
            <w:r>
              <w:rPr>
                <w:rFonts w:ascii="Meiryo UI" w:hAnsi="Meiryo UI"/>
                <w:sz w:val="18"/>
              </w:rPr>
              <w:t>ベースケース（現状継続）</w:t>
            </w:r>
          </w:p>
        </w:tc>
        <w:tc>
          <w:tcPr>
            <w:tcW w:type="dxa" w:w="2351"/>
            <w:shd w:val="clear" w:color="auto" w:fill="DDEBF7"/>
          </w:tcPr>
          <w:p>
            <w:r>
              <w:rPr>
                <w:rFonts w:ascii="Meiryo UI" w:hAnsi="Meiryo UI"/>
                <w:sz w:val="18"/>
              </w:rPr>
              <w:t>40%</w:t>
            </w:r>
          </w:p>
        </w:tc>
        <w:tc>
          <w:tcPr>
            <w:tcW w:type="dxa" w:w="2351"/>
            <w:shd w:val="clear" w:color="auto" w:fill="DDEBF7"/>
          </w:tcPr>
          <w:p>
            <w:r>
              <w:rPr>
                <w:rFonts w:ascii="Meiryo UI" w:hAnsi="Meiryo UI"/>
                <w:sz w:val="18"/>
              </w:rPr>
              <w:t>¥330〜¥380</w:t>
            </w:r>
          </w:p>
        </w:tc>
        <w:tc>
          <w:tcPr>
            <w:tcW w:type="dxa" w:w="2351"/>
            <w:shd w:val="clear" w:color="auto" w:fill="DDEBF7"/>
          </w:tcPr>
          <w:p>
            <w:r>
              <w:rPr>
                <w:rFonts w:ascii="Meiryo UI" w:hAnsi="Meiryo UI"/>
                <w:sz w:val="18"/>
              </w:rPr>
              <w:t>正規化P/E 10倍水準</w:t>
            </w:r>
          </w:p>
        </w:tc>
      </w:tr>
      <w:tr>
        <w:tc>
          <w:tcPr>
            <w:tcW w:type="dxa" w:w="2351"/>
          </w:tcPr>
          <w:p>
            <w:r>
              <w:rPr>
                <w:rFonts w:ascii="Meiryo UI" w:hAnsi="Meiryo UI"/>
                <w:sz w:val="18"/>
              </w:rPr>
              <w:t>持分売却長期化・市場軟調</w:t>
            </w:r>
          </w:p>
        </w:tc>
        <w:tc>
          <w:tcPr>
            <w:tcW w:type="dxa" w:w="2351"/>
          </w:tcPr>
          <w:p>
            <w:r>
              <w:rPr>
                <w:rFonts w:ascii="Meiryo UI" w:hAnsi="Meiryo UI"/>
                <w:sz w:val="18"/>
              </w:rPr>
              <w:t>25%</w:t>
            </w:r>
          </w:p>
        </w:tc>
        <w:tc>
          <w:tcPr>
            <w:tcW w:type="dxa" w:w="2351"/>
          </w:tcPr>
          <w:p>
            <w:r>
              <w:rPr>
                <w:rFonts w:ascii="Meiryo UI" w:hAnsi="Meiryo UI"/>
                <w:sz w:val="18"/>
              </w:rPr>
              <w:t>¥260〜¥300</w:t>
            </w:r>
          </w:p>
        </w:tc>
        <w:tc>
          <w:tcPr>
            <w:tcW w:type="dxa" w:w="2351"/>
          </w:tcPr>
          <w:p>
            <w:r>
              <w:rPr>
                <w:rFonts w:ascii="Meiryo UI" w:hAnsi="Meiryo UI"/>
                <w:sz w:val="18"/>
              </w:rPr>
              <w:t>¥300前後で需給悪化継続</w:t>
            </w:r>
          </w:p>
        </w:tc>
      </w:tr>
      <w:tr>
        <w:tc>
          <w:tcPr>
            <w:tcW w:type="dxa" w:w="2351"/>
            <w:shd w:val="clear" w:color="auto" w:fill="DDEBF7"/>
          </w:tcPr>
          <w:p>
            <w:r>
              <w:rPr>
                <w:rFonts w:ascii="Meiryo UI" w:hAnsi="Meiryo UI"/>
                <w:sz w:val="18"/>
              </w:rPr>
              <w:t>統合失敗・EV競合・円高急進</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¥180〜¥240</w:t>
            </w:r>
          </w:p>
        </w:tc>
        <w:tc>
          <w:tcPr>
            <w:tcW w:type="dxa" w:w="2351"/>
            <w:shd w:val="clear" w:color="auto" w:fill="DDEBF7"/>
          </w:tcPr>
          <w:p>
            <w:r>
              <w:rPr>
                <w:rFonts w:ascii="Meiryo UI" w:hAnsi="Meiryo UI"/>
                <w:sz w:val="18"/>
              </w:rPr>
              <w:t>130円超の円高＋統合コスト膨張</w:t>
            </w:r>
          </w:p>
        </w:tc>
      </w:tr>
    </w:tbl>
    <w:p/>
    <w:p>
      <w:r>
        <w:rPr>
          <w:rFonts w:ascii="Meiryo UI" w:hAnsi="Meiryo UI"/>
          <w:sz w:val="20"/>
        </w:rPr>
        <w:t>加重平均FV：¥349（JPMorgan TP ¥350と整合）</w:t>
      </w:r>
    </w:p>
    <w:p/>
    <w:p>
      <w:pPr>
        <w:pStyle w:val="Heading3"/>
      </w:pPr>
      <w:r>
        <w:rPr>
          <w:rFonts w:ascii="Meiryo UI" w:hAnsi="Meiryo UI"/>
          <w:color w:val="2E74B5"/>
        </w:rPr>
        <w:t>採用フェアバリュー（改訂）</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ケース</w:t>
            </w:r>
          </w:p>
        </w:tc>
        <w:tc>
          <w:tcPr>
            <w:tcW w:type="dxa" w:w="3135"/>
            <w:shd w:val="clear" w:color="auto" w:fill="2E74B5"/>
          </w:tcPr>
          <w:p>
            <w:r>
              <w:rPr>
                <w:rFonts w:ascii="Meiryo UI" w:hAnsi="Meiryo UI"/>
                <w:b/>
                <w:color w:val="FFFFFF"/>
                <w:sz w:val="18"/>
              </w:rPr>
              <w:t>FV</w:t>
            </w:r>
          </w:p>
        </w:tc>
        <w:tc>
          <w:tcPr>
            <w:tcW w:type="dxa" w:w="3135"/>
            <w:shd w:val="clear" w:color="auto" w:fill="2E74B5"/>
          </w:tcPr>
          <w:p>
            <w:r>
              <w:rPr>
                <w:rFonts w:ascii="Meiryo UI" w:hAnsi="Meiryo UI"/>
                <w:b/>
                <w:color w:val="FFFFFF"/>
                <w:sz w:val="18"/>
              </w:rPr>
              <w:t>現値比</w:t>
            </w:r>
          </w:p>
        </w:tc>
      </w:tr>
      <w:tr>
        <w:tc>
          <w:tcPr>
            <w:tcW w:type="dxa" w:w="3135"/>
          </w:tcPr>
          <w:p>
            <w:r>
              <w:rPr>
                <w:rFonts w:ascii="Meiryo UI" w:hAnsi="Meiryo UI"/>
                <w:sz w:val="18"/>
              </w:rPr>
              <w:t>ベースケース</w:t>
            </w:r>
          </w:p>
        </w:tc>
        <w:tc>
          <w:tcPr>
            <w:tcW w:type="dxa" w:w="3135"/>
          </w:tcPr>
          <w:p>
            <w:r>
              <w:rPr>
                <w:rFonts w:ascii="Meiryo UI" w:hAnsi="Meiryo UI"/>
                <w:sz w:val="18"/>
              </w:rPr>
              <w:t>¥340</w:t>
            </w:r>
          </w:p>
        </w:tc>
        <w:tc>
          <w:tcPr>
            <w:tcW w:type="dxa" w:w="3135"/>
          </w:tcPr>
          <w:p>
            <w:r>
              <w:rPr>
                <w:rFonts w:ascii="Meiryo UI" w:hAnsi="Meiryo UI"/>
                <w:sz w:val="18"/>
              </w:rPr>
              <w:t>±0%</w:t>
            </w:r>
          </w:p>
        </w:tc>
      </w:tr>
      <w:tr>
        <w:tc>
          <w:tcPr>
            <w:tcW w:type="dxa" w:w="3135"/>
            <w:shd w:val="clear" w:color="auto" w:fill="DDEBF7"/>
          </w:tcPr>
          <w:p>
            <w:r>
              <w:rPr>
                <w:rFonts w:ascii="Meiryo UI" w:hAnsi="Meiryo UI"/>
                <w:sz w:val="18"/>
              </w:rPr>
              <w:t>ブルケース</w:t>
            </w:r>
          </w:p>
        </w:tc>
        <w:tc>
          <w:tcPr>
            <w:tcW w:type="dxa" w:w="3135"/>
            <w:shd w:val="clear" w:color="auto" w:fill="DDEBF7"/>
          </w:tcPr>
          <w:p>
            <w:r>
              <w:rPr>
                <w:rFonts w:ascii="Meiryo UI" w:hAnsi="Meiryo UI"/>
                <w:sz w:val="18"/>
              </w:rPr>
              <w:t>¥480</w:t>
            </w:r>
          </w:p>
        </w:tc>
        <w:tc>
          <w:tcPr>
            <w:tcW w:type="dxa" w:w="3135"/>
            <w:shd w:val="clear" w:color="auto" w:fill="DDEBF7"/>
          </w:tcPr>
          <w:p>
            <w:r>
              <w:rPr>
                <w:rFonts w:ascii="Meiryo UI" w:hAnsi="Meiryo UI"/>
                <w:sz w:val="18"/>
              </w:rPr>
              <w:t>+41%</w:t>
            </w:r>
          </w:p>
        </w:tc>
      </w:tr>
      <w:tr>
        <w:tc>
          <w:tcPr>
            <w:tcW w:type="dxa" w:w="3135"/>
          </w:tcPr>
          <w:p>
            <w:r>
              <w:rPr>
                <w:rFonts w:ascii="Meiryo UI" w:hAnsi="Meiryo UI"/>
                <w:sz w:val="18"/>
              </w:rPr>
              <w:t>ベアケース</w:t>
            </w:r>
          </w:p>
        </w:tc>
        <w:tc>
          <w:tcPr>
            <w:tcW w:type="dxa" w:w="3135"/>
          </w:tcPr>
          <w:p>
            <w:r>
              <w:rPr>
                <w:rFonts w:ascii="Meiryo UI" w:hAnsi="Meiryo UI"/>
                <w:sz w:val="18"/>
              </w:rPr>
              <w:t>¥260</w:t>
            </w:r>
          </w:p>
        </w:tc>
        <w:tc>
          <w:tcPr>
            <w:tcW w:type="dxa" w:w="3135"/>
          </w:tcPr>
          <w:p>
            <w:r>
              <w:rPr>
                <w:rFonts w:ascii="Meiryo UI" w:hAnsi="Meiryo UI"/>
                <w:sz w:val="18"/>
              </w:rPr>
              <w:t>−24%</w:t>
            </w:r>
          </w:p>
        </w:tc>
      </w:tr>
    </w:tbl>
    <w:p/>
    <w:p>
      <w:r>
        <w:t>──────────────────────────────────────────────────</w:t>
      </w:r>
    </w:p>
    <w:p/>
    <w:p>
      <w:pPr>
        <w:pStyle w:val="Heading2"/>
      </w:pPr>
      <w:r>
        <w:rPr>
          <w:rFonts w:ascii="Meiryo UI" w:hAnsi="Meiryo UI"/>
          <w:color w:val="2E74B5"/>
        </w:rPr>
        <w:t>5. 浅井スコア内訳（改訂）</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根拠（改訂）</w:t>
            </w:r>
          </w:p>
        </w:tc>
      </w:tr>
      <w:tr>
        <w:tc>
          <w:tcPr>
            <w:tcW w:type="dxa" w:w="3135"/>
          </w:tcPr>
          <w:p>
            <w:r>
              <w:rPr>
                <w:rFonts w:ascii="Meiryo UI" w:hAnsi="Meiryo UI"/>
                <w:sz w:val="18"/>
              </w:rPr>
              <w:t>バリュエーション</w:t>
            </w:r>
          </w:p>
        </w:tc>
        <w:tc>
          <w:tcPr>
            <w:tcW w:type="dxa" w:w="3135"/>
          </w:tcPr>
          <w:p>
            <w:r>
              <w:rPr>
                <w:rFonts w:ascii="Meiryo UI" w:hAnsi="Meiryo UI"/>
                <w:sz w:val="18"/>
              </w:rPr>
              <w:t>+8</w:t>
            </w:r>
          </w:p>
        </w:tc>
        <w:tc>
          <w:tcPr>
            <w:tcW w:type="dxa" w:w="3135"/>
          </w:tcPr>
          <w:p>
            <w:r>
              <w:rPr>
                <w:rFonts w:ascii="Meiryo UI" w:hAnsi="Meiryo UI"/>
                <w:sz w:val="18"/>
              </w:rPr>
              <w:t>正規化P/E約10倍は同業並み。割安感なし（前回+15から修正）</w:t>
            </w:r>
          </w:p>
        </w:tc>
      </w:tr>
      <w:tr>
        <w:tc>
          <w:tcPr>
            <w:tcW w:type="dxa" w:w="3135"/>
            <w:shd w:val="clear" w:color="auto" w:fill="DDEBF7"/>
          </w:tcPr>
          <w:p>
            <w:r>
              <w:rPr>
                <w:rFonts w:ascii="Meiryo UI" w:hAnsi="Meiryo UI"/>
                <w:sz w:val="18"/>
              </w:rPr>
              <w:t>カタリスト</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27/3期配当開始5.2%・28/3期6.4%は確度高い下値サポート</w:t>
            </w:r>
          </w:p>
        </w:tc>
      </w:tr>
      <w:tr>
        <w:tc>
          <w:tcPr>
            <w:tcW w:type="dxa" w:w="3135"/>
          </w:tcPr>
          <w:p>
            <w:r>
              <w:rPr>
                <w:rFonts w:ascii="Meiryo UI" w:hAnsi="Meiryo UI"/>
                <w:sz w:val="18"/>
              </w:rPr>
              <w:t>テクニカル</w:t>
            </w:r>
          </w:p>
        </w:tc>
        <w:tc>
          <w:tcPr>
            <w:tcW w:type="dxa" w:w="3135"/>
          </w:tcPr>
          <w:p>
            <w:r>
              <w:rPr>
                <w:rFonts w:ascii="Meiryo UI" w:hAnsi="Meiryo UI"/>
                <w:sz w:val="18"/>
              </w:rPr>
              <w:t>−15</w:t>
            </w:r>
          </w:p>
        </w:tc>
        <w:tc>
          <w:tcPr>
            <w:tcW w:type="dxa" w:w="3135"/>
          </w:tcPr>
          <w:p>
            <w:r>
              <w:rPr>
                <w:rFonts w:ascii="Meiryo UI" w:hAnsi="Meiryo UI"/>
                <w:sz w:val="18"/>
              </w:rPr>
              <w:t>52週高値¥562から▲39%・ボラ高・需給悪化継続</w:t>
            </w:r>
          </w:p>
        </w:tc>
      </w:tr>
      <w:tr>
        <w:tc>
          <w:tcPr>
            <w:tcW w:type="dxa" w:w="3135"/>
            <w:shd w:val="clear" w:color="auto" w:fill="DDEBF7"/>
          </w:tcPr>
          <w:p>
            <w:r>
              <w:rPr>
                <w:rFonts w:ascii="Meiryo UI" w:hAnsi="Meiryo UI"/>
                <w:sz w:val="18"/>
              </w:rPr>
              <w:t>アナリスト</w:t>
            </w:r>
          </w:p>
        </w:tc>
        <w:tc>
          <w:tcPr>
            <w:tcW w:type="dxa" w:w="3135"/>
            <w:shd w:val="clear" w:color="auto" w:fill="DDEBF7"/>
          </w:tcPr>
          <w:p>
            <w:r>
              <w:rPr>
                <w:rFonts w:ascii="Meiryo UI" w:hAnsi="Meiryo UI"/>
                <w:sz w:val="18"/>
              </w:rPr>
              <w:t>−5</w:t>
            </w:r>
          </w:p>
        </w:tc>
        <w:tc>
          <w:tcPr>
            <w:tcW w:type="dxa" w:w="3135"/>
            <w:shd w:val="clear" w:color="auto" w:fill="DDEBF7"/>
          </w:tcPr>
          <w:p>
            <w:r>
              <w:rPr>
                <w:rFonts w:ascii="Meiryo UI" w:hAnsi="Meiryo UI"/>
                <w:sz w:val="18"/>
              </w:rPr>
              <w:t>JPMorgan Neutral TP¥350。BBG ANR 0買い・2保留・2売り</w:t>
            </w:r>
          </w:p>
        </w:tc>
      </w:tr>
      <w:tr>
        <w:tc>
          <w:tcPr>
            <w:tcW w:type="dxa" w:w="3135"/>
          </w:tcPr>
          <w:p>
            <w:r>
              <w:rPr>
                <w:rFonts w:ascii="Meiryo UI" w:hAnsi="Meiryo UI"/>
                <w:sz w:val="18"/>
              </w:rPr>
              <w:t>需給リスク</w:t>
            </w:r>
          </w:p>
        </w:tc>
        <w:tc>
          <w:tcPr>
            <w:tcW w:type="dxa" w:w="3135"/>
          </w:tcPr>
          <w:p>
            <w:r>
              <w:rPr>
                <w:rFonts w:ascii="Meiryo UI" w:hAnsi="Meiryo UI"/>
                <w:sz w:val="18"/>
              </w:rPr>
              <w:t>−20</w:t>
            </w:r>
          </w:p>
        </w:tc>
        <w:tc>
          <w:tcPr>
            <w:tcW w:type="dxa" w:w="3135"/>
          </w:tcPr>
          <w:p>
            <w:r>
              <w:rPr>
                <w:rFonts w:ascii="Meiryo UI" w:hAnsi="Meiryo UI"/>
                <w:sz w:val="18"/>
              </w:rPr>
              <w:t>トヨタ・ダイムラー32.8%（¥3,070億）売却需給【新規追加】</w:t>
            </w:r>
          </w:p>
        </w:tc>
      </w:tr>
      <w:tr>
        <w:tc>
          <w:tcPr>
            <w:tcW w:type="dxa" w:w="3135"/>
            <w:shd w:val="clear" w:color="auto" w:fill="DDEBF7"/>
          </w:tcPr>
          <w:p>
            <w:r>
              <w:rPr>
                <w:rFonts w:ascii="Meiryo UI" w:hAnsi="Meiryo UI"/>
                <w:sz w:val="18"/>
              </w:rPr>
              <w:t>財務健全性</w:t>
            </w:r>
          </w:p>
        </w:tc>
        <w:tc>
          <w:tcPr>
            <w:tcW w:type="dxa" w:w="3135"/>
            <w:shd w:val="clear" w:color="auto" w:fill="DDEBF7"/>
          </w:tcPr>
          <w:p>
            <w:r>
              <w:rPr>
                <w:rFonts w:ascii="Meiryo UI" w:hAnsi="Meiryo UI"/>
                <w:sz w:val="18"/>
              </w:rPr>
              <w:t>+8</w:t>
            </w:r>
          </w:p>
        </w:tc>
        <w:tc>
          <w:tcPr>
            <w:tcW w:type="dxa" w:w="3135"/>
            <w:shd w:val="clear" w:color="auto" w:fill="DDEBF7"/>
          </w:tcPr>
          <w:p>
            <w:r>
              <w:rPr>
                <w:rFonts w:ascii="Meiryo UI" w:hAnsi="Meiryo UI"/>
                <w:sz w:val="18"/>
              </w:rPr>
              <w:t>Toyota+Daimler各41.4%保有→デフォルトリスクなし。配当開始見通し</w:t>
            </w:r>
          </w:p>
        </w:tc>
      </w:tr>
      <w:tr>
        <w:tc>
          <w:tcPr>
            <w:tcW w:type="dxa" w:w="3135"/>
          </w:tcPr>
          <w:p>
            <w:r>
              <w:rPr>
                <w:rFonts w:ascii="Meiryo UI" w:hAnsi="Meiryo UI"/>
                <w:sz w:val="18"/>
              </w:rPr>
              <w:t>不動産NAV</w:t>
            </w:r>
          </w:p>
        </w:tc>
        <w:tc>
          <w:tcPr>
            <w:tcW w:type="dxa" w:w="3135"/>
          </w:tcPr>
          <w:p>
            <w:r>
              <w:rPr>
                <w:rFonts w:ascii="Meiryo UI" w:hAnsi="Meiryo UI"/>
                <w:sz w:val="18"/>
              </w:rPr>
              <w:t>+6</w:t>
            </w:r>
          </w:p>
        </w:tc>
        <w:tc>
          <w:tcPr>
            <w:tcW w:type="dxa" w:w="3135"/>
          </w:tcPr>
          <w:p>
            <w:r>
              <w:rPr>
                <w:rFonts w:ascii="Meiryo UI" w:hAnsi="Meiryo UI"/>
                <w:sz w:val="18"/>
              </w:rPr>
              <w:t>羽村工場売却完了。残存：中津→川崎集約、富山→Foxconn JV移管</w:t>
            </w:r>
          </w:p>
        </w:tc>
      </w:tr>
      <w:tr>
        <w:tc>
          <w:tcPr>
            <w:tcW w:type="dxa" w:w="3135"/>
            <w:shd w:val="clear" w:color="auto" w:fill="DDEBF7"/>
          </w:tcPr>
          <w:p>
            <w:r>
              <w:rPr>
                <w:rFonts w:ascii="Meiryo UI" w:hAnsi="Meiryo UI"/>
                <w:sz w:val="18"/>
              </w:rPr>
              <w:t>統合シナジー</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27/3期¥50億・28/3期¥90億確認（JPMorgan織込み済）</w:t>
            </w:r>
          </w:p>
        </w:tc>
      </w:tr>
      <w:tr>
        <w:tc>
          <w:tcPr>
            <w:tcW w:type="dxa" w:w="3135"/>
          </w:tcPr>
          <w:p>
            <w:r>
              <w:rPr>
                <w:rFonts w:ascii="Meiryo UI" w:hAnsi="Meiryo UI"/>
                <w:sz w:val="18"/>
              </w:rPr>
              <w:t>ダウンサイドリスク</w:t>
            </w:r>
          </w:p>
        </w:tc>
        <w:tc>
          <w:tcPr>
            <w:tcW w:type="dxa" w:w="3135"/>
          </w:tcPr>
          <w:p>
            <w:r>
              <w:rPr>
                <w:rFonts w:ascii="Meiryo UI" w:hAnsi="Meiryo UI"/>
                <w:sz w:val="18"/>
              </w:rPr>
              <w:t>−8</w:t>
            </w:r>
          </w:p>
        </w:tc>
        <w:tc>
          <w:tcPr>
            <w:tcW w:type="dxa" w:w="3135"/>
          </w:tcPr>
          <w:p>
            <w:r>
              <w:rPr>
                <w:rFonts w:ascii="Meiryo UI" w:hAnsi="Meiryo UI"/>
                <w:sz w:val="18"/>
              </w:rPr>
              <w:t>ASEAN需要低迷・米アーカンソー損失・円高進行（JPMorganリスク）</w:t>
            </w:r>
          </w:p>
        </w:tc>
      </w:tr>
      <w:tr>
        <w:tc>
          <w:tcPr>
            <w:tcW w:type="dxa" w:w="3135"/>
            <w:shd w:val="clear" w:color="auto" w:fill="DDEBF7"/>
          </w:tcPr>
          <w:p>
            <w:r>
              <w:rPr>
                <w:rFonts w:ascii="Meiryo UI" w:hAnsi="Meiryo UI"/>
                <w:sz w:val="18"/>
              </w:rPr>
              <w:t>合計</w:t>
            </w:r>
          </w:p>
        </w:tc>
        <w:tc>
          <w:tcPr>
            <w:tcW w:type="dxa" w:w="3135"/>
            <w:shd w:val="clear" w:color="auto" w:fill="DDEBF7"/>
          </w:tcPr>
          <w:p>
            <w:r>
              <w:rPr>
                <w:rFonts w:ascii="Meiryo UI" w:hAnsi="Meiryo UI"/>
                <w:sz w:val="18"/>
              </w:rPr>
              <w:t>+29</w:t>
            </w:r>
          </w:p>
        </w:tc>
        <w:tc>
          <w:tcPr>
            <w:tcW w:type="dxa" w:w="3135"/>
            <w:shd w:val="clear" w:color="auto" w:fill="DDEBF7"/>
          </w:tcPr>
          <w:p>
            <w:r>
              <w:rPr>
                <w:rFonts w:ascii="Meiryo UI" w:hAnsi="Meiryo UI"/>
                <w:sz w:val="18"/>
              </w:rPr>
              <w:t>WATCH弱気寄り中立（前回+48から▲19pt修正）</w:t>
            </w:r>
          </w:p>
        </w:tc>
      </w:tr>
    </w:tbl>
    <w:p/>
    <w:p>
      <w:r>
        <w:t>──────────────────────────────────────────────────</w:t>
      </w:r>
    </w:p>
    <w:p/>
    <w:p>
      <w:pPr>
        <w:pStyle w:val="Heading2"/>
      </w:pPr>
      <w:r>
        <w:rPr>
          <w:rFonts w:ascii="Meiryo UI" w:hAnsi="Meiryo UI"/>
          <w:color w:val="2E74B5"/>
        </w:rPr>
        <w:t>6. 不動産含み益 NAV考察（改訂）</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工場</w:t>
            </w:r>
          </w:p>
        </w:tc>
        <w:tc>
          <w:tcPr>
            <w:tcW w:type="dxa" w:w="3135"/>
            <w:shd w:val="clear" w:color="auto" w:fill="2E74B5"/>
          </w:tcPr>
          <w:p>
            <w:r>
              <w:rPr>
                <w:rFonts w:ascii="Meiryo UI" w:hAnsi="Meiryo UI"/>
                <w:b/>
                <w:color w:val="FFFFFF"/>
                <w:sz w:val="18"/>
              </w:rPr>
              <w:t>状況</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羽村工場（日野・東京都羽村市）</w:t>
            </w:r>
          </w:p>
        </w:tc>
        <w:tc>
          <w:tcPr>
            <w:tcW w:type="dxa" w:w="3135"/>
          </w:tcPr>
          <w:p>
            <w:r>
              <w:rPr>
                <w:rFonts w:ascii="Meiryo UI" w:hAnsi="Meiryo UI"/>
                <w:sz w:val="18"/>
              </w:rPr>
              <w:t>2026年4月1日にトヨタへ移管済・¥1,500億収益化</w:t>
            </w:r>
          </w:p>
        </w:tc>
        <w:tc>
          <w:tcPr>
            <w:tcW w:type="dxa" w:w="3135"/>
          </w:tcPr>
          <w:p>
            <w:r>
              <w:rPr>
                <w:rFonts w:ascii="Meiryo UI" w:hAnsi="Meiryo UI"/>
                <w:sz w:val="18"/>
              </w:rPr>
              <w:t>完了</w:t>
            </w:r>
          </w:p>
        </w:tc>
      </w:tr>
      <w:tr>
        <w:tc>
          <w:tcPr>
            <w:tcW w:type="dxa" w:w="3135"/>
            <w:shd w:val="clear" w:color="auto" w:fill="DDEBF7"/>
          </w:tcPr>
          <w:p>
            <w:r>
              <w:rPr>
                <w:rFonts w:ascii="Meiryo UI" w:hAnsi="Meiryo UI"/>
                <w:sz w:val="18"/>
              </w:rPr>
              <w:t>中津工場（ふそう・神奈川県愛甲郡）</w:t>
            </w:r>
          </w:p>
        </w:tc>
        <w:tc>
          <w:tcPr>
            <w:tcW w:type="dxa" w:w="3135"/>
            <w:shd w:val="clear" w:color="auto" w:fill="DDEBF7"/>
          </w:tcPr>
          <w:p>
            <w:r>
              <w:rPr>
                <w:rFonts w:ascii="Meiryo UI" w:hAnsi="Meiryo UI"/>
                <w:sz w:val="18"/>
              </w:rPr>
              <w:t>2028年までに川崎製作所へ集約予定</w:t>
            </w:r>
          </w:p>
        </w:tc>
        <w:tc>
          <w:tcPr>
            <w:tcW w:type="dxa" w:w="3135"/>
            <w:shd w:val="clear" w:color="auto" w:fill="DDEBF7"/>
          </w:tcPr>
          <w:p>
            <w:r>
              <w:rPr>
                <w:rFonts w:ascii="Meiryo UI" w:hAnsi="Meiryo UI"/>
                <w:sz w:val="18"/>
              </w:rPr>
              <w:t>潜在¥40〜100億</w:t>
            </w:r>
          </w:p>
        </w:tc>
      </w:tr>
      <w:tr>
        <w:tc>
          <w:tcPr>
            <w:tcW w:type="dxa" w:w="3135"/>
          </w:tcPr>
          <w:p>
            <w:r>
              <w:rPr>
                <w:rFonts w:ascii="Meiryo UI" w:hAnsi="Meiryo UI"/>
                <w:sz w:val="18"/>
              </w:rPr>
              <w:t>富山工場（ふそう）</w:t>
            </w:r>
          </w:p>
        </w:tc>
        <w:tc>
          <w:tcPr>
            <w:tcW w:type="dxa" w:w="3135"/>
          </w:tcPr>
          <w:p>
            <w:r>
              <w:rPr>
                <w:rFonts w:ascii="Meiryo UI" w:hAnsi="Meiryo UI"/>
                <w:sz w:val="18"/>
              </w:rPr>
              <w:t>2026年後半にふそう×鴻海JVへ移管予定</w:t>
            </w:r>
          </w:p>
        </w:tc>
        <w:tc>
          <w:tcPr>
            <w:tcW w:type="dxa" w:w="3135"/>
          </w:tcPr>
          <w:p>
            <w:r>
              <w:rPr>
                <w:rFonts w:ascii="Meiryo UI" w:hAnsi="Meiryo UI"/>
                <w:sz w:val="18"/>
              </w:rPr>
              <w:t>潜在含み益あり（規模未確認）</w:t>
            </w:r>
          </w:p>
        </w:tc>
      </w:tr>
    </w:tbl>
    <w:p/>
    <w:p>
      <w:r>
        <w:rPr>
          <w:rFonts w:ascii="Meiryo UI" w:hAnsi="Meiryo UI"/>
          <w:sz w:val="20"/>
        </w:rPr>
        <w:t>羽村工場の売却（¥1,500億）は完了済み。残存含み益は中津・富山の2工場。</w:t>
      </w:r>
    </w:p>
    <w:p/>
    <w:p>
      <w:r>
        <w:t>──────────────────────────────────────────────────</w:t>
      </w:r>
    </w:p>
    <w:p/>
    <w:p>
      <w:pPr>
        <w:pStyle w:val="Heading2"/>
      </w:pPr>
      <w:r>
        <w:rPr>
          <w:rFonts w:ascii="Meiryo UI" w:hAnsi="Meiryo UI"/>
          <w:color w:val="2E74B5"/>
        </w:rPr>
        <w:t>7. ホルムズ・塗料不足リスク（維持）</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原材料</w:t>
            </w:r>
          </w:p>
        </w:tc>
        <w:tc>
          <w:tcPr>
            <w:tcW w:type="dxa" w:w="2351"/>
            <w:shd w:val="clear" w:color="auto" w:fill="2E74B5"/>
          </w:tcPr>
          <w:p>
            <w:r>
              <w:rPr>
                <w:rFonts w:ascii="Meiryo UI" w:hAnsi="Meiryo UI"/>
                <w:b/>
                <w:color w:val="FFFFFF"/>
                <w:sz w:val="18"/>
              </w:rPr>
              <w:t>主用途</w:t>
            </w:r>
          </w:p>
        </w:tc>
        <w:tc>
          <w:tcPr>
            <w:tcW w:type="dxa" w:w="2351"/>
            <w:shd w:val="clear" w:color="auto" w:fill="2E74B5"/>
          </w:tcPr>
          <w:p>
            <w:r>
              <w:rPr>
                <w:rFonts w:ascii="Meiryo UI" w:hAnsi="Meiryo UI"/>
                <w:b/>
                <w:color w:val="FFFFFF"/>
                <w:sz w:val="18"/>
              </w:rPr>
              <w:t>ホルムズ依存</w:t>
            </w:r>
          </w:p>
        </w:tc>
        <w:tc>
          <w:tcPr>
            <w:tcW w:type="dxa" w:w="2351"/>
            <w:shd w:val="clear" w:color="auto" w:fill="2E74B5"/>
          </w:tcPr>
          <w:p>
            <w:r>
              <w:rPr>
                <w:rFonts w:ascii="Meiryo UI" w:hAnsi="Meiryo UI"/>
                <w:b/>
                <w:color w:val="FFFFFF"/>
                <w:sz w:val="18"/>
              </w:rPr>
              <w:t>価格上昇推定</w:t>
            </w:r>
          </w:p>
        </w:tc>
      </w:tr>
      <w:tr>
        <w:tc>
          <w:tcPr>
            <w:tcW w:type="dxa" w:w="2351"/>
          </w:tcPr>
          <w:p>
            <w:r>
              <w:rPr>
                <w:rFonts w:ascii="Meiryo UI" w:hAnsi="Meiryo UI"/>
                <w:sz w:val="18"/>
              </w:rPr>
              <w:t>MDI/TDI（イソシアネート）</w:t>
            </w:r>
          </w:p>
        </w:tc>
        <w:tc>
          <w:tcPr>
            <w:tcW w:type="dxa" w:w="2351"/>
          </w:tcPr>
          <w:p>
            <w:r>
              <w:rPr>
                <w:rFonts w:ascii="Meiryo UI" w:hAnsi="Meiryo UI"/>
                <w:sz w:val="18"/>
              </w:rPr>
              <w:t>ウレタン系クリアコート</w:t>
            </w:r>
          </w:p>
        </w:tc>
        <w:tc>
          <w:tcPr>
            <w:tcW w:type="dxa" w:w="2351"/>
          </w:tcPr>
          <w:p>
            <w:r>
              <w:rPr>
                <w:rFonts w:ascii="Meiryo UI" w:hAnsi="Meiryo UI"/>
                <w:sz w:val="18"/>
              </w:rPr>
              <w:t>中〜高</w:t>
            </w:r>
          </w:p>
        </w:tc>
        <w:tc>
          <w:tcPr>
            <w:tcW w:type="dxa" w:w="2351"/>
          </w:tcPr>
          <w:p>
            <w:r>
              <w:rPr>
                <w:rFonts w:ascii="Meiryo UI" w:hAnsi="Meiryo UI"/>
                <w:sz w:val="18"/>
              </w:rPr>
              <w:t>+30〜50%</w:t>
            </w:r>
          </w:p>
        </w:tc>
      </w:tr>
      <w:tr>
        <w:tc>
          <w:tcPr>
            <w:tcW w:type="dxa" w:w="2351"/>
            <w:shd w:val="clear" w:color="auto" w:fill="DDEBF7"/>
          </w:tcPr>
          <w:p>
            <w:r>
              <w:rPr>
                <w:rFonts w:ascii="Meiryo UI" w:hAnsi="Meiryo UI"/>
                <w:sz w:val="18"/>
              </w:rPr>
              <w:t>アクリル樹脂モノマー</w:t>
            </w:r>
          </w:p>
        </w:tc>
        <w:tc>
          <w:tcPr>
            <w:tcW w:type="dxa" w:w="2351"/>
            <w:shd w:val="clear" w:color="auto" w:fill="DDEBF7"/>
          </w:tcPr>
          <w:p>
            <w:r>
              <w:rPr>
                <w:rFonts w:ascii="Meiryo UI" w:hAnsi="Meiryo UI"/>
                <w:sz w:val="18"/>
              </w:rPr>
              <w:t>ベース塗料</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+20〜40%</w:t>
            </w:r>
          </w:p>
        </w:tc>
      </w:tr>
      <w:tr>
        <w:tc>
          <w:tcPr>
            <w:tcW w:type="dxa" w:w="2351"/>
          </w:tcPr>
          <w:p>
            <w:r>
              <w:rPr>
                <w:rFonts w:ascii="Meiryo UI" w:hAnsi="Meiryo UI"/>
                <w:sz w:val="18"/>
              </w:rPr>
              <w:t>エポキシ樹脂</w:t>
            </w:r>
          </w:p>
        </w:tc>
        <w:tc>
          <w:tcPr>
            <w:tcW w:type="dxa" w:w="2351"/>
          </w:tcPr>
          <w:p>
            <w:r>
              <w:rPr>
                <w:rFonts w:ascii="Meiryo UI" w:hAnsi="Meiryo UI"/>
                <w:sz w:val="18"/>
              </w:rPr>
              <w:t>下塗り・防食</w:t>
            </w:r>
          </w:p>
        </w:tc>
        <w:tc>
          <w:tcPr>
            <w:tcW w:type="dxa" w:w="2351"/>
          </w:tcPr>
          <w:p>
            <w:r>
              <w:rPr>
                <w:rFonts w:ascii="Meiryo UI" w:hAnsi="Meiryo UI"/>
                <w:sz w:val="18"/>
              </w:rPr>
              <w:t>低〜中</w:t>
            </w:r>
          </w:p>
        </w:tc>
        <w:tc>
          <w:tcPr>
            <w:tcW w:type="dxa" w:w="2351"/>
          </w:tcPr>
          <w:p>
            <w:r>
              <w:rPr>
                <w:rFonts w:ascii="Meiryo UI" w:hAnsi="Meiryo UI"/>
                <w:sz w:val="18"/>
              </w:rPr>
              <w:t>+15〜30%</w:t>
            </w:r>
          </w:p>
        </w:tc>
      </w:tr>
      <w:tr>
        <w:tc>
          <w:tcPr>
            <w:tcW w:type="dxa" w:w="2351"/>
            <w:shd w:val="clear" w:color="auto" w:fill="DDEBF7"/>
          </w:tcPr>
          <w:p>
            <w:r>
              <w:rPr>
                <w:rFonts w:ascii="Meiryo UI" w:hAnsi="Meiryo UI"/>
                <w:sz w:val="18"/>
              </w:rPr>
              <w:t>TiO2（二酸化チタン）</w:t>
            </w:r>
          </w:p>
        </w:tc>
        <w:tc>
          <w:tcPr>
            <w:tcW w:type="dxa" w:w="2351"/>
            <w:shd w:val="clear" w:color="auto" w:fill="DDEBF7"/>
          </w:tcPr>
          <w:p>
            <w:r>
              <w:rPr>
                <w:rFonts w:ascii="Meiryo UI" w:hAnsi="Meiryo UI"/>
                <w:sz w:val="18"/>
              </w:rPr>
              <w:t>白色顔料</w:t>
            </w:r>
          </w:p>
        </w:tc>
        <w:tc>
          <w:tcPr>
            <w:tcW w:type="dxa" w:w="2351"/>
            <w:shd w:val="clear" w:color="auto" w:fill="DDEBF7"/>
          </w:tcPr>
          <w:p>
            <w:r>
              <w:rPr>
                <w:rFonts w:ascii="Meiryo UI" w:hAnsi="Meiryo UI"/>
                <w:sz w:val="18"/>
              </w:rPr>
              <w:t>低</w:t>
            </w:r>
          </w:p>
        </w:tc>
        <w:tc>
          <w:tcPr>
            <w:tcW w:type="dxa" w:w="2351"/>
            <w:shd w:val="clear" w:color="auto" w:fill="DDEBF7"/>
          </w:tcPr>
          <w:p>
            <w:r>
              <w:rPr>
                <w:rFonts w:ascii="Meiryo UI" w:hAnsi="Meiryo UI"/>
                <w:sz w:val="18"/>
              </w:rPr>
              <w:t>+5〜15%</w:t>
            </w:r>
          </w:p>
        </w:tc>
      </w:tr>
    </w:tbl>
    <w:p/>
    <w:p>
      <w:r>
        <w:rPr>
          <w:rFonts w:ascii="Meiryo UI" w:hAnsi="Meiryo UI"/>
          <w:sz w:val="20"/>
        </w:rPr>
        <w:t>年間追加コスト推定：¥90億〜¥240億（OP利益比▲1〜3%）</w:t>
      </w:r>
    </w:p>
    <w:p>
      <w:r>
        <w:rPr>
          <w:rFonts w:ascii="Meiryo UI" w:hAnsi="Meiryo UI"/>
          <w:sz w:val="20"/>
        </w:rPr>
        <w:t>評価：軽微〜中程度ネガティブ（6ヶ月超封鎖継続の場合は重大リスクへ昇格）</w:t>
      </w:r>
    </w:p>
    <w:p/>
    <w:p>
      <w:r>
        <w:t>──────────────────────────────────────────────────</w:t>
      </w:r>
    </w:p>
    <w:p/>
    <w:p>
      <w:pPr>
        <w:pStyle w:val="Heading2"/>
      </w:pPr>
      <w:r>
        <w:rPr>
          <w:rFonts w:ascii="Meiryo UI" w:hAnsi="Meiryo UI"/>
          <w:color w:val="2E74B5"/>
        </w:rPr>
        <w:t>8. JPMorganが指摘するアップサイド・ダウンサイドリスク</w:t>
      </w:r>
    </w:p>
    <w:p/>
    <w:p>
      <w:r>
        <w:rPr>
          <w:rFonts w:ascii="Meiryo UI" w:hAnsi="Meiryo UI"/>
          <w:sz w:val="20"/>
        </w:rPr>
        <w:t>アップサイドリスク（JPMorgan公式）:</w:t>
      </w:r>
    </w:p>
    <w:p>
      <w:pPr>
        <w:pStyle w:val="ListBullet"/>
      </w:pPr>
      <w:r>
        <w:rPr>
          <w:rFonts w:ascii="Meiryo UI" w:hAnsi="Meiryo UI"/>
          <w:sz w:val="20"/>
        </w:rPr>
        <w:t>国内トラック市場の想定以上の上振れ</w:t>
      </w:r>
    </w:p>
    <w:p>
      <w:pPr>
        <w:pStyle w:val="ListBullet"/>
      </w:pPr>
      <w:r>
        <w:rPr>
          <w:rFonts w:ascii="Meiryo UI" w:hAnsi="Meiryo UI"/>
          <w:sz w:val="20"/>
        </w:rPr>
        <w:t>インドネシア等ASEANの商用車市場成長加速</w:t>
      </w:r>
    </w:p>
    <w:p>
      <w:pPr>
        <w:pStyle w:val="ListBullet"/>
      </w:pPr>
      <w:r>
        <w:rPr>
          <w:rFonts w:ascii="Meiryo UI" w:hAnsi="Meiryo UI"/>
          <w:sz w:val="20"/>
        </w:rPr>
        <w:t>160円/ドルを超える円安の進行</w:t>
      </w:r>
    </w:p>
    <w:p/>
    <w:p>
      <w:r>
        <w:rPr>
          <w:rFonts w:ascii="Meiryo UI" w:hAnsi="Meiryo UI"/>
          <w:sz w:val="20"/>
        </w:rPr>
        <w:t>ダウンサイドリスク（JPMorgan公式）:</w:t>
      </w:r>
    </w:p>
    <w:p>
      <w:pPr>
        <w:pStyle w:val="ListBullet"/>
      </w:pPr>
      <w:r>
        <w:rPr>
          <w:rFonts w:ascii="Meiryo UI" w:hAnsi="Meiryo UI"/>
          <w:sz w:val="20"/>
        </w:rPr>
        <w:t>国内トラック市場の想定以上の下振れ</w:t>
      </w:r>
    </w:p>
    <w:p>
      <w:pPr>
        <w:pStyle w:val="ListBullet"/>
      </w:pPr>
      <w:r>
        <w:rPr>
          <w:rFonts w:ascii="Meiryo UI" w:hAnsi="Meiryo UI"/>
          <w:sz w:val="20"/>
        </w:rPr>
        <w:t>ASEAN地域の商用車市場の回復遅れ</w:t>
      </w:r>
    </w:p>
    <w:p>
      <w:pPr>
        <w:pStyle w:val="ListBullet"/>
      </w:pPr>
      <w:r>
        <w:rPr>
          <w:rFonts w:ascii="Meiryo UI" w:hAnsi="Meiryo UI"/>
          <w:sz w:val="20"/>
        </w:rPr>
        <w:t>130円/ドルを超える円高の進行</w:t>
      </w:r>
    </w:p>
    <w:p/>
    <w:p>
      <w:r>
        <w:t>──────────────────────────────────────────────────</w:t>
      </w:r>
    </w:p>
    <w:p/>
    <w:p>
      <w:pPr>
        <w:pStyle w:val="Heading2"/>
      </w:pPr>
      <w:r>
        <w:rPr>
          <w:rFonts w:ascii="Meiryo UI" w:hAnsi="Meiryo UI"/>
          <w:color w:val="2E74B5"/>
        </w:rPr>
        <w:t>9. ガイダンス考察・Q−1定性変化（改訂）</w:t>
      </w:r>
    </w:p>
    <w:p/>
    <w:p>
      <w:r>
        <w:rPr>
          <w:rFonts w:ascii="Meiryo UI" w:hAnsi="Meiryo UI"/>
          <w:sz w:val="20"/>
        </w:rPr>
        <w:t>27/3期の最注目ポイント（一過性と正規化の分離）</w:t>
      </w:r>
    </w:p>
    <w:p/>
    <w:p>
      <w:r>
        <w:rPr>
          <w:rFonts w:ascii="Meiryo UI" w:hAnsi="Meiryo UI"/>
          <w:sz w:val="20"/>
        </w:rPr>
        <w:t>27/3期の営業利益¥292.5Bのうち約¥179B（61%）が一過性（羽村工場売却等）。投資家が評価すべきは28/3期の正規化営業利益¥130.4Bと配当継続性。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確認ポイント</w:t>
            </w:r>
          </w:p>
        </w:tc>
        <w:tc>
          <w:tcPr>
            <w:tcW w:type="dxa" w:w="3135"/>
            <w:shd w:val="clear" w:color="auto" w:fill="2E74B5"/>
          </w:tcPr>
          <w:p>
            <w:r>
              <w:rPr>
                <w:rFonts w:ascii="Meiryo UI" w:hAnsi="Meiryo UI"/>
                <w:b/>
                <w:color w:val="FFFFFF"/>
                <w:sz w:val="18"/>
              </w:rPr>
              <w:t>現状</w:t>
            </w:r>
          </w:p>
        </w:tc>
        <w:tc>
          <w:tcPr>
            <w:tcW w:type="dxa" w:w="3135"/>
            <w:shd w:val="clear" w:color="auto" w:fill="2E74B5"/>
          </w:tcPr>
          <w:p>
            <w:r>
              <w:rPr>
                <w:rFonts w:ascii="Meiryo UI" w:hAnsi="Meiryo UI"/>
                <w:b/>
                <w:color w:val="FFFFFF"/>
                <w:sz w:val="18"/>
              </w:rPr>
              <w:t>注目時期</w:t>
            </w:r>
          </w:p>
        </w:tc>
      </w:tr>
      <w:tr>
        <w:tc>
          <w:tcPr>
            <w:tcW w:type="dxa" w:w="3135"/>
          </w:tcPr>
          <w:p>
            <w:r>
              <w:rPr>
                <w:rFonts w:ascii="Meiryo UI" w:hAnsi="Meiryo UI"/>
                <w:sz w:val="18"/>
              </w:rPr>
              <w:t>トヨタ・ダイムラー持分売却スケジュール</w:t>
            </w:r>
          </w:p>
        </w:tc>
        <w:tc>
          <w:tcPr>
            <w:tcW w:type="dxa" w:w="3135"/>
          </w:tcPr>
          <w:p>
            <w:r>
              <w:rPr>
                <w:rFonts w:ascii="Meiryo UI" w:hAnsi="Meiryo UI"/>
                <w:sz w:val="18"/>
              </w:rPr>
              <w:t>未公表</w:t>
            </w:r>
          </w:p>
        </w:tc>
        <w:tc>
          <w:tcPr>
            <w:tcW w:type="dxa" w:w="3135"/>
          </w:tcPr>
          <w:p>
            <w:r>
              <w:rPr>
                <w:rFonts w:ascii="Meiryo UI" w:hAnsi="Meiryo UI"/>
                <w:sz w:val="18"/>
              </w:rPr>
              <w:t>最重要・早期開示待ち</w:t>
            </w:r>
          </w:p>
        </w:tc>
      </w:tr>
      <w:tr>
        <w:tc>
          <w:tcPr>
            <w:tcW w:type="dxa" w:w="3135"/>
            <w:shd w:val="clear" w:color="auto" w:fill="DDEBF7"/>
          </w:tcPr>
          <w:p>
            <w:r>
              <w:rPr>
                <w:rFonts w:ascii="Meiryo UI" w:hAnsi="Meiryo UI"/>
                <w:sz w:val="18"/>
              </w:rPr>
              <w:t>27/3期初回ガイダンス</w:t>
            </w:r>
          </w:p>
        </w:tc>
        <w:tc>
          <w:tcPr>
            <w:tcW w:type="dxa" w:w="3135"/>
            <w:shd w:val="clear" w:color="auto" w:fill="DDEBF7"/>
          </w:tcPr>
          <w:p>
            <w:r>
              <w:rPr>
                <w:rFonts w:ascii="Meiryo UI" w:hAnsi="Meiryo UI"/>
                <w:sz w:val="18"/>
              </w:rPr>
              <w:t>未発表</w:t>
            </w:r>
          </w:p>
        </w:tc>
        <w:tc>
          <w:tcPr>
            <w:tcW w:type="dxa" w:w="3135"/>
            <w:shd w:val="clear" w:color="auto" w:fill="DDEBF7"/>
          </w:tcPr>
          <w:p>
            <w:r>
              <w:rPr>
                <w:rFonts w:ascii="Meiryo UI" w:hAnsi="Meiryo UI"/>
                <w:sz w:val="18"/>
              </w:rPr>
              <w:t>5〜6月</w:t>
            </w:r>
          </w:p>
        </w:tc>
      </w:tr>
      <w:tr>
        <w:tc>
          <w:tcPr>
            <w:tcW w:type="dxa" w:w="3135"/>
          </w:tcPr>
          <w:p>
            <w:r>
              <w:rPr>
                <w:rFonts w:ascii="Meiryo UI" w:hAnsi="Meiryo UI"/>
                <w:sz w:val="18"/>
              </w:rPr>
              <w:t>統合シナジー進捗（27/3期¥50億）</w:t>
            </w:r>
          </w:p>
        </w:tc>
        <w:tc>
          <w:tcPr>
            <w:tcW w:type="dxa" w:w="3135"/>
          </w:tcPr>
          <w:p>
            <w:r>
              <w:rPr>
                <w:rFonts w:ascii="Meiryo UI" w:hAnsi="Meiryo UI"/>
                <w:sz w:val="18"/>
              </w:rPr>
              <w:t>JPMorgan織込み済</w:t>
            </w:r>
          </w:p>
        </w:tc>
        <w:tc>
          <w:tcPr>
            <w:tcW w:type="dxa" w:w="3135"/>
          </w:tcPr>
          <w:p>
            <w:r>
              <w:rPr>
                <w:rFonts w:ascii="Meiryo UI" w:hAnsi="Meiryo UI"/>
                <w:sz w:val="18"/>
              </w:rPr>
              <w:t>四半期決算ごと確認</w:t>
            </w:r>
          </w:p>
        </w:tc>
      </w:tr>
      <w:tr>
        <w:tc>
          <w:tcPr>
            <w:tcW w:type="dxa" w:w="3135"/>
            <w:shd w:val="clear" w:color="auto" w:fill="DDEBF7"/>
          </w:tcPr>
          <w:p>
            <w:r>
              <w:rPr>
                <w:rFonts w:ascii="Meiryo UI" w:hAnsi="Meiryo UI"/>
                <w:sz w:val="18"/>
              </w:rPr>
              <w:t>米アーカンソー部品事業撤退コスト</w:t>
            </w:r>
          </w:p>
        </w:tc>
        <w:tc>
          <w:tcPr>
            <w:tcW w:type="dxa" w:w="3135"/>
            <w:shd w:val="clear" w:color="auto" w:fill="DDEBF7"/>
          </w:tcPr>
          <w:p>
            <w:r>
              <w:rPr>
                <w:rFonts w:ascii="Meiryo UI" w:hAnsi="Meiryo UI"/>
                <w:sz w:val="18"/>
              </w:rPr>
              <w:t>27年末撤退決定済</w:t>
            </w:r>
          </w:p>
        </w:tc>
        <w:tc>
          <w:tcPr>
            <w:tcW w:type="dxa" w:w="3135"/>
            <w:shd w:val="clear" w:color="auto" w:fill="DDEBF7"/>
          </w:tcPr>
          <w:p>
            <w:r>
              <w:rPr>
                <w:rFonts w:ascii="Meiryo UI" w:hAnsi="Meiryo UI"/>
                <w:sz w:val="18"/>
              </w:rPr>
              <w:t>29/3期以降プラス転換</w:t>
            </w:r>
          </w:p>
        </w:tc>
      </w:tr>
      <w:tr>
        <w:tc>
          <w:tcPr>
            <w:tcW w:type="dxa" w:w="3135"/>
          </w:tcPr>
          <w:p>
            <w:r>
              <w:rPr>
                <w:rFonts w:ascii="Meiryo UI" w:hAnsi="Meiryo UI"/>
                <w:sz w:val="18"/>
              </w:rPr>
              <w:t>Foxconn EVバス合弁設立</w:t>
            </w:r>
          </w:p>
        </w:tc>
        <w:tc>
          <w:tcPr>
            <w:tcW w:type="dxa" w:w="3135"/>
          </w:tcPr>
          <w:p>
            <w:r>
              <w:rPr>
                <w:rFonts w:ascii="Meiryo UI" w:hAnsi="Meiryo UI"/>
                <w:sz w:val="18"/>
              </w:rPr>
              <w:t>2026年後半予定</w:t>
            </w:r>
          </w:p>
        </w:tc>
        <w:tc>
          <w:tcPr>
            <w:tcW w:type="dxa" w:w="3135"/>
          </w:tcPr>
          <w:p>
            <w:r>
              <w:rPr>
                <w:rFonts w:ascii="Meiryo UI" w:hAnsi="Meiryo UI"/>
                <w:sz w:val="18"/>
              </w:rPr>
              <w:t>富山工場移管と連動</w:t>
            </w:r>
          </w:p>
        </w:tc>
      </w:tr>
    </w:tbl>
    <w:p/>
    <w:p>
      <w:r>
        <w:t>──────────────────────────────────────────────────</w:t>
      </w:r>
    </w:p>
    <w:p/>
    <w:p>
      <w:pPr>
        <w:pStyle w:val="Heading2"/>
      </w:pPr>
      <w:r>
        <w:rPr>
          <w:rFonts w:ascii="Meiryo UI" w:hAnsi="Meiryo UI"/>
          <w:color w:val="2E74B5"/>
        </w:rPr>
        <w:t>10. IR質問状（竹村トレードカンパニー名義）</w:t>
      </w:r>
    </w:p>
    <w:p/>
    <w:p>
      <w:r>
        <w:rPr>
          <w:rFonts w:ascii="Meiryo UI" w:hAnsi="Meiryo UI"/>
          <w:sz w:val="20"/>
        </w:rPr>
        <w:t>送付先： ARCHION Corporation IR部門　https://archion.co.jp/en/ （IRフォーム）</w:t>
      </w:r>
    </w:p>
    <w:p/>
    <w:p>
      <w:r>
        <w:t>──────────────────────────────────────────────────</w:t>
      </w:r>
    </w:p>
    <w:p/>
    <w:p>
      <w:r>
        <w:rPr>
          <w:rFonts w:ascii="Meiryo UI" w:hAnsi="Meiryo UI"/>
          <w:sz w:val="20"/>
        </w:rPr>
        <w:t>拝啓</w:t>
      </w:r>
    </w:p>
    <w:p/>
    <w:p>
      <w:r>
        <w:rPr>
          <w:rFonts w:ascii="Meiryo UI" w:hAnsi="Meiryo UI"/>
          <w:sz w:val="20"/>
        </w:rPr>
        <w:t>竹村トレードカンパニーの竹村と申します。投資検討に際し、下記5点についてご確認をお願いしたく存じます。</w:t>
      </w:r>
    </w:p>
    <w:p/>
    <w:p>
      <w:r>
        <w:rPr>
          <w:rFonts w:ascii="Meiryo UI" w:hAnsi="Meiryo UI"/>
          <w:sz w:val="20"/>
        </w:rPr>
        <w:t>Q1. トヨタ・ダイムラー持分売却スケジュールについて</w:t>
      </w:r>
    </w:p>
    <w:p/>
    <w:p>
      <w:r>
        <w:rPr>
          <w:rFonts w:ascii="Meiryo UI" w:hAnsi="Meiryo UI"/>
          <w:sz w:val="20"/>
        </w:rPr>
        <w:t>現在トヨタ・ダイムラー各社が41.4%を保有されていますが、東証プライム上場維持に必要な浮動株比率を確保するため、各社25%まで持分を引き下げる方針と理解しております。売却のスケジュール（開始時期・期間・方法）について、現時点でお示しいただける情報があればご教示ください。</w:t>
      </w:r>
    </w:p>
    <w:p/>
    <w:p>
      <w:r>
        <w:rPr>
          <w:rFonts w:ascii="Meiryo UI" w:hAnsi="Meiryo UI"/>
          <w:sz w:val="20"/>
        </w:rPr>
        <w:t>Q2. 正規化収益力の開示について</w:t>
      </w:r>
    </w:p>
    <w:p/>
    <w:p>
      <w:r>
        <w:rPr>
          <w:rFonts w:ascii="Meiryo UI" w:hAnsi="Meiryo UI"/>
          <w:sz w:val="20"/>
        </w:rPr>
        <w:t>27/3期は羽村工場売却（¥1,500億）等の一過性収益が大きく混入する見通しです。投資家として長期の事業価値を判断するため、一過性収益を除いた正規化営業利益・正規化EPS等の開示をご検討いただけますか。</w:t>
      </w:r>
    </w:p>
    <w:p/>
    <w:p>
      <w:r>
        <w:rPr>
          <w:rFonts w:ascii="Meiryo UI" w:hAnsi="Meiryo UI"/>
          <w:sz w:val="20"/>
        </w:rPr>
        <w:t>Q3. 統合シナジーの定量目標について</w:t>
      </w:r>
    </w:p>
    <w:p/>
    <w:p>
      <w:r>
        <w:rPr>
          <w:rFonts w:ascii="Meiryo UI" w:hAnsi="Meiryo UI"/>
          <w:sz w:val="20"/>
        </w:rPr>
        <w:t>27/3期の「部品共同購買・物流共通化」シナジー目標額と、2028年の工場集約完了後のシナジー総額（年間）をご開示いただけますか。</w:t>
      </w:r>
    </w:p>
    <w:p/>
    <w:p>
      <w:r>
        <w:rPr>
          <w:rFonts w:ascii="Meiryo UI" w:hAnsi="Meiryo UI"/>
          <w:sz w:val="20"/>
        </w:rPr>
        <w:t>Q4. 米アーカンソー部品事業撤退のコスト影響について</w:t>
      </w:r>
    </w:p>
    <w:p/>
    <w:p>
      <w:r>
        <w:rPr>
          <w:rFonts w:ascii="Meiryo UI" w:hAnsi="Meiryo UI"/>
          <w:sz w:val="20"/>
        </w:rPr>
        <w:t>27年末に決定済みの米アーカンソーでのトヨタ向け部品事業撤退について、撤退費用（設備除却・人員関連コスト等）の規模と、撤退後の29/3期以降の収益改善額をご説明いただけますか。</w:t>
      </w:r>
    </w:p>
    <w:p/>
    <w:p>
      <w:r>
        <w:rPr>
          <w:rFonts w:ascii="Meiryo UI" w:hAnsi="Meiryo UI"/>
          <w:sz w:val="20"/>
        </w:rPr>
        <w:t>Q5. 配当政策の継続性について</w:t>
      </w:r>
    </w:p>
    <w:p/>
    <w:p>
      <w:r>
        <w:rPr>
          <w:rFonts w:ascii="Meiryo UI" w:hAnsi="Meiryo UI"/>
          <w:sz w:val="20"/>
        </w:rPr>
        <w:t>27/3期DPS ¥20・28/3期DPS ¥25の開始を市場は期待していますが、今後の配当性向の目標レンジと、持続可能な正規化利益水準（¥94B前後）のもとでの配当方針をお聞かせいただけますか。</w:t>
      </w:r>
    </w:p>
    <w:p/>
    <w:p>
      <w:r>
        <w:rPr>
          <w:rFonts w:ascii="Meiryo UI" w:hAnsi="Meiryo UI"/>
          <w:sz w:val="20"/>
        </w:rPr>
        <w:t>以上、ご回答のほど何卒よろしくお願い申し上げます。</w:t>
      </w:r>
    </w:p>
    <w:p/>
    <w:p>
      <w:r>
        <w:rPr>
          <w:rFonts w:ascii="Meiryo UI" w:hAnsi="Meiryo UI"/>
          <w:sz w:val="20"/>
        </w:rPr>
        <w:t>竹村トレードカンパニー　竹村</w:t>
      </w:r>
    </w:p>
    <w:p/>
    <w:p>
      <w:r>
        <w:t>──────────────────────────────────────────────────</w:t>
      </w:r>
    </w:p>
    <w:p/>
    <w:p>
      <w:pPr>
        <w:pStyle w:val="Heading2"/>
      </w:pPr>
      <w:r>
        <w:rPr>
          <w:rFonts w:ascii="Meiryo UI" w:hAnsi="Meiryo UI"/>
          <w:color w:val="2E74B5"/>
        </w:rPr>
        <w:t>まとめ（改訂）</w:t>
      </w:r>
    </w:p>
    <w:p/>
    <w:p>
      <w:r>
        <w:rPr>
          <w:rFonts w:ascii="Meiryo UI" w:hAnsi="Meiryo UI"/>
          <w:sz w:val="20"/>
        </w:rPr>
        <w:t>543A ARCHION Corporation ／ 浅井スコア +29 ／ WATCH弱気（▲19pt改訂）</w:t>
      </w:r>
    </w:p>
    <w:p/>
    <w:p>
      <w:r>
        <w:rPr>
          <w:rFonts w:ascii="Meiryo UI" w:hAnsi="Meiryo UI"/>
          <w:sz w:val="20"/>
        </w:rPr>
        <w:t>JPMorgan岸本ANレポートにより、株価急落の真因が判明：トヨタ・ダイムラー合計32.8%（約¥3,070億）の持分売却需給圧力。現在の浮動株494M株に対して903M株の売り玉が控えており、売却スケジュール公表まで上値は構造的に重い。Bloomberg P/E 3.64x「超割安」の解釈は誤りで、正規化P/Eは10倍と同業並み。ただし27/3期配当利回り5.2%・28/3期6.4%という高配当開始は下値をサポート。エントリーライン¥300前後（正規化EPS×9倍）での待機を推奨。持分売却完了後、高配当株として再評価期待。</w:t>
      </w:r>
    </w:p>
    <w:p/>
    <w:p>
      <w:r>
        <w:t>──────────────────────────────────────────────────</w:t>
      </w:r>
    </w:p>
    <w:p/>
    <w:p>
      <w:r>
        <w:rPr>
          <w:rFonts w:ascii="Meiryo UI" w:hAnsi="Meiryo UI"/>
          <w:sz w:val="20"/>
        </w:rPr>
        <w:t>本レポートはJPMorgan 岸本章AN 2026年4月16日付レポートを参考資料として使用。竹村トレードカンパニー 深井作成。投資判断はご自身の責任において行ってください。</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