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5440 共英製鋼 — BUY Deep Research</w:t>
      </w:r>
    </w:p>
    <w:p/>
    <w:p/>
    <w:p>
      <w:pPr>
        <w:jc w:val="center"/>
      </w:pPr>
      <w:r>
        <w:rPr>
          <w:rFonts w:ascii="Meiryo UI" w:hAnsi="Meiryo UI"/>
          <w:sz w:val="24"/>
        </w:rPr>
        <w:t>アナリスト：深井</w:t>
      </w:r>
    </w:p>
    <w:p>
      <w:pPr>
        <w:jc w:val="center"/>
      </w:pPr>
      <w:r>
        <w:rPr>
          <w:rFonts w:ascii="Meiryo UI" w:hAnsi="Meiryo UI"/>
          <w:sz w:val="24"/>
        </w:rPr>
        <w:t>分析日：2026年04月17日</w:t>
      </w:r>
    </w:p>
    <w:p>
      <w:r>
        <w:br w:type="page"/>
      </w:r>
    </w:p>
    <w:p>
      <w:pPr>
        <w:pStyle w:val="Heading1"/>
      </w:pPr>
      <w:r>
        <w:rPr>
          <w:rFonts w:ascii="Meiryo UI" w:hAnsi="Meiryo UI"/>
          <w:color w:val="1F3864"/>
        </w:rPr>
        <w:t>5440 共英製鋼 — BUY Deep Research</w:t>
      </w:r>
    </w:p>
    <w:p>
      <w:r>
        <w:rPr>
          <w:rFonts w:ascii="Meiryo UI" w:hAnsi="Meiryo UI"/>
          <w:sz w:val="20"/>
        </w:rPr>
        <w:t>作成: 深井 / 2026-04-17 | 優先度1</w:t>
      </w:r>
    </w:p>
    <w:p/>
    <w:p>
      <w:r>
        <w:t>──────────────────────────────────────────────────</w:t>
      </w:r>
    </w:p>
    <w:p/>
    <w:p>
      <w:pPr>
        <w:pStyle w:val="Heading2"/>
      </w:pPr>
      <w:r>
        <w:rPr>
          <w:rFonts w:ascii="Meiryo UI" w:hAnsi="Meiryo UI"/>
          <w:color w:val="2E74B5"/>
        </w:rPr>
        <w:t>⚡ 10秒 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TP</w:t>
            </w:r>
          </w:p>
        </w:tc>
        <w:tc>
          <w:tcPr>
            <w:tcW w:type="dxa" w:w="4703"/>
            <w:shd w:val="clear" w:color="auto" w:fill="DDEBF7"/>
          </w:tcPr>
          <w:p>
            <w:r>
              <w:rPr>
                <w:rFonts w:ascii="Meiryo UI" w:hAnsi="Meiryo UI"/>
                <w:sz w:val="18"/>
              </w:rPr>
              <w:t>¥3,500（現値比 +53.0%）</w:t>
            </w:r>
          </w:p>
        </w:tc>
      </w:tr>
      <w:tr>
        <w:tc>
          <w:tcPr>
            <w:tcW w:type="dxa" w:w="4703"/>
          </w:tcPr>
          <w:p>
            <w:r>
              <w:rPr>
                <w:rFonts w:ascii="Meiryo UI" w:hAnsi="Meiryo UI"/>
                <w:sz w:val="18"/>
              </w:rPr>
              <w:t>安全域</w:t>
            </w:r>
          </w:p>
        </w:tc>
        <w:tc>
          <w:tcPr>
            <w:tcW w:type="dxa" w:w="4703"/>
          </w:tcPr>
          <w:p>
            <w:r>
              <w:rPr>
                <w:rFonts w:ascii="Meiryo UI" w:hAnsi="Meiryo UI"/>
                <w:sz w:val="18"/>
              </w:rPr>
              <w:t>¥2,000-2,100（BPS¥4,721×0.44x = 下値メド）</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日鉄 28.1%保有 — グループ再編パターン（山陽・黒崎播磨TOB）上最有力次候補</w:t>
            </w:r>
          </w:p>
        </w:tc>
      </w:tr>
      <w:tr>
        <w:tc>
          <w:tcPr>
            <w:tcW w:type="dxa" w:w="4703"/>
          </w:tcPr>
          <w:p>
            <w:r>
              <w:rPr>
                <w:rFonts w:ascii="Meiryo UI" w:hAnsi="Meiryo UI"/>
                <w:sz w:val="18"/>
              </w:rPr>
              <w:t>弾丸②</w:t>
            </w:r>
          </w:p>
        </w:tc>
        <w:tc>
          <w:tcPr>
            <w:tcW w:type="dxa" w:w="4703"/>
          </w:tcPr>
          <w:p>
            <w:r>
              <w:rPr>
                <w:rFonts w:ascii="Meiryo UI" w:hAnsi="Meiryo UI"/>
                <w:sz w:val="18"/>
              </w:rPr>
              <w:t>ホルムズ全面再開（4/17確定）→ 電炉コスト最大+346億円改善・現利益予想160億円の2.2倍</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3極体制（日本+ベトナム+北米）× 中計経常250億円（FY27）達成なら EPS¥402・PER10xでTP¥4,000</w:t>
            </w:r>
          </w:p>
        </w:tc>
      </w:tr>
      <w:tr>
        <w:tc>
          <w:tcPr>
            <w:tcW w:type="dxa" w:w="4703"/>
          </w:tcPr>
          <w:p>
            <w:r>
              <w:rPr>
                <w:rFonts w:ascii="Meiryo UI" w:hAnsi="Meiryo UI"/>
                <w:sz w:val="18"/>
              </w:rPr>
              <w:t>⚠️ 注意</w:t>
            </w:r>
          </w:p>
        </w:tc>
        <w:tc>
          <w:tcPr>
            <w:tcW w:type="dxa" w:w="4703"/>
          </w:tcPr>
          <w:p>
            <w:r>
              <w:rPr>
                <w:rFonts w:ascii="Meiryo UI" w:hAnsi="Meiryo UI"/>
                <w:sz w:val="18"/>
              </w:rPr>
              <w:t>FY26/3 4Q implied 33.4億円 vs 前期58.6億円（-43% YoY）。前期Q4が異常高だった点に留意</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¥2,200-2,400で打診買い。ホルムズ再開確定 × 日鉄TOB報道で本玉。TP¥3,500</w:t>
            </w:r>
          </w:p>
        </w:tc>
      </w:tr>
    </w:tbl>
    <w:p/>
    <w:p>
      <w:r>
        <w:t>──────────────────────────────────────────────────</w:t>
      </w:r>
    </w:p>
    <w:p/>
    <w:p>
      <w:pPr>
        <w:pStyle w:val="Heading2"/>
      </w:pPr>
      <w:r>
        <w:rPr>
          <w:rFonts w:ascii="Meiryo UI" w:hAnsi="Meiryo UI"/>
          <w:color w:val="2E74B5"/>
        </w:rPr>
        <w:t>📋 IR Contact（自律偵察）</w:t>
      </w:r>
    </w:p>
    <w:p/>
    <w:p>
      <w:pPr>
        <w:pStyle w:val="ListBullet"/>
      </w:pPr>
      <w:r>
        <w:rPr>
          <w:rFonts w:ascii="Meiryo UI" w:hAnsi="Meiryo UI"/>
          <w:sz w:val="20"/>
        </w:rPr>
        <w:t>IRページ: https://www.kyoeisteel.co.jp/ja/ir/</w:t>
      </w:r>
    </w:p>
    <w:p>
      <w:pPr>
        <w:pStyle w:val="ListBullet"/>
      </w:pPr>
      <w:r>
        <w:rPr>
          <w:rFonts w:ascii="Meiryo UI" w:hAnsi="Meiryo UI"/>
          <w:sz w:val="20"/>
        </w:rPr>
        <w:t>本社: 大阪市北区堂島浜1-4-16</w:t>
      </w:r>
    </w:p>
    <w:p>
      <w:pPr>
        <w:pStyle w:val="ListBullet"/>
      </w:pPr>
      <w:r>
        <w:rPr>
          <w:rFonts w:ascii="Meiryo UI" w:hAnsi="Meiryo UI"/>
          <w:sz w:val="20"/>
        </w:rPr>
        <w:t>市場: 東証プライム（コード: 5440）</w:t>
      </w:r>
    </w:p>
    <w:p>
      <w:pPr>
        <w:pStyle w:val="ListBullet"/>
      </w:pPr>
      <w:r>
        <w:rPr>
          <w:rFonts w:ascii="Meiryo UI" w:hAnsi="Meiryo UI"/>
          <w:sz w:val="20"/>
        </w:rPr>
        <w:t>決算期: 3月末（本決算発表: 2026年4月末〜5月頃予定）</w:t>
      </w:r>
    </w:p>
    <w:p>
      <w:pPr>
        <w:pStyle w:val="ListBullet"/>
      </w:pPr>
      <w:r>
        <w:rPr>
          <w:rFonts w:ascii="Meiryo UI" w:hAnsi="Meiryo UI"/>
          <w:sz w:val="20"/>
        </w:rPr>
        <w:t>筆頭株主: 日本製鉄 28.1%（間接保有含む・持分法適用関連会社）</w:t>
      </w:r>
    </w:p>
    <w:p/>
    <w:p>
      <w:r>
        <w:t>──────────────────────────────────────────────────</w:t>
      </w:r>
    </w:p>
    <w:p/>
    <w:p>
      <w:pPr>
        <w:pStyle w:val="Heading2"/>
      </w:pPr>
      <w:r>
        <w:rPr>
          <w:rFonts w:ascii="Meiryo UI" w:hAnsi="Meiryo UI"/>
          <w:color w:val="2E74B5"/>
        </w:rPr>
        <w:t>1. 企業概要</w:t>
      </w:r>
    </w:p>
    <w:p/>
    <w:p>
      <w:r>
        <w:rPr>
          <w:rFonts w:ascii="Meiryo UI" w:hAnsi="Meiryo UI"/>
          <w:sz w:val="20"/>
        </w:rPr>
        <w:t>共英製鋼は1945年設立の電炉専業鉄鋼メーカー。国内鉄筋棒鋼（異形棒鋼）でトップシェアを誇り、日本・ベトナム・北米の「世界3極体制」を構築。日本製鉄の持分法適用関連会社。</w:t>
      </w:r>
    </w:p>
    <w:p/>
    <w:p>
      <w:r>
        <w:rPr>
          <w:rFonts w:ascii="Meiryo UI" w:hAnsi="Meiryo UI"/>
          <w:sz w:val="20"/>
        </w:rPr>
        <w:t xml:space="preserve">主要製品: 異形棒鋼（鉄筋）・線材・形鋼（"タフコン"ブランド）  </w:t>
      </w:r>
    </w:p>
    <w:p>
      <w:r>
        <w:rPr>
          <w:rFonts w:ascii="Meiryo UI" w:hAnsi="Meiryo UI"/>
          <w:sz w:val="20"/>
        </w:rPr>
        <w:t xml:space="preserve">国内工場: 複数拠点（大阪・茨城・静岡・岡山等）  </w:t>
      </w:r>
    </w:p>
    <w:p>
      <w:r>
        <w:rPr>
          <w:rFonts w:ascii="Meiryo UI" w:hAnsi="Meiryo UI"/>
          <w:sz w:val="20"/>
        </w:rPr>
        <w:t xml:space="preserve">海外: ビナ・キョウエイ（ベトナム南部）・キョウエイ・スチール・ベトナム（ハイフォン）・北米  </w:t>
      </w:r>
    </w:p>
    <w:p>
      <w:r>
        <w:rPr>
          <w:rFonts w:ascii="Meiryo UI" w:hAnsi="Meiryo UI"/>
          <w:sz w:val="20"/>
        </w:rPr>
        <w:t xml:space="preserve">セグメント: 国内鉄鋼 / 海外鉄鋼 / 環境事業  </w:t>
      </w:r>
    </w:p>
    <w:p>
      <w:r>
        <w:rPr>
          <w:rFonts w:ascii="Meiryo UI" w:hAnsi="Meiryo UI"/>
          <w:sz w:val="20"/>
        </w:rPr>
        <w:t>コスト構造: 電炉 = スクラップ + 電力 が主要変動コスト（5410合同製鐵と同一構造）</w:t>
      </w:r>
    </w:p>
    <w:p/>
    <w:p>
      <w:r>
        <w:t>──────────────────────────────────────────────────</w:t>
      </w:r>
    </w:p>
    <w:p/>
    <w:p>
      <w:pPr>
        <w:pStyle w:val="Heading2"/>
      </w:pPr>
      <w:r>
        <w:rPr>
          <w:rFonts w:ascii="Meiryo UI" w:hAnsi="Meiryo UI"/>
          <w:color w:val="2E74B5"/>
        </w:rPr>
        <w:t>2. 🔥 メタルスプレッド分析</w:t>
      </w:r>
    </w:p>
    <w:p/>
    <w:p>
      <w:pPr>
        <w:pStyle w:val="Heading3"/>
      </w:pPr>
      <w:r>
        <w:rPr>
          <w:rFonts w:ascii="Meiryo UI" w:hAnsi="Meiryo UI"/>
          <w:color w:val="2E74B5"/>
        </w:rPr>
        <w:t>定義と感応度</w:t>
      </w:r>
    </w:p>
    <w:p/>
    <w:p>
      <w:pPr>
        <w:pStyle w:val="ListBullet"/>
      </w:pPr>
      <w:r>
        <w:rPr>
          <w:rFonts w:ascii="Meiryo UI" w:hAnsi="Meiryo UI"/>
          <w:sz w:val="20"/>
        </w:rPr>
        <w:t>メタルスプレッド = 製品出荷単価 − スクラップ消費単価</w:t>
      </w:r>
    </w:p>
    <w:p>
      <w:pPr>
        <w:pStyle w:val="ListBullet"/>
      </w:pPr>
      <w:r>
        <w:rPr>
          <w:rFonts w:ascii="Meiryo UI" w:hAnsi="Meiryo UI"/>
          <w:sz w:val="20"/>
        </w:rPr>
        <w:t>電力感応度: 電気料金+1円/kWh → 粗鋼1t当たり+¥700コスト増</w:t>
      </w:r>
    </w:p>
    <w:p>
      <w:pPr>
        <w:pStyle w:val="ListBullet"/>
      </w:pPr>
      <w:r>
        <w:rPr>
          <w:rFonts w:ascii="Meiryo UI" w:hAnsi="Meiryo UI"/>
          <w:sz w:val="20"/>
        </w:rPr>
        <w:t>2Q実績（最新）: メタルスプレッド 54.1千円/t（前年同期比拡大） ← 既に改善中</w:t>
      </w:r>
    </w:p>
    <w:p/>
    <w:p>
      <w:pPr>
        <w:pStyle w:val="Heading3"/>
      </w:pPr>
      <w:r>
        <w:rPr>
          <w:rFonts w:ascii="Meiryo UI" w:hAnsi="Meiryo UI"/>
          <w:color w:val="2E74B5"/>
        </w:rPr>
        <w:t>ホルムズ封鎖中の構造（改善前）</w:t>
      </w:r>
    </w:p>
    <w:p/>
    <w:p>
      <w:pPr>
        <w:shd w:val="clear" w:color="auto" w:fill="F2F2F2"/>
      </w:pPr>
      <w:r>
        <w:rPr>
          <w:rFonts w:ascii="Courier New" w:hAnsi="Courier New"/>
          <w:sz w:val="16"/>
        </w:rPr>
        <w:t>JEPX電力スポット ¥44.70/kWh（通常の2倍超）</w:t>
        <w:br/>
        <w:t xml:space="preserve">  ↓</w:t>
        <w:br/>
        <w:t>電炉コスト急増: +¥17,290/t 超過負担</w:t>
        <w:br/>
        <w:t xml:space="preserve">  ↓</w:t>
        <w:br/>
        <w:t>国内利益を圧迫しながらも、海外（ベトナム・北米）回復でカバー</w:t>
        <w:br/>
        <w:t xml:space="preserve">  ↓</w:t>
        <w:br/>
        <w:t>FY26/3期 3Q累計 経常利益+28% — 合同製鐵(▲16%)と対照的な底堅さ</w:t>
      </w:r>
    </w:p>
    <w:p/>
    <w:p>
      <w:pPr>
        <w:pStyle w:val="Heading3"/>
      </w:pPr>
      <w:r>
        <w:rPr>
          <w:rFonts w:ascii="Meiryo UI" w:hAnsi="Meiryo UI"/>
          <w:color w:val="2E74B5"/>
        </w:rPr>
        <w:t>ホルムズ全面再開（4/17確定）→ スプレッド改善試算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正常化後</w:t>
            </w:r>
          </w:p>
        </w:tc>
        <w:tc>
          <w:tcPr>
            <w:tcW w:type="dxa" w:w="2351"/>
            <w:shd w:val="clear" w:color="auto" w:fill="2E74B5"/>
          </w:tcPr>
          <w:p>
            <w:r>
              <w:rPr>
                <w:rFonts w:ascii="Meiryo UI" w:hAnsi="Meiryo UI"/>
                <w:b/>
                <w:color w:val="FFFFFF"/>
                <w:sz w:val="18"/>
              </w:rPr>
              <w:t>Delta</w:t>
            </w:r>
          </w:p>
        </w:tc>
      </w:tr>
      <w:tr>
        <w:tc>
          <w:tcPr>
            <w:tcW w:type="dxa" w:w="2351"/>
          </w:tcPr>
          <w:p>
            <w:r>
              <w:rPr>
                <w:rFonts w:ascii="Meiryo UI" w:hAnsi="Meiryo UI"/>
                <w:sz w:val="18"/>
              </w:rPr>
              <w:t>JEPX電力価格</w:t>
            </w:r>
          </w:p>
        </w:tc>
        <w:tc>
          <w:tcPr>
            <w:tcW w:type="dxa" w:w="2351"/>
          </w:tcPr>
          <w:p>
            <w:r>
              <w:rPr>
                <w:rFonts w:ascii="Meiryo UI" w:hAnsi="Meiryo UI"/>
                <w:sz w:val="18"/>
              </w:rPr>
              <w:t>¥44.70/kWh</w:t>
            </w:r>
          </w:p>
        </w:tc>
        <w:tc>
          <w:tcPr>
            <w:tcW w:type="dxa" w:w="2351"/>
          </w:tcPr>
          <w:p>
            <w:r>
              <w:rPr>
                <w:rFonts w:ascii="Meiryo UI" w:hAnsi="Meiryo UI"/>
                <w:sz w:val="18"/>
              </w:rPr>
              <w:t>¥20/kWh</w:t>
            </w:r>
          </w:p>
        </w:tc>
        <w:tc>
          <w:tcPr>
            <w:tcW w:type="dxa" w:w="2351"/>
          </w:tcPr>
          <w:p>
            <w:r>
              <w:rPr>
                <w:rFonts w:ascii="Meiryo UI" w:hAnsi="Meiryo UI"/>
                <w:sz w:val="18"/>
              </w:rPr>
              <w:t>▲24.7円</w:t>
            </w:r>
          </w:p>
        </w:tc>
      </w:tr>
      <w:tr>
        <w:tc>
          <w:tcPr>
            <w:tcW w:type="dxa" w:w="2351"/>
            <w:shd w:val="clear" w:color="auto" w:fill="DDEBF7"/>
          </w:tcPr>
          <w:p>
            <w:r>
              <w:rPr>
                <w:rFonts w:ascii="Meiryo UI" w:hAnsi="Meiryo UI"/>
                <w:sz w:val="18"/>
              </w:rPr>
              <w:t>電力超過コスト/t</w:t>
            </w:r>
          </w:p>
        </w:tc>
        <w:tc>
          <w:tcPr>
            <w:tcW w:type="dxa" w:w="2351"/>
            <w:shd w:val="clear" w:color="auto" w:fill="DDEBF7"/>
          </w:tcPr>
          <w:p>
            <w:r>
              <w:rPr>
                <w:rFonts w:ascii="Meiryo UI" w:hAnsi="Meiryo UI"/>
                <w:sz w:val="18"/>
              </w:rPr>
              <w:t>+¥17,290/t</w:t>
            </w:r>
          </w:p>
        </w:tc>
        <w:tc>
          <w:tcPr>
            <w:tcW w:type="dxa" w:w="2351"/>
            <w:shd w:val="clear" w:color="auto" w:fill="DDEBF7"/>
          </w:tcPr>
          <w:p>
            <w:r>
              <w:rPr>
                <w:rFonts w:ascii="Meiryo UI" w:hAnsi="Meiryo UI"/>
                <w:sz w:val="18"/>
              </w:rPr>
              <w:t>¥0</w:t>
            </w:r>
          </w:p>
        </w:tc>
        <w:tc>
          <w:tcPr>
            <w:tcW w:type="dxa" w:w="2351"/>
            <w:shd w:val="clear" w:color="auto" w:fill="DDEBF7"/>
          </w:tcPr>
          <w:p>
            <w:r>
              <w:rPr>
                <w:rFonts w:ascii="Meiryo UI" w:hAnsi="Meiryo UI"/>
                <w:sz w:val="18"/>
              </w:rPr>
              <w:t>▲¥17,290/t</w:t>
            </w:r>
          </w:p>
        </w:tc>
      </w:tr>
      <w:tr>
        <w:tc>
          <w:tcPr>
            <w:tcW w:type="dxa" w:w="2351"/>
          </w:tcPr>
          <w:p>
            <w:r>
              <w:rPr>
                <w:rFonts w:ascii="Meiryo UI" w:hAnsi="Meiryo UI"/>
                <w:sz w:val="18"/>
              </w:rPr>
              <w:t>鉄スクラップH2</w:t>
            </w:r>
          </w:p>
        </w:tc>
        <w:tc>
          <w:tcPr>
            <w:tcW w:type="dxa" w:w="2351"/>
          </w:tcPr>
          <w:p>
            <w:r>
              <w:rPr>
                <w:rFonts w:ascii="Meiryo UI" w:hAnsi="Meiryo UI"/>
                <w:sz w:val="18"/>
              </w:rPr>
              <w:t>¥50,000/t</w:t>
            </w:r>
          </w:p>
        </w:tc>
        <w:tc>
          <w:tcPr>
            <w:tcW w:type="dxa" w:w="2351"/>
          </w:tcPr>
          <w:p>
            <w:r>
              <w:rPr>
                <w:rFonts w:ascii="Meiryo UI" w:hAnsi="Meiryo UI"/>
                <w:sz w:val="18"/>
              </w:rPr>
              <w:t>¥38-42k/t</w:t>
            </w:r>
          </w:p>
        </w:tc>
        <w:tc>
          <w:tcPr>
            <w:tcW w:type="dxa" w:w="2351"/>
          </w:tcPr>
          <w:p>
            <w:r>
              <w:rPr>
                <w:rFonts w:ascii="Meiryo UI" w:hAnsi="Meiryo UI"/>
                <w:sz w:val="18"/>
              </w:rPr>
              <w:t>▲¥8-12k/t</w:t>
            </w:r>
          </w:p>
        </w:tc>
      </w:tr>
    </w:tbl>
    <w:p/>
    <w:p>
      <w:r>
        <w:rPr>
          <w:rFonts w:ascii="Meiryo UI" w:hAnsi="Meiryo UI"/>
          <w:sz w:val="20"/>
        </w:rPr>
        <w:t>年間コスト改善試算（推定粗鋼200万t）:</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改善額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電力コスト正常化</w:t>
            </w:r>
          </w:p>
        </w:tc>
        <w:tc>
          <w:tcPr>
            <w:tcW w:type="dxa" w:w="3135"/>
          </w:tcPr>
          <w:p>
            <w:r>
              <w:rPr>
                <w:rFonts w:ascii="Meiryo UI" w:hAnsi="Meiryo UI"/>
                <w:sz w:val="18"/>
              </w:rPr>
              <w:t>+346億円</w:t>
            </w:r>
          </w:p>
        </w:tc>
        <w:tc>
          <w:tcPr>
            <w:tcW w:type="dxa" w:w="3135"/>
          </w:tcPr>
          <w:p>
            <w:r>
              <w:rPr>
                <w:rFonts w:ascii="Meiryo UI" w:hAnsi="Meiryo UI"/>
                <w:sz w:val="18"/>
              </w:rPr>
              <w:t>¥17,290/t × 200万t</w:t>
            </w:r>
          </w:p>
        </w:tc>
      </w:tr>
      <w:tr>
        <w:tc>
          <w:tcPr>
            <w:tcW w:type="dxa" w:w="3135"/>
            <w:shd w:val="clear" w:color="auto" w:fill="DDEBF7"/>
          </w:tcPr>
          <w:p>
            <w:r>
              <w:rPr>
                <w:rFonts w:ascii="Meiryo UI" w:hAnsi="Meiryo UI"/>
                <w:sz w:val="18"/>
              </w:rPr>
              <w:t>スクラップ¥10,000/t低下</w:t>
            </w:r>
          </w:p>
        </w:tc>
        <w:tc>
          <w:tcPr>
            <w:tcW w:type="dxa" w:w="3135"/>
            <w:shd w:val="clear" w:color="auto" w:fill="DDEBF7"/>
          </w:tcPr>
          <w:p>
            <w:r>
              <w:rPr>
                <w:rFonts w:ascii="Meiryo UI" w:hAnsi="Meiryo UI"/>
                <w:sz w:val="18"/>
              </w:rPr>
              <w:t>+200億円</w:t>
            </w:r>
          </w:p>
        </w:tc>
        <w:tc>
          <w:tcPr>
            <w:tcW w:type="dxa" w:w="3135"/>
            <w:shd w:val="clear" w:color="auto" w:fill="DDEBF7"/>
          </w:tcPr>
          <w:p>
            <w:r>
              <w:rPr>
                <w:rFonts w:ascii="Meiryo UI" w:hAnsi="Meiryo UI"/>
                <w:sz w:val="18"/>
              </w:rPr>
              <w:t>円高→輸出採算悪化</w:t>
            </w:r>
          </w:p>
        </w:tc>
      </w:tr>
      <w:tr>
        <w:tc>
          <w:tcPr>
            <w:tcW w:type="dxa" w:w="3135"/>
          </w:tcPr>
          <w:p>
            <w:r>
              <w:rPr>
                <w:rFonts w:ascii="Meiryo UI" w:hAnsi="Meiryo UI"/>
                <w:sz w:val="18"/>
              </w:rPr>
              <w:t>合計最大改善</w:t>
            </w:r>
          </w:p>
        </w:tc>
        <w:tc>
          <w:tcPr>
            <w:tcW w:type="dxa" w:w="3135"/>
          </w:tcPr>
          <w:p>
            <w:r>
              <w:rPr>
                <w:rFonts w:ascii="Meiryo UI" w:hAnsi="Meiryo UI"/>
                <w:sz w:val="18"/>
              </w:rPr>
              <w:t>+546億円</w:t>
            </w:r>
          </w:p>
        </w:tc>
        <w:tc>
          <w:tcPr>
            <w:tcW w:type="dxa" w:w="3135"/>
          </w:tcPr>
          <w:p>
            <w:r>
              <w:rPr>
                <w:rFonts w:ascii="Meiryo UI" w:hAnsi="Meiryo UI"/>
                <w:sz w:val="18"/>
              </w:rPr>
              <w:t>FY26/3期 経常予想160億円の3.4倍</w:t>
            </w:r>
          </w:p>
        </w:tc>
      </w:tr>
    </w:tbl>
    <w:p/>
    <w:p>
      <w:r>
        <w:rPr>
          <w:rFonts w:ascii="Meiryo UI" w:hAnsi="Meiryo UI"/>
          <w:sz w:val="20"/>
        </w:rPr>
        <w:t>⚠️ 長期電力契約の割合によりスポット変動が即時全量反映されない可能性あり。実効値は50-70%で試算:</w:t>
      </w:r>
    </w:p>
    <w:p>
      <w:r>
        <w:rPr>
          <w:rFonts w:ascii="Meiryo UI" w:hAnsi="Meiryo UI"/>
          <w:sz w:val="20"/>
        </w:rPr>
        <w:t>→ 実効改善幅: +170-380億円/年</w:t>
      </w:r>
    </w:p>
    <w:p/>
    <w:p>
      <w:r>
        <w:t>──────────────────────────────────────────────────</w:t>
      </w:r>
    </w:p>
    <w:p/>
    <w:p>
      <w:pPr>
        <w:pStyle w:val="Heading2"/>
      </w:pPr>
      <w:r>
        <w:rPr>
          <w:rFonts w:ascii="Meiryo UI" w:hAnsi="Meiryo UI"/>
          <w:color w:val="2E74B5"/>
        </w:rPr>
        <w:t>3. 日本製鉄TOBシナリオ — 最有力候補</w:t>
      </w:r>
    </w:p>
    <w:p/>
    <w:p>
      <w:pPr>
        <w:pStyle w:val="Heading3"/>
      </w:pPr>
      <w:r>
        <w:rPr>
          <w:rFonts w:ascii="Meiryo UI" w:hAnsi="Meiryo UI"/>
          <w:color w:val="2E74B5"/>
        </w:rPr>
        <w:t>日本製鉄の持株と最近の再編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持分関係</w:t>
            </w:r>
          </w:p>
        </w:tc>
        <w:tc>
          <w:tcPr>
            <w:tcW w:type="dxa" w:w="3135"/>
            <w:shd w:val="clear" w:color="auto" w:fill="2E74B5"/>
          </w:tcPr>
          <w:p>
            <w:r>
              <w:rPr>
                <w:rFonts w:ascii="Meiryo UI" w:hAnsi="Meiryo UI"/>
                <w:b/>
                <w:color w:val="FFFFFF"/>
                <w:sz w:val="18"/>
              </w:rPr>
              <w:t>共英製鋼</w:t>
            </w:r>
          </w:p>
        </w:tc>
        <w:tc>
          <w:tcPr>
            <w:tcW w:type="dxa" w:w="3135"/>
            <w:shd w:val="clear" w:color="auto" w:fill="2E74B5"/>
          </w:tcPr>
          <w:p>
            <w:r>
              <w:rPr>
                <w:rFonts w:ascii="Meiryo UI" w:hAnsi="Meiryo UI"/>
                <w:b/>
                <w:color w:val="FFFFFF"/>
                <w:sz w:val="18"/>
              </w:rPr>
              <w:t>合同製鐵</w:t>
            </w:r>
          </w:p>
        </w:tc>
      </w:tr>
      <w:tr>
        <w:tc>
          <w:tcPr>
            <w:tcW w:type="dxa" w:w="3135"/>
          </w:tcPr>
          <w:p>
            <w:r>
              <w:rPr>
                <w:rFonts w:ascii="Meiryo UI" w:hAnsi="Meiryo UI"/>
                <w:sz w:val="18"/>
              </w:rPr>
              <w:t>日鉄持株比率</w:t>
            </w:r>
          </w:p>
        </w:tc>
        <w:tc>
          <w:tcPr>
            <w:tcW w:type="dxa" w:w="3135"/>
          </w:tcPr>
          <w:p>
            <w:r>
              <w:rPr>
                <w:rFonts w:ascii="Meiryo UI" w:hAnsi="Meiryo UI"/>
                <w:sz w:val="18"/>
              </w:rPr>
              <w:t>28.1%</w:t>
            </w:r>
          </w:p>
        </w:tc>
        <w:tc>
          <w:tcPr>
            <w:tcW w:type="dxa" w:w="3135"/>
          </w:tcPr>
          <w:p>
            <w:r>
              <w:rPr>
                <w:rFonts w:ascii="Meiryo UI" w:hAnsi="Meiryo UI"/>
                <w:sz w:val="18"/>
              </w:rPr>
              <w:t>17.6%</w:t>
            </w:r>
          </w:p>
        </w:tc>
      </w:tr>
      <w:tr>
        <w:tc>
          <w:tcPr>
            <w:tcW w:type="dxa" w:w="3135"/>
            <w:shd w:val="clear" w:color="auto" w:fill="DDEBF7"/>
          </w:tcPr>
          <w:p>
            <w:r>
              <w:rPr>
                <w:rFonts w:ascii="Meiryo UI" w:hAnsi="Meiryo UI"/>
                <w:sz w:val="18"/>
              </w:rPr>
              <w:t>TOB必要追加取得</w:t>
            </w:r>
          </w:p>
        </w:tc>
        <w:tc>
          <w:tcPr>
            <w:tcW w:type="dxa" w:w="3135"/>
            <w:shd w:val="clear" w:color="auto" w:fill="DDEBF7"/>
          </w:tcPr>
          <w:p>
            <w:r>
              <w:rPr>
                <w:rFonts w:ascii="Meiryo UI" w:hAnsi="Meiryo UI"/>
                <w:sz w:val="18"/>
              </w:rPr>
              <w:t>~22%</w:t>
            </w:r>
          </w:p>
        </w:tc>
        <w:tc>
          <w:tcPr>
            <w:tcW w:type="dxa" w:w="3135"/>
            <w:shd w:val="clear" w:color="auto" w:fill="DDEBF7"/>
          </w:tcPr>
          <w:p>
            <w:r>
              <w:rPr>
                <w:rFonts w:ascii="Meiryo UI" w:hAnsi="Meiryo UI"/>
                <w:sz w:val="18"/>
              </w:rPr>
              <w:t>~33%</w:t>
            </w:r>
          </w:p>
        </w:tc>
      </w:tr>
      <w:tr>
        <w:tc>
          <w:tcPr>
            <w:tcW w:type="dxa" w:w="3135"/>
          </w:tcPr>
          <w:p>
            <w:r>
              <w:rPr>
                <w:rFonts w:ascii="Meiryo UI" w:hAnsi="Meiryo UI"/>
                <w:sz w:val="18"/>
              </w:rPr>
              <w:t>TOB総額（想定）</w:t>
            </w:r>
          </w:p>
        </w:tc>
        <w:tc>
          <w:tcPr>
            <w:tcW w:type="dxa" w:w="3135"/>
          </w:tcPr>
          <w:p>
            <w:r>
              <w:rPr>
                <w:rFonts w:ascii="Meiryo UI" w:hAnsi="Meiryo UI"/>
                <w:sz w:val="18"/>
              </w:rPr>
              <w:t>~700-900億円</w:t>
            </w:r>
          </w:p>
        </w:tc>
        <w:tc>
          <w:tcPr>
            <w:tcW w:type="dxa" w:w="3135"/>
          </w:tcPr>
          <w:p>
            <w:r>
              <w:rPr>
                <w:rFonts w:ascii="Meiryo UI" w:hAnsi="Meiryo UI"/>
                <w:sz w:val="18"/>
              </w:rPr>
              <w:t>~1,000-1,300億円</w:t>
            </w:r>
          </w:p>
        </w:tc>
      </w:tr>
    </w:tbl>
    <w:p/>
    <w:p>
      <w:r>
        <w:rPr>
          <w:rFonts w:ascii="Meiryo UI" w:hAnsi="Meiryo UI"/>
          <w:sz w:val="20"/>
        </w:rPr>
        <w:t>→ 共英製鋼のほうがTOB完了コスト・取得比率の両面で容易</w:t>
      </w:r>
    </w:p>
    <w:p/>
    <w:p>
      <w:pPr>
        <w:pStyle w:val="Heading3"/>
      </w:pPr>
      <w:r>
        <w:rPr>
          <w:rFonts w:ascii="Meiryo UI" w:hAnsi="Meiryo UI"/>
          <w:color w:val="2E74B5"/>
        </w:rPr>
        <w:t>TOBシナリオ別TP</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TOB価格(PBR)</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保守TOB</w:t>
            </w:r>
          </w:p>
        </w:tc>
        <w:tc>
          <w:tcPr>
            <w:tcW w:type="dxa" w:w="2351"/>
          </w:tcPr>
          <w:p>
            <w:r>
              <w:rPr>
                <w:rFonts w:ascii="Meiryo UI" w:hAnsi="Meiryo UI"/>
                <w:sz w:val="18"/>
              </w:rPr>
              <w:t>0.6x</w:t>
            </w:r>
          </w:p>
        </w:tc>
        <w:tc>
          <w:tcPr>
            <w:tcW w:type="dxa" w:w="2351"/>
          </w:tcPr>
          <w:p>
            <w:r>
              <w:rPr>
                <w:rFonts w:ascii="Meiryo UI" w:hAnsi="Meiryo UI"/>
                <w:sz w:val="18"/>
              </w:rPr>
              <w:t>¥2,833</w:t>
            </w:r>
          </w:p>
        </w:tc>
        <w:tc>
          <w:tcPr>
            <w:tcW w:type="dxa" w:w="2351"/>
          </w:tcPr>
          <w:p>
            <w:r>
              <w:rPr>
                <w:rFonts w:ascii="Meiryo UI" w:hAnsi="Meiryo UI"/>
                <w:sz w:val="18"/>
              </w:rPr>
              <w:t>+23.8%</w:t>
            </w:r>
          </w:p>
        </w:tc>
      </w:tr>
      <w:tr>
        <w:tc>
          <w:tcPr>
            <w:tcW w:type="dxa" w:w="2351"/>
            <w:shd w:val="clear" w:color="auto" w:fill="DDEBF7"/>
          </w:tcPr>
          <w:p>
            <w:r>
              <w:rPr>
                <w:rFonts w:ascii="Meiryo UI" w:hAnsi="Meiryo UI"/>
                <w:sz w:val="18"/>
              </w:rPr>
              <w:t>想定TOB</w:t>
            </w:r>
          </w:p>
        </w:tc>
        <w:tc>
          <w:tcPr>
            <w:tcW w:type="dxa" w:w="2351"/>
            <w:shd w:val="clear" w:color="auto" w:fill="DDEBF7"/>
          </w:tcPr>
          <w:p>
            <w:r>
              <w:rPr>
                <w:rFonts w:ascii="Meiryo UI" w:hAnsi="Meiryo UI"/>
                <w:sz w:val="18"/>
              </w:rPr>
              <w:t>0.8x</w:t>
            </w:r>
          </w:p>
        </w:tc>
        <w:tc>
          <w:tcPr>
            <w:tcW w:type="dxa" w:w="2351"/>
            <w:shd w:val="clear" w:color="auto" w:fill="DDEBF7"/>
          </w:tcPr>
          <w:p>
            <w:r>
              <w:rPr>
                <w:rFonts w:ascii="Meiryo UI" w:hAnsi="Meiryo UI"/>
                <w:sz w:val="18"/>
              </w:rPr>
              <w:t>¥3,777</w:t>
            </w:r>
          </w:p>
        </w:tc>
        <w:tc>
          <w:tcPr>
            <w:tcW w:type="dxa" w:w="2351"/>
            <w:shd w:val="clear" w:color="auto" w:fill="DDEBF7"/>
          </w:tcPr>
          <w:p>
            <w:r>
              <w:rPr>
                <w:rFonts w:ascii="Meiryo UI" w:hAnsi="Meiryo UI"/>
                <w:sz w:val="18"/>
              </w:rPr>
              <w:t>+65.1%</w:t>
            </w:r>
          </w:p>
        </w:tc>
      </w:tr>
      <w:tr>
        <w:tc>
          <w:tcPr>
            <w:tcW w:type="dxa" w:w="2351"/>
          </w:tcPr>
          <w:p>
            <w:r>
              <w:rPr>
                <w:rFonts w:ascii="Meiryo UI" w:hAnsi="Meiryo UI"/>
                <w:sz w:val="18"/>
              </w:rPr>
              <w:t>積極TOB</w:t>
            </w:r>
          </w:p>
        </w:tc>
        <w:tc>
          <w:tcPr>
            <w:tcW w:type="dxa" w:w="2351"/>
          </w:tcPr>
          <w:p>
            <w:r>
              <w:rPr>
                <w:rFonts w:ascii="Meiryo UI" w:hAnsi="Meiryo UI"/>
                <w:sz w:val="18"/>
              </w:rPr>
              <w:t>0.9x</w:t>
            </w:r>
          </w:p>
        </w:tc>
        <w:tc>
          <w:tcPr>
            <w:tcW w:type="dxa" w:w="2351"/>
          </w:tcPr>
          <w:p>
            <w:r>
              <w:rPr>
                <w:rFonts w:ascii="Meiryo UI" w:hAnsi="Meiryo UI"/>
                <w:sz w:val="18"/>
              </w:rPr>
              <w:t>¥4,249</w:t>
            </w:r>
          </w:p>
        </w:tc>
        <w:tc>
          <w:tcPr>
            <w:tcW w:type="dxa" w:w="2351"/>
          </w:tcPr>
          <w:p>
            <w:r>
              <w:rPr>
                <w:rFonts w:ascii="Meiryo UI" w:hAnsi="Meiryo UI"/>
                <w:sz w:val="18"/>
              </w:rPr>
              <w:t>+85.7%</w:t>
            </w:r>
          </w:p>
        </w:tc>
      </w:tr>
    </w:tbl>
    <w:p/>
    <w:p>
      <w:r>
        <w:rPr>
          <w:rFonts w:ascii="Meiryo UI" w:hAnsi="Meiryo UI"/>
          <w:sz w:val="20"/>
        </w:rPr>
        <w:t>参考: 黒崎播磨TOB(¥4,200、約PBR1.0x)・山陽特殊製鋼TOB(¥2,750)の前例</w:t>
      </w:r>
    </w:p>
    <w:p/>
    <w:p>
      <w:r>
        <w:t>──────────────────────────────────────────────────</w:t>
      </w:r>
    </w:p>
    <w:p/>
    <w:p>
      <w:pPr>
        <w:pStyle w:val="Heading2"/>
      </w:pPr>
      <w:r>
        <w:rPr>
          <w:rFonts w:ascii="Meiryo UI" w:hAnsi="Meiryo UI"/>
          <w:color w:val="2E74B5"/>
        </w:rPr>
        <w:t>4. 業績・財務分析</w:t>
      </w:r>
    </w:p>
    <w:p/>
    <w:p>
      <w:pPr>
        <w:pStyle w:val="Heading3"/>
      </w:pPr>
      <w:r>
        <w:rPr>
          <w:rFonts w:ascii="Meiryo UI" w:hAnsi="Meiryo UI"/>
          <w:color w:val="2E74B5"/>
        </w:rPr>
        <w:t>通期業績推移</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経常利益</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配当</w:t>
            </w:r>
          </w:p>
        </w:tc>
      </w:tr>
      <w:tr>
        <w:tc>
          <w:tcPr>
            <w:tcW w:type="dxa" w:w="1568"/>
          </w:tcPr>
          <w:p>
            <w:r>
              <w:rPr>
                <w:rFonts w:ascii="Meiryo UI" w:hAnsi="Meiryo UI"/>
                <w:sz w:val="18"/>
              </w:rPr>
              <w:t>FY2025/3</w:t>
            </w:r>
          </w:p>
        </w:tc>
        <w:tc>
          <w:tcPr>
            <w:tcW w:type="dxa" w:w="1568"/>
          </w:tcPr>
          <w:p>
            <w:r>
              <w:rPr>
                <w:rFonts w:ascii="Meiryo UI" w:hAnsi="Meiryo UI"/>
                <w:sz w:val="18"/>
              </w:rPr>
              <w:t>2,461億円</w:t>
            </w:r>
          </w:p>
        </w:tc>
        <w:tc>
          <w:tcPr>
            <w:tcW w:type="dxa" w:w="1568"/>
          </w:tcPr>
          <w:p>
            <w:r>
              <w:rPr>
                <w:rFonts w:ascii="Meiryo UI" w:hAnsi="Meiryo UI"/>
                <w:sz w:val="18"/>
              </w:rPr>
              <w:t>153億円</w:t>
            </w:r>
          </w:p>
        </w:tc>
        <w:tc>
          <w:tcPr>
            <w:tcW w:type="dxa" w:w="1568"/>
          </w:tcPr>
          <w:p>
            <w:r>
              <w:rPr>
                <w:rFonts w:ascii="Meiryo UI" w:hAnsi="Meiryo UI"/>
                <w:sz w:val="18"/>
              </w:rPr>
              <w:t>157.5億円</w:t>
            </w:r>
          </w:p>
        </w:tc>
        <w:tc>
          <w:tcPr>
            <w:tcW w:type="dxa" w:w="1568"/>
          </w:tcPr>
          <w:p>
            <w:r>
              <w:rPr>
                <w:rFonts w:ascii="Meiryo UI" w:hAnsi="Meiryo UI"/>
                <w:sz w:val="18"/>
              </w:rPr>
              <w:t>~108億円</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FY2026/3予</w:t>
            </w:r>
          </w:p>
        </w:tc>
        <w:tc>
          <w:tcPr>
            <w:tcW w:type="dxa" w:w="1568"/>
            <w:shd w:val="clear" w:color="auto" w:fill="DDEBF7"/>
          </w:tcPr>
          <w:p>
            <w:r>
              <w:rPr>
                <w:rFonts w:ascii="Meiryo UI" w:hAnsi="Meiryo UI"/>
                <w:sz w:val="18"/>
              </w:rPr>
              <w:t>3,170億円</w:t>
            </w:r>
          </w:p>
        </w:tc>
        <w:tc>
          <w:tcPr>
            <w:tcW w:type="dxa" w:w="1568"/>
            <w:shd w:val="clear" w:color="auto" w:fill="DDEBF7"/>
          </w:tcPr>
          <w:p>
            <w:r>
              <w:rPr>
                <w:rFonts w:ascii="Meiryo UI" w:hAnsi="Meiryo UI"/>
                <w:sz w:val="18"/>
              </w:rPr>
              <w:t>170億円</w:t>
            </w:r>
          </w:p>
        </w:tc>
        <w:tc>
          <w:tcPr>
            <w:tcW w:type="dxa" w:w="1568"/>
            <w:shd w:val="clear" w:color="auto" w:fill="DDEBF7"/>
          </w:tcPr>
          <w:p>
            <w:r>
              <w:rPr>
                <w:rFonts w:ascii="Meiryo UI" w:hAnsi="Meiryo UI"/>
                <w:sz w:val="18"/>
              </w:rPr>
              <w:t>160億円</w:t>
            </w:r>
          </w:p>
        </w:tc>
        <w:tc>
          <w:tcPr>
            <w:tcW w:type="dxa" w:w="1568"/>
            <w:shd w:val="clear" w:color="auto" w:fill="DDEBF7"/>
          </w:tcPr>
          <w:p>
            <w:r>
              <w:rPr>
                <w:rFonts w:ascii="Meiryo UI" w:hAnsi="Meiryo UI"/>
                <w:sz w:val="18"/>
              </w:rPr>
              <w:t>105億円</w:t>
            </w:r>
          </w:p>
        </w:tc>
        <w:tc>
          <w:tcPr>
            <w:tcW w:type="dxa" w:w="1568"/>
            <w:shd w:val="clear" w:color="auto" w:fill="DDEBF7"/>
          </w:tcPr>
          <w:p>
            <w:r>
              <w:rPr>
                <w:rFonts w:ascii="Meiryo UI" w:hAnsi="Meiryo UI"/>
                <w:sz w:val="18"/>
              </w:rPr>
              <w:t>—</w:t>
            </w:r>
          </w:p>
        </w:tc>
      </w:tr>
      <w:tr>
        <w:tc>
          <w:tcPr>
            <w:tcW w:type="dxa" w:w="1568"/>
          </w:tcPr>
          <w:p>
            <w:r>
              <w:rPr>
                <w:rFonts w:ascii="Meiryo UI" w:hAnsi="Meiryo UI"/>
                <w:sz w:val="18"/>
              </w:rPr>
              <w:t>FY2027/3E(中計)</w:t>
            </w:r>
          </w:p>
        </w:tc>
        <w:tc>
          <w:tcPr>
            <w:tcW w:type="dxa" w:w="1568"/>
          </w:tcPr>
          <w:p>
            <w:r>
              <w:rPr>
                <w:rFonts w:ascii="Meiryo UI" w:hAnsi="Meiryo UI"/>
                <w:sz w:val="18"/>
              </w:rPr>
              <w:t>3,800億円</w:t>
            </w:r>
          </w:p>
        </w:tc>
        <w:tc>
          <w:tcPr>
            <w:tcW w:type="dxa" w:w="1568"/>
          </w:tcPr>
          <w:p>
            <w:r>
              <w:rPr>
                <w:rFonts w:ascii="Meiryo UI" w:hAnsi="Meiryo UI"/>
                <w:sz w:val="18"/>
              </w:rPr>
              <w:t>—</w:t>
            </w:r>
          </w:p>
        </w:tc>
        <w:tc>
          <w:tcPr>
            <w:tcW w:type="dxa" w:w="1568"/>
          </w:tcPr>
          <w:p>
            <w:r>
              <w:rPr>
                <w:rFonts w:ascii="Meiryo UI" w:hAnsi="Meiryo UI"/>
                <w:sz w:val="18"/>
              </w:rPr>
              <w:t>250億円</w:t>
            </w:r>
          </w:p>
        </w:tc>
        <w:tc>
          <w:tcPr>
            <w:tcW w:type="dxa" w:w="1568"/>
          </w:tcPr>
          <w:p>
            <w:r>
              <w:rPr>
                <w:rFonts w:ascii="Meiryo UI" w:hAnsi="Meiryo UI"/>
                <w:sz w:val="18"/>
              </w:rPr>
              <w:t>~164億円</w:t>
            </w:r>
          </w:p>
        </w:tc>
        <w:tc>
          <w:tcPr>
            <w:tcW w:type="dxa" w:w="1568"/>
          </w:tcPr>
          <w:p>
            <w:r>
              <w:rPr>
                <w:rFonts w:ascii="Meiryo UI" w:hAnsi="Meiryo UI"/>
                <w:sz w:val="18"/>
              </w:rPr>
              <w:t>—</w:t>
            </w:r>
          </w:p>
        </w:tc>
      </w:tr>
    </w:tbl>
    <w:p/>
    <w:p>
      <w:pPr>
        <w:pStyle w:val="Heading3"/>
      </w:pPr>
      <w:r>
        <w:rPr>
          <w:rFonts w:ascii="Meiryo UI" w:hAnsi="Meiryo UI"/>
          <w:color w:val="2E74B5"/>
        </w:rPr>
        <w:t>3Q累計実績（FY26/3期）</w:t>
      </w:r>
    </w:p>
    <w:p/>
    <w:p>
      <w:pPr>
        <w:pStyle w:val="ListBullet"/>
      </w:pPr>
      <w:r>
        <w:rPr>
          <w:rFonts w:ascii="Meiryo UI" w:hAnsi="Meiryo UI"/>
          <w:sz w:val="20"/>
        </w:rPr>
        <w:t>売上: 2,327億円（前年同期比▲3.2%）</w:t>
      </w:r>
    </w:p>
    <w:p>
      <w:pPr>
        <w:pStyle w:val="ListBullet"/>
      </w:pPr>
      <w:r>
        <w:rPr>
          <w:rFonts w:ascii="Meiryo UI" w:hAnsi="Meiryo UI"/>
          <w:sz w:val="20"/>
        </w:rPr>
        <w:t>営業利益: 134.4億円（同+38.6%）← 大幅増益</w:t>
      </w:r>
    </w:p>
    <w:p>
      <w:pPr>
        <w:pStyle w:val="ListBullet"/>
      </w:pPr>
      <w:r>
        <w:rPr>
          <w:rFonts w:ascii="Meiryo UI" w:hAnsi="Meiryo UI"/>
          <w:sz w:val="20"/>
        </w:rPr>
        <w:t>経常利益: 126.6億円（同+28.0%）</w:t>
      </w:r>
    </w:p>
    <w:p>
      <w:pPr>
        <w:pStyle w:val="ListBullet"/>
      </w:pPr>
      <w:r>
        <w:rPr>
          <w:rFonts w:ascii="Meiryo UI" w:hAnsi="Meiryo UI"/>
          <w:sz w:val="20"/>
        </w:rPr>
        <w:t>純利益: 79.4億円（同▲13.1% — 税率・持分法影響）</w:t>
      </w:r>
    </w:p>
    <w:p/>
    <w:p>
      <w:pPr>
        <w:pStyle w:val="Heading3"/>
      </w:pPr>
      <w:r>
        <w:rPr>
          <w:rFonts w:ascii="Meiryo UI" w:hAnsi="Meiryo UI"/>
          <w:color w:val="2E74B5"/>
        </w:rPr>
        <w:t>⚠️ 4Q YoY分解（7050の教訓を踏まえ必須実施）</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3Q累計</w:t>
            </w:r>
          </w:p>
        </w:tc>
        <w:tc>
          <w:tcPr>
            <w:tcW w:type="dxa" w:w="2351"/>
            <w:shd w:val="clear" w:color="auto" w:fill="2E74B5"/>
          </w:tcPr>
          <w:p>
            <w:r>
              <w:rPr>
                <w:rFonts w:ascii="Meiryo UI" w:hAnsi="Meiryo UI"/>
                <w:b/>
                <w:color w:val="FFFFFF"/>
                <w:sz w:val="18"/>
              </w:rPr>
              <w:t>通期</w:t>
            </w:r>
          </w:p>
        </w:tc>
        <w:tc>
          <w:tcPr>
            <w:tcW w:type="dxa" w:w="2351"/>
            <w:shd w:val="clear" w:color="auto" w:fill="2E74B5"/>
          </w:tcPr>
          <w:p>
            <w:r>
              <w:rPr>
                <w:rFonts w:ascii="Meiryo UI" w:hAnsi="Meiryo UI"/>
                <w:b/>
                <w:color w:val="FFFFFF"/>
                <w:sz w:val="18"/>
              </w:rPr>
              <w:t>4Q単体</w:t>
            </w:r>
          </w:p>
        </w:tc>
      </w:tr>
      <w:tr>
        <w:tc>
          <w:tcPr>
            <w:tcW w:type="dxa" w:w="2351"/>
          </w:tcPr>
          <w:p>
            <w:r>
              <w:rPr>
                <w:rFonts w:ascii="Meiryo UI" w:hAnsi="Meiryo UI"/>
                <w:sz w:val="18"/>
              </w:rPr>
              <w:t>FY2025/3</w:t>
            </w:r>
          </w:p>
        </w:tc>
        <w:tc>
          <w:tcPr>
            <w:tcW w:type="dxa" w:w="2351"/>
          </w:tcPr>
          <w:p>
            <w:r>
              <w:rPr>
                <w:rFonts w:ascii="Meiryo UI" w:hAnsi="Meiryo UI"/>
                <w:sz w:val="18"/>
              </w:rPr>
              <w:t>98.9億円</w:t>
            </w:r>
          </w:p>
        </w:tc>
        <w:tc>
          <w:tcPr>
            <w:tcW w:type="dxa" w:w="2351"/>
          </w:tcPr>
          <w:p>
            <w:r>
              <w:rPr>
                <w:rFonts w:ascii="Meiryo UI" w:hAnsi="Meiryo UI"/>
                <w:sz w:val="18"/>
              </w:rPr>
              <w:t>157.5億円</w:t>
            </w:r>
          </w:p>
        </w:tc>
        <w:tc>
          <w:tcPr>
            <w:tcW w:type="dxa" w:w="2351"/>
          </w:tcPr>
          <w:p>
            <w:r>
              <w:rPr>
                <w:rFonts w:ascii="Meiryo UI" w:hAnsi="Meiryo UI"/>
                <w:sz w:val="18"/>
              </w:rPr>
              <w:t>58.6億円</w:t>
            </w:r>
          </w:p>
        </w:tc>
      </w:tr>
      <w:tr>
        <w:tc>
          <w:tcPr>
            <w:tcW w:type="dxa" w:w="2351"/>
            <w:shd w:val="clear" w:color="auto" w:fill="DDEBF7"/>
          </w:tcPr>
          <w:p>
            <w:r>
              <w:rPr>
                <w:rFonts w:ascii="Meiryo UI" w:hAnsi="Meiryo UI"/>
                <w:sz w:val="18"/>
              </w:rPr>
              <w:t>FY2026/3</w:t>
            </w:r>
          </w:p>
        </w:tc>
        <w:tc>
          <w:tcPr>
            <w:tcW w:type="dxa" w:w="2351"/>
            <w:shd w:val="clear" w:color="auto" w:fill="DDEBF7"/>
          </w:tcPr>
          <w:p>
            <w:r>
              <w:rPr>
                <w:rFonts w:ascii="Meiryo UI" w:hAnsi="Meiryo UI"/>
                <w:sz w:val="18"/>
              </w:rPr>
              <w:t>126.6億円</w:t>
            </w:r>
          </w:p>
        </w:tc>
        <w:tc>
          <w:tcPr>
            <w:tcW w:type="dxa" w:w="2351"/>
            <w:shd w:val="clear" w:color="auto" w:fill="DDEBF7"/>
          </w:tcPr>
          <w:p>
            <w:r>
              <w:rPr>
                <w:rFonts w:ascii="Meiryo UI" w:hAnsi="Meiryo UI"/>
                <w:sz w:val="18"/>
              </w:rPr>
              <w:t>160億円</w:t>
            </w:r>
          </w:p>
        </w:tc>
        <w:tc>
          <w:tcPr>
            <w:tcW w:type="dxa" w:w="2351"/>
            <w:shd w:val="clear" w:color="auto" w:fill="DDEBF7"/>
          </w:tcPr>
          <w:p>
            <w:r>
              <w:rPr>
                <w:rFonts w:ascii="Meiryo UI" w:hAnsi="Meiryo UI"/>
                <w:sz w:val="18"/>
              </w:rPr>
              <w:t>33.4億円 (▲43% YoY)</w:t>
            </w:r>
          </w:p>
        </w:tc>
      </w:tr>
    </w:tbl>
    <w:p/>
    <w:p>
      <w:r>
        <w:rPr>
          <w:rFonts w:ascii="Meiryo UI" w:hAnsi="Meiryo UI"/>
          <w:sz w:val="20"/>
        </w:rPr>
        <w:t xml:space="preserve">解釈: 前年4Q(58.6億円)は年間最強四半期（Q1-Q3平均33億円を大きく上回る異常高）。  </w:t>
      </w:r>
    </w:p>
    <w:p>
      <w:r>
        <w:rPr>
          <w:rFonts w:ascii="Meiryo UI" w:hAnsi="Meiryo UI"/>
          <w:sz w:val="20"/>
        </w:rPr>
        <w:t xml:space="preserve">FY26/3 4Q implied(33.4億円)はQ1-Q3平均(42.2億円)の79%で、合同製鐵(Q1比▲24%)より軽傷。  </w:t>
      </w:r>
    </w:p>
    <w:p>
      <w:r>
        <w:rPr>
          <w:rFonts w:ascii="Meiryo UI" w:hAnsi="Meiryo UI"/>
          <w:sz w:val="20"/>
        </w:rPr>
        <w:t>ただし前年比▲43%は数字上警戒要因 → 本決算(4月末)でQ4実績を確認することを推奨。</w:t>
      </w:r>
    </w:p>
    <w:p/>
    <w:p>
      <w:pPr>
        <w:pStyle w:val="Heading3"/>
      </w:pPr>
      <w:r>
        <w:rPr>
          <w:rFonts w:ascii="Meiryo UI" w:hAnsi="Meiryo UI"/>
          <w:color w:val="2E74B5"/>
        </w:rPr>
        <w:t>リアルタイム財務指標（Yahoo Finance / 2026-04-17 22:02 JST）</w:t>
      </w:r>
    </w:p>
    <w:p/>
    <w:p>
      <w:pPr>
        <w:shd w:val="clear" w:color="auto" w:fill="F2F2F2"/>
      </w:pPr>
      <w:r>
        <w:rPr>
          <w:rFonts w:ascii="Courier New" w:hAnsi="Courier New"/>
          <w:sz w:val="16"/>
        </w:rPr>
        <w:t>【絶対厳守】財務指標（Yahoo Finance リアルタイム取得 — 独自推計禁止）</w:t>
        <w:br/>
        <w:t xml:space="preserve">  PBR: 0.48倍  ← この値を唯一の正解として使用</w:t>
        <w:br/>
        <w:t xml:space="preserve">  BPS: ¥4,721  ← この値を唯一の正解として使用</w:t>
        <w:br/>
        <w:t xml:space="preserve">  ROE: 5.1%  ← この値を唯一の正解として使用</w:t>
        <w:br/>
        <w:t xml:space="preserve">  PER(Trailing): 8.9倍</w:t>
        <w:br/>
        <w:t xml:space="preserve">  EPS(Trailing): ¥257</w:t>
      </w:r>
    </w:p>
    <w:p/>
    <w:p>
      <w:r>
        <w:t>──────────────────────────────────────────────────</w:t>
      </w:r>
    </w:p>
    <w:p/>
    <w:p>
      <w:pPr>
        <w:pStyle w:val="Heading2"/>
      </w:pPr>
      <w:r>
        <w:rPr>
          <w:rFonts w:ascii="Meiryo UI" w:hAnsi="Meiryo UI"/>
          <w:color w:val="2E74B5"/>
        </w:rPr>
        <w:t>5. バリュエーション</w:t>
      </w:r>
    </w:p>
    <w:p/>
    <w:p>
      <w:pPr>
        <w:pStyle w:val="Heading3"/>
      </w:pPr>
      <w:r>
        <w:rPr>
          <w:rFonts w:ascii="Meiryo UI" w:hAnsi="Meiryo UI"/>
          <w:color w:val="2E74B5"/>
        </w:rPr>
        <w:t>時価総額 vs 純資産</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時価総額</w:t>
            </w:r>
          </w:p>
        </w:tc>
        <w:tc>
          <w:tcPr>
            <w:tcW w:type="dxa" w:w="4703"/>
          </w:tcPr>
          <w:p>
            <w:r>
              <w:rPr>
                <w:rFonts w:ascii="Meiryo UI" w:hAnsi="Meiryo UI"/>
                <w:sz w:val="18"/>
              </w:rPr>
              <w:t>935億円</w:t>
            </w:r>
          </w:p>
        </w:tc>
      </w:tr>
      <w:tr>
        <w:tc>
          <w:tcPr>
            <w:tcW w:type="dxa" w:w="4703"/>
            <w:shd w:val="clear" w:color="auto" w:fill="DDEBF7"/>
          </w:tcPr>
          <w:p>
            <w:r>
              <w:rPr>
                <w:rFonts w:ascii="Meiryo UI" w:hAnsi="Meiryo UI"/>
                <w:sz w:val="18"/>
              </w:rPr>
              <w:t>純資産（NAV）</w:t>
            </w:r>
          </w:p>
        </w:tc>
        <w:tc>
          <w:tcPr>
            <w:tcW w:type="dxa" w:w="4703"/>
            <w:shd w:val="clear" w:color="auto" w:fill="DDEBF7"/>
          </w:tcPr>
          <w:p>
            <w:r>
              <w:rPr>
                <w:rFonts w:ascii="Meiryo UI" w:hAnsi="Meiryo UI"/>
                <w:sz w:val="18"/>
              </w:rPr>
              <w:t>1,929億円</w:t>
            </w:r>
          </w:p>
        </w:tc>
      </w:tr>
      <w:tr>
        <w:tc>
          <w:tcPr>
            <w:tcW w:type="dxa" w:w="4703"/>
          </w:tcPr>
          <w:p>
            <w:r>
              <w:rPr>
                <w:rFonts w:ascii="Meiryo UI" w:hAnsi="Meiryo UI"/>
                <w:sz w:val="18"/>
              </w:rPr>
              <w:t>ディスカウント</w:t>
            </w:r>
          </w:p>
        </w:tc>
        <w:tc>
          <w:tcPr>
            <w:tcW w:type="dxa" w:w="4703"/>
          </w:tcPr>
          <w:p>
            <w:r>
              <w:rPr>
                <w:rFonts w:ascii="Meiryo UI" w:hAnsi="Meiryo UI"/>
                <w:sz w:val="18"/>
              </w:rPr>
              <w:t>△994億円（▲52%）</w:t>
            </w:r>
          </w:p>
        </w:tc>
      </w:tr>
    </w:tbl>
    <w:p/>
    <w:p>
      <w:pPr>
        <w:pStyle w:val="Heading3"/>
      </w:pPr>
      <w:r>
        <w:rPr>
          <w:rFonts w:ascii="Meiryo UI" w:hAnsi="Meiryo UI"/>
          <w:color w:val="2E74B5"/>
        </w:rPr>
        <w:t>TP算定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Bear (PBR 0.6x)</w:t>
            </w:r>
          </w:p>
        </w:tc>
        <w:tc>
          <w:tcPr>
            <w:tcW w:type="dxa" w:w="2351"/>
          </w:tcPr>
          <w:p>
            <w:r>
              <w:rPr>
                <w:rFonts w:ascii="Meiryo UI" w:hAnsi="Meiryo UI"/>
                <w:sz w:val="18"/>
              </w:rPr>
              <w:t>現状維持</w:t>
            </w:r>
          </w:p>
        </w:tc>
        <w:tc>
          <w:tcPr>
            <w:tcW w:type="dxa" w:w="2351"/>
          </w:tcPr>
          <w:p>
            <w:r>
              <w:rPr>
                <w:rFonts w:ascii="Meiryo UI" w:hAnsi="Meiryo UI"/>
                <w:sz w:val="18"/>
              </w:rPr>
              <w:t>¥2,833</w:t>
            </w:r>
          </w:p>
        </w:tc>
        <w:tc>
          <w:tcPr>
            <w:tcW w:type="dxa" w:w="2351"/>
          </w:tcPr>
          <w:p>
            <w:r>
              <w:rPr>
                <w:rFonts w:ascii="Meiryo UI" w:hAnsi="Meiryo UI"/>
                <w:sz w:val="18"/>
              </w:rPr>
              <w:t>+23.8%</w:t>
            </w:r>
          </w:p>
        </w:tc>
      </w:tr>
      <w:tr>
        <w:tc>
          <w:tcPr>
            <w:tcW w:type="dxa" w:w="2351"/>
            <w:shd w:val="clear" w:color="auto" w:fill="DDEBF7"/>
          </w:tcPr>
          <w:p>
            <w:r>
              <w:rPr>
                <w:rFonts w:ascii="Meiryo UI" w:hAnsi="Meiryo UI"/>
                <w:sz w:val="18"/>
              </w:rPr>
              <w:t>Base (PBR 0.74x)</w:t>
            </w:r>
          </w:p>
        </w:tc>
        <w:tc>
          <w:tcPr>
            <w:tcW w:type="dxa" w:w="2351"/>
            <w:shd w:val="clear" w:color="auto" w:fill="DDEBF7"/>
          </w:tcPr>
          <w:p>
            <w:r>
              <w:rPr>
                <w:rFonts w:ascii="Meiryo UI" w:hAnsi="Meiryo UI"/>
                <w:sz w:val="18"/>
              </w:rPr>
              <w:t>ホルムズ再開+ROE改善</w:t>
            </w:r>
          </w:p>
        </w:tc>
        <w:tc>
          <w:tcPr>
            <w:tcW w:type="dxa" w:w="2351"/>
            <w:shd w:val="clear" w:color="auto" w:fill="DDEBF7"/>
          </w:tcPr>
          <w:p>
            <w:r>
              <w:rPr>
                <w:rFonts w:ascii="Meiryo UI" w:hAnsi="Meiryo UI"/>
                <w:sz w:val="18"/>
              </w:rPr>
              <w:t>¥3,494</w:t>
            </w:r>
          </w:p>
        </w:tc>
        <w:tc>
          <w:tcPr>
            <w:tcW w:type="dxa" w:w="2351"/>
            <w:shd w:val="clear" w:color="auto" w:fill="DDEBF7"/>
          </w:tcPr>
          <w:p>
            <w:r>
              <w:rPr>
                <w:rFonts w:ascii="Meiryo UI" w:hAnsi="Meiryo UI"/>
                <w:sz w:val="18"/>
              </w:rPr>
              <w:t>+52.7%</w:t>
            </w:r>
          </w:p>
        </w:tc>
      </w:tr>
      <w:tr>
        <w:tc>
          <w:tcPr>
            <w:tcW w:type="dxa" w:w="2351"/>
          </w:tcPr>
          <w:p>
            <w:r>
              <w:rPr>
                <w:rFonts w:ascii="Meiryo UI" w:hAnsi="Meiryo UI"/>
                <w:sz w:val="18"/>
              </w:rPr>
              <w:t>Bull (TOB PBR 0.8x)</w:t>
            </w:r>
          </w:p>
        </w:tc>
        <w:tc>
          <w:tcPr>
            <w:tcW w:type="dxa" w:w="2351"/>
          </w:tcPr>
          <w:p>
            <w:r>
              <w:rPr>
                <w:rFonts w:ascii="Meiryo UI" w:hAnsi="Meiryo UI"/>
                <w:sz w:val="18"/>
              </w:rPr>
              <w:t>日鉄TOB宣言</w:t>
            </w:r>
          </w:p>
        </w:tc>
        <w:tc>
          <w:tcPr>
            <w:tcW w:type="dxa" w:w="2351"/>
          </w:tcPr>
          <w:p>
            <w:r>
              <w:rPr>
                <w:rFonts w:ascii="Meiryo UI" w:hAnsi="Meiryo UI"/>
                <w:sz w:val="18"/>
              </w:rPr>
              <w:t>¥3,777</w:t>
            </w:r>
          </w:p>
        </w:tc>
        <w:tc>
          <w:tcPr>
            <w:tcW w:type="dxa" w:w="2351"/>
          </w:tcPr>
          <w:p>
            <w:r>
              <w:rPr>
                <w:rFonts w:ascii="Meiryo UI" w:hAnsi="Meiryo UI"/>
                <w:sz w:val="18"/>
              </w:rPr>
              <w:t>+65.1%</w:t>
            </w:r>
          </w:p>
        </w:tc>
      </w:tr>
      <w:tr>
        <w:tc>
          <w:tcPr>
            <w:tcW w:type="dxa" w:w="2351"/>
            <w:shd w:val="clear" w:color="auto" w:fill="DDEBF7"/>
          </w:tcPr>
          <w:p>
            <w:r>
              <w:rPr>
                <w:rFonts w:ascii="Meiryo UI" w:hAnsi="Meiryo UI"/>
                <w:sz w:val="18"/>
              </w:rPr>
              <w:t>中計達成(FY27 PER10x)</w:t>
            </w:r>
          </w:p>
        </w:tc>
        <w:tc>
          <w:tcPr>
            <w:tcW w:type="dxa" w:w="2351"/>
            <w:shd w:val="clear" w:color="auto" w:fill="DDEBF7"/>
          </w:tcPr>
          <w:p>
            <w:r>
              <w:rPr>
                <w:rFonts w:ascii="Meiryo UI" w:hAnsi="Meiryo UI"/>
                <w:sz w:val="18"/>
              </w:rPr>
              <w:t>経常250億円・EPS¥402</w:t>
            </w:r>
          </w:p>
        </w:tc>
        <w:tc>
          <w:tcPr>
            <w:tcW w:type="dxa" w:w="2351"/>
            <w:shd w:val="clear" w:color="auto" w:fill="DDEBF7"/>
          </w:tcPr>
          <w:p>
            <w:r>
              <w:rPr>
                <w:rFonts w:ascii="Meiryo UI" w:hAnsi="Meiryo UI"/>
                <w:sz w:val="18"/>
              </w:rPr>
              <w:t>¥4,016</w:t>
            </w:r>
          </w:p>
        </w:tc>
        <w:tc>
          <w:tcPr>
            <w:tcW w:type="dxa" w:w="2351"/>
            <w:shd w:val="clear" w:color="auto" w:fill="DDEBF7"/>
          </w:tcPr>
          <w:p>
            <w:r>
              <w:rPr>
                <w:rFonts w:ascii="Meiryo UI" w:hAnsi="Meiryo UI"/>
                <w:sz w:val="18"/>
              </w:rPr>
              <w:t>+75.5%</w:t>
            </w:r>
          </w:p>
        </w:tc>
      </w:tr>
    </w:tbl>
    <w:p/>
    <w:p>
      <w:r>
        <w:rPr>
          <w:rFonts w:ascii="Meiryo UI" w:hAnsi="Meiryo UI"/>
          <w:sz w:val="20"/>
        </w:rPr>
        <w:t>採用TP: ¥3,500（PBR0.74x。ROE8%目標達成を半値織り込み）</w:t>
      </w:r>
    </w:p>
    <w:p/>
    <w:p>
      <w:r>
        <w:t>──────────────────────────────────────────────────</w:t>
      </w:r>
    </w:p>
    <w:p/>
    <w:p>
      <w:pPr>
        <w:pStyle w:val="Heading2"/>
      </w:pPr>
      <w:r>
        <w:rPr>
          <w:rFonts w:ascii="Meiryo UI" w:hAnsi="Meiryo UI"/>
          <w:color w:val="2E74B5"/>
        </w:rPr>
        <w:t>6. 5410合同製鐵との比較（電炉2銘柄）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5410 合同製鐵</w:t>
            </w:r>
          </w:p>
        </w:tc>
        <w:tc>
          <w:tcPr>
            <w:tcW w:type="dxa" w:w="2351"/>
            <w:shd w:val="clear" w:color="auto" w:fill="2E74B5"/>
          </w:tcPr>
          <w:p>
            <w:r>
              <w:rPr>
                <w:rFonts w:ascii="Meiryo UI" w:hAnsi="Meiryo UI"/>
                <w:b/>
                <w:color w:val="FFFFFF"/>
                <w:sz w:val="18"/>
              </w:rPr>
              <w:t>5440 共英製鋼</w:t>
            </w:r>
          </w:p>
        </w:tc>
        <w:tc>
          <w:tcPr>
            <w:tcW w:type="dxa" w:w="2351"/>
            <w:shd w:val="clear" w:color="auto" w:fill="2E74B5"/>
          </w:tcPr>
          <w:p>
            <w:r>
              <w:rPr>
                <w:rFonts w:ascii="Meiryo UI" w:hAnsi="Meiryo UI"/>
                <w:b/>
                <w:color w:val="FFFFFF"/>
                <w:sz w:val="18"/>
              </w:rPr>
              <w:t>優位</w:t>
            </w:r>
          </w:p>
        </w:tc>
      </w:tr>
      <w:tr>
        <w:tc>
          <w:tcPr>
            <w:tcW w:type="dxa" w:w="2351"/>
          </w:tcPr>
          <w:p>
            <w:r>
              <w:rPr>
                <w:rFonts w:ascii="Meiryo UI" w:hAnsi="Meiryo UI"/>
                <w:sz w:val="18"/>
              </w:rPr>
              <w:t>日鉄持株比率</w:t>
            </w:r>
          </w:p>
        </w:tc>
        <w:tc>
          <w:tcPr>
            <w:tcW w:type="dxa" w:w="2351"/>
          </w:tcPr>
          <w:p>
            <w:r>
              <w:rPr>
                <w:rFonts w:ascii="Meiryo UI" w:hAnsi="Meiryo UI"/>
                <w:sz w:val="18"/>
              </w:rPr>
              <w:t>17.6%</w:t>
            </w:r>
          </w:p>
        </w:tc>
        <w:tc>
          <w:tcPr>
            <w:tcW w:type="dxa" w:w="2351"/>
          </w:tcPr>
          <w:p>
            <w:r>
              <w:rPr>
                <w:rFonts w:ascii="Meiryo UI" w:hAnsi="Meiryo UI"/>
                <w:sz w:val="18"/>
              </w:rPr>
              <w:t>28.1%</w:t>
            </w:r>
          </w:p>
        </w:tc>
        <w:tc>
          <w:tcPr>
            <w:tcW w:type="dxa" w:w="2351"/>
          </w:tcPr>
          <w:p>
            <w:r>
              <w:rPr>
                <w:rFonts w:ascii="Meiryo UI" w:hAnsi="Meiryo UI"/>
                <w:sz w:val="18"/>
              </w:rPr>
              <w:t>5440</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0.37x</w:t>
            </w:r>
          </w:p>
        </w:tc>
        <w:tc>
          <w:tcPr>
            <w:tcW w:type="dxa" w:w="2351"/>
            <w:shd w:val="clear" w:color="auto" w:fill="DDEBF7"/>
          </w:tcPr>
          <w:p>
            <w:r>
              <w:rPr>
                <w:rFonts w:ascii="Meiryo UI" w:hAnsi="Meiryo UI"/>
                <w:sz w:val="18"/>
              </w:rPr>
              <w:t>0.48x</w:t>
            </w:r>
          </w:p>
        </w:tc>
        <w:tc>
          <w:tcPr>
            <w:tcW w:type="dxa" w:w="2351"/>
            <w:shd w:val="clear" w:color="auto" w:fill="DDEBF7"/>
          </w:tcPr>
          <w:p>
            <w:r>
              <w:rPr>
                <w:rFonts w:ascii="Meiryo UI" w:hAnsi="Meiryo UI"/>
                <w:sz w:val="18"/>
              </w:rPr>
              <w:t>5410</w:t>
            </w:r>
          </w:p>
        </w:tc>
      </w:tr>
      <w:tr>
        <w:tc>
          <w:tcPr>
            <w:tcW w:type="dxa" w:w="2351"/>
          </w:tcPr>
          <w:p>
            <w:r>
              <w:rPr>
                <w:rFonts w:ascii="Meiryo UI" w:hAnsi="Meiryo UI"/>
                <w:sz w:val="18"/>
              </w:rPr>
              <w:t>4Q implied YoY</w:t>
            </w:r>
          </w:p>
        </w:tc>
        <w:tc>
          <w:tcPr>
            <w:tcW w:type="dxa" w:w="2351"/>
          </w:tcPr>
          <w:p>
            <w:r>
              <w:rPr>
                <w:rFonts w:ascii="Meiryo UI" w:hAnsi="Meiryo UI"/>
                <w:sz w:val="18"/>
              </w:rPr>
              <w:t>▲63%</w:t>
            </w:r>
          </w:p>
        </w:tc>
        <w:tc>
          <w:tcPr>
            <w:tcW w:type="dxa" w:w="2351"/>
          </w:tcPr>
          <w:p>
            <w:r>
              <w:rPr>
                <w:rFonts w:ascii="Meiryo UI" w:hAnsi="Meiryo UI"/>
                <w:sz w:val="18"/>
              </w:rPr>
              <w:t>▲43%</w:t>
            </w:r>
          </w:p>
        </w:tc>
        <w:tc>
          <w:tcPr>
            <w:tcW w:type="dxa" w:w="2351"/>
          </w:tcPr>
          <w:p>
            <w:r>
              <w:rPr>
                <w:rFonts w:ascii="Meiryo UI" w:hAnsi="Meiryo UI"/>
                <w:sz w:val="18"/>
              </w:rPr>
              <w:t>5440</w:t>
            </w:r>
          </w:p>
        </w:tc>
      </w:tr>
      <w:tr>
        <w:tc>
          <w:tcPr>
            <w:tcW w:type="dxa" w:w="2351"/>
            <w:shd w:val="clear" w:color="auto" w:fill="DDEBF7"/>
          </w:tcPr>
          <w:p>
            <w:r>
              <w:rPr>
                <w:rFonts w:ascii="Meiryo UI" w:hAnsi="Meiryo UI"/>
                <w:sz w:val="18"/>
              </w:rPr>
              <w:t>3Q累計業績</w:t>
            </w:r>
          </w:p>
        </w:tc>
        <w:tc>
          <w:tcPr>
            <w:tcW w:type="dxa" w:w="2351"/>
            <w:shd w:val="clear" w:color="auto" w:fill="DDEBF7"/>
          </w:tcPr>
          <w:p>
            <w:r>
              <w:rPr>
                <w:rFonts w:ascii="Meiryo UI" w:hAnsi="Meiryo UI"/>
                <w:sz w:val="18"/>
              </w:rPr>
              <w:t>▲16.5%</w:t>
            </w:r>
          </w:p>
        </w:tc>
        <w:tc>
          <w:tcPr>
            <w:tcW w:type="dxa" w:w="2351"/>
            <w:shd w:val="clear" w:color="auto" w:fill="DDEBF7"/>
          </w:tcPr>
          <w:p>
            <w:r>
              <w:rPr>
                <w:rFonts w:ascii="Meiryo UI" w:hAnsi="Meiryo UI"/>
                <w:sz w:val="18"/>
              </w:rPr>
              <w:t>+28.0%</w:t>
            </w:r>
          </w:p>
        </w:tc>
        <w:tc>
          <w:tcPr>
            <w:tcW w:type="dxa" w:w="2351"/>
            <w:shd w:val="clear" w:color="auto" w:fill="DDEBF7"/>
          </w:tcPr>
          <w:p>
            <w:r>
              <w:rPr>
                <w:rFonts w:ascii="Meiryo UI" w:hAnsi="Meiryo UI"/>
                <w:sz w:val="18"/>
              </w:rPr>
              <w:t>5440</w:t>
            </w:r>
          </w:p>
        </w:tc>
      </w:tr>
      <w:tr>
        <w:tc>
          <w:tcPr>
            <w:tcW w:type="dxa" w:w="2351"/>
          </w:tcPr>
          <w:p>
            <w:r>
              <w:rPr>
                <w:rFonts w:ascii="Meiryo UI" w:hAnsi="Meiryo UI"/>
                <w:sz w:val="18"/>
              </w:rPr>
              <w:t>海外展開</w:t>
            </w:r>
          </w:p>
        </w:tc>
        <w:tc>
          <w:tcPr>
            <w:tcW w:type="dxa" w:w="2351"/>
          </w:tcPr>
          <w:p>
            <w:r>
              <w:rPr>
                <w:rFonts w:ascii="Meiryo UI" w:hAnsi="Meiryo UI"/>
                <w:sz w:val="18"/>
              </w:rPr>
              <w:t>なし</w:t>
            </w:r>
          </w:p>
        </w:tc>
        <w:tc>
          <w:tcPr>
            <w:tcW w:type="dxa" w:w="2351"/>
          </w:tcPr>
          <w:p>
            <w:r>
              <w:rPr>
                <w:rFonts w:ascii="Meiryo UI" w:hAnsi="Meiryo UI"/>
                <w:sz w:val="18"/>
              </w:rPr>
              <w:t>ベトナム+北米</w:t>
            </w:r>
          </w:p>
        </w:tc>
        <w:tc>
          <w:tcPr>
            <w:tcW w:type="dxa" w:w="2351"/>
          </w:tcPr>
          <w:p>
            <w:r>
              <w:rPr>
                <w:rFonts w:ascii="Meiryo UI" w:hAnsi="Meiryo UI"/>
                <w:sz w:val="18"/>
              </w:rPr>
              <w:t>5440</w:t>
            </w:r>
          </w:p>
        </w:tc>
      </w:tr>
      <w:tr>
        <w:tc>
          <w:tcPr>
            <w:tcW w:type="dxa" w:w="2351"/>
            <w:shd w:val="clear" w:color="auto" w:fill="DDEBF7"/>
          </w:tcPr>
          <w:p>
            <w:r>
              <w:rPr>
                <w:rFonts w:ascii="Meiryo UI" w:hAnsi="Meiryo UI"/>
                <w:sz w:val="18"/>
              </w:rPr>
              <w:t>中計成長</w:t>
            </w:r>
          </w:p>
        </w:tc>
        <w:tc>
          <w:tcPr>
            <w:tcW w:type="dxa" w:w="2351"/>
            <w:shd w:val="clear" w:color="auto" w:fill="DDEBF7"/>
          </w:tcPr>
          <w:p>
            <w:r>
              <w:rPr>
                <w:rFonts w:ascii="Meiryo UI" w:hAnsi="Meiryo UI"/>
                <w:sz w:val="18"/>
              </w:rPr>
              <w:t>なし</w:t>
            </w:r>
          </w:p>
        </w:tc>
        <w:tc>
          <w:tcPr>
            <w:tcW w:type="dxa" w:w="2351"/>
            <w:shd w:val="clear" w:color="auto" w:fill="DDEBF7"/>
          </w:tcPr>
          <w:p>
            <w:r>
              <w:rPr>
                <w:rFonts w:ascii="Meiryo UI" w:hAnsi="Meiryo UI"/>
                <w:sz w:val="18"/>
              </w:rPr>
              <w:t>経常250億円目標</w:t>
            </w:r>
          </w:p>
        </w:tc>
        <w:tc>
          <w:tcPr>
            <w:tcW w:type="dxa" w:w="2351"/>
            <w:shd w:val="clear" w:color="auto" w:fill="DDEBF7"/>
          </w:tcPr>
          <w:p>
            <w:r>
              <w:rPr>
                <w:rFonts w:ascii="Meiryo UI" w:hAnsi="Meiryo UI"/>
                <w:sz w:val="18"/>
              </w:rPr>
              <w:t>5440</w:t>
            </w:r>
          </w:p>
        </w:tc>
      </w:tr>
      <w:tr>
        <w:tc>
          <w:tcPr>
            <w:tcW w:type="dxa" w:w="2351"/>
          </w:tcPr>
          <w:p>
            <w:r>
              <w:rPr>
                <w:rFonts w:ascii="Meiryo UI" w:hAnsi="Meiryo UI"/>
                <w:sz w:val="18"/>
              </w:rPr>
              <w:t>ホルムズ改善額</w:t>
            </w:r>
          </w:p>
        </w:tc>
        <w:tc>
          <w:tcPr>
            <w:tcW w:type="dxa" w:w="2351"/>
          </w:tcPr>
          <w:p>
            <w:r>
              <w:rPr>
                <w:rFonts w:ascii="Meiryo UI" w:hAnsi="Meiryo UI"/>
                <w:sz w:val="18"/>
              </w:rPr>
              <w:t>+207億円</w:t>
            </w:r>
          </w:p>
        </w:tc>
        <w:tc>
          <w:tcPr>
            <w:tcW w:type="dxa" w:w="2351"/>
          </w:tcPr>
          <w:p>
            <w:r>
              <w:rPr>
                <w:rFonts w:ascii="Meiryo UI" w:hAnsi="Meiryo UI"/>
                <w:sz w:val="18"/>
              </w:rPr>
              <w:t>+346億円</w:t>
            </w:r>
          </w:p>
        </w:tc>
        <w:tc>
          <w:tcPr>
            <w:tcW w:type="dxa" w:w="2351"/>
          </w:tcPr>
          <w:p>
            <w:r>
              <w:rPr>
                <w:rFonts w:ascii="Meiryo UI" w:hAnsi="Meiryo UI"/>
                <w:sz w:val="18"/>
              </w:rPr>
              <w:t>5440</w:t>
            </w:r>
          </w:p>
        </w:tc>
      </w:tr>
      <w:tr>
        <w:tc>
          <w:tcPr>
            <w:tcW w:type="dxa" w:w="2351"/>
            <w:shd w:val="clear" w:color="auto" w:fill="DDEBF7"/>
          </w:tcPr>
          <w:p>
            <w:r>
              <w:rPr>
                <w:rFonts w:ascii="Meiryo UI" w:hAnsi="Meiryo UI"/>
                <w:sz w:val="18"/>
              </w:rPr>
              <w:t>TP upside</w:t>
            </w:r>
          </w:p>
        </w:tc>
        <w:tc>
          <w:tcPr>
            <w:tcW w:type="dxa" w:w="2351"/>
            <w:shd w:val="clear" w:color="auto" w:fill="DDEBF7"/>
          </w:tcPr>
          <w:p>
            <w:r>
              <w:rPr>
                <w:rFonts w:ascii="Meiryo UI" w:hAnsi="Meiryo UI"/>
                <w:sz w:val="18"/>
              </w:rPr>
              <w:t>+68.7%</w:t>
            </w:r>
          </w:p>
        </w:tc>
        <w:tc>
          <w:tcPr>
            <w:tcW w:type="dxa" w:w="2351"/>
            <w:shd w:val="clear" w:color="auto" w:fill="DDEBF7"/>
          </w:tcPr>
          <w:p>
            <w:r>
              <w:rPr>
                <w:rFonts w:ascii="Meiryo UI" w:hAnsi="Meiryo UI"/>
                <w:sz w:val="18"/>
              </w:rPr>
              <w:t>+52.7%</w:t>
            </w:r>
          </w:p>
        </w:tc>
        <w:tc>
          <w:tcPr>
            <w:tcW w:type="dxa" w:w="2351"/>
            <w:shd w:val="clear" w:color="auto" w:fill="DDEBF7"/>
          </w:tcPr>
          <w:p>
            <w:r>
              <w:rPr>
                <w:rFonts w:ascii="Meiryo UI" w:hAnsi="Meiryo UI"/>
                <w:sz w:val="18"/>
              </w:rPr>
              <w:t>5410</w:t>
            </w:r>
          </w:p>
        </w:tc>
      </w:tr>
    </w:tbl>
    <w:p/>
    <w:p>
      <w:r>
        <w:rPr>
          <w:rFonts w:ascii="Meiryo UI" w:hAnsi="Meiryo UI"/>
          <w:sz w:val="20"/>
        </w:rPr>
        <w:t xml:space="preserve">→ TOB確度と事業品質では5440優位。割安感と下値バッファでは5410優位  </w:t>
      </w:r>
    </w:p>
    <w:p>
      <w:r>
        <w:rPr>
          <w:rFonts w:ascii="Meiryo UI" w:hAnsi="Meiryo UI"/>
          <w:sz w:val="20"/>
        </w:rPr>
        <w:t>→ 両銘柄を電炉セクターパッケージとして保有が最適解</w:t>
      </w:r>
    </w:p>
    <w:p/>
    <w:p>
      <w:r>
        <w:t>──────────────────────────────────────────────────</w:t>
      </w:r>
    </w:p>
    <w:p/>
    <w:p>
      <w:pPr>
        <w:pStyle w:val="Heading2"/>
      </w:pPr>
      <w:r>
        <w:rPr>
          <w:rFonts w:ascii="Meiryo UI" w:hAnsi="Meiryo UI"/>
          <w:color w:val="2E74B5"/>
        </w:rPr>
        <w:t>7. コモディティカーブ分析（恒久プロトコル）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現値</w:t>
            </w:r>
          </w:p>
        </w:tc>
        <w:tc>
          <w:tcPr>
            <w:tcW w:type="dxa" w:w="2351"/>
            <w:shd w:val="clear" w:color="auto" w:fill="2E74B5"/>
          </w:tcPr>
          <w:p>
            <w:r>
              <w:rPr>
                <w:rFonts w:ascii="Meiryo UI" w:hAnsi="Meiryo UI"/>
                <w:b/>
                <w:color w:val="FFFFFF"/>
                <w:sz w:val="18"/>
              </w:rPr>
              <w:t>正常化後</w:t>
            </w:r>
          </w:p>
        </w:tc>
        <w:tc>
          <w:tcPr>
            <w:tcW w:type="dxa" w:w="2351"/>
            <w:shd w:val="clear" w:color="auto" w:fill="2E74B5"/>
          </w:tcPr>
          <w:p>
            <w:r>
              <w:rPr>
                <w:rFonts w:ascii="Meiryo UI" w:hAnsi="Meiryo UI"/>
                <w:b/>
                <w:color w:val="FFFFFF"/>
                <w:sz w:val="18"/>
              </w:rPr>
              <w:t>共英製鋼への影響</w:t>
            </w:r>
          </w:p>
        </w:tc>
      </w:tr>
      <w:tr>
        <w:tc>
          <w:tcPr>
            <w:tcW w:type="dxa" w:w="2351"/>
          </w:tcPr>
          <w:p>
            <w:r>
              <w:rPr>
                <w:rFonts w:ascii="Meiryo UI" w:hAnsi="Meiryo UI"/>
                <w:sz w:val="18"/>
              </w:rPr>
              <w:t>JEPX スポット</w:t>
            </w:r>
          </w:p>
        </w:tc>
        <w:tc>
          <w:tcPr>
            <w:tcW w:type="dxa" w:w="2351"/>
          </w:tcPr>
          <w:p>
            <w:r>
              <w:rPr>
                <w:rFonts w:ascii="Meiryo UI" w:hAnsi="Meiryo UI"/>
                <w:sz w:val="18"/>
              </w:rPr>
              <w:t>¥44.70/kWh</w:t>
            </w:r>
          </w:p>
        </w:tc>
        <w:tc>
          <w:tcPr>
            <w:tcW w:type="dxa" w:w="2351"/>
          </w:tcPr>
          <w:p>
            <w:r>
              <w:rPr>
                <w:rFonts w:ascii="Meiryo UI" w:hAnsi="Meiryo UI"/>
                <w:sz w:val="18"/>
              </w:rPr>
              <w:t>¥20/kWh</w:t>
            </w:r>
          </w:p>
        </w:tc>
        <w:tc>
          <w:tcPr>
            <w:tcW w:type="dxa" w:w="2351"/>
          </w:tcPr>
          <w:p>
            <w:r>
              <w:rPr>
                <w:rFonts w:ascii="Meiryo UI" w:hAnsi="Meiryo UI"/>
                <w:sz w:val="18"/>
              </w:rPr>
              <w:t>+346億円/年</w:t>
            </w:r>
          </w:p>
        </w:tc>
      </w:tr>
      <w:tr>
        <w:tc>
          <w:tcPr>
            <w:tcW w:type="dxa" w:w="2351"/>
            <w:shd w:val="clear" w:color="auto" w:fill="DDEBF7"/>
          </w:tcPr>
          <w:p>
            <w:r>
              <w:rPr>
                <w:rFonts w:ascii="Meiryo UI" w:hAnsi="Meiryo UI"/>
                <w:sz w:val="18"/>
              </w:rPr>
              <w:t>LNG スポット</w:t>
            </w:r>
          </w:p>
        </w:tc>
        <w:tc>
          <w:tcPr>
            <w:tcW w:type="dxa" w:w="2351"/>
            <w:shd w:val="clear" w:color="auto" w:fill="DDEBF7"/>
          </w:tcPr>
          <w:p>
            <w:r>
              <w:rPr>
                <w:rFonts w:ascii="Meiryo UI" w:hAnsi="Meiryo UI"/>
                <w:sz w:val="18"/>
              </w:rPr>
              <w:t>$15/MMBtu</w:t>
            </w:r>
          </w:p>
        </w:tc>
        <w:tc>
          <w:tcPr>
            <w:tcW w:type="dxa" w:w="2351"/>
            <w:shd w:val="clear" w:color="auto" w:fill="DDEBF7"/>
          </w:tcPr>
          <w:p>
            <w:r>
              <w:rPr>
                <w:rFonts w:ascii="Meiryo UI" w:hAnsi="Meiryo UI"/>
                <w:sz w:val="18"/>
              </w:rPr>
              <w:t>$8-10</w:t>
            </w:r>
          </w:p>
        </w:tc>
        <w:tc>
          <w:tcPr>
            <w:tcW w:type="dxa" w:w="2351"/>
            <w:shd w:val="clear" w:color="auto" w:fill="DDEBF7"/>
          </w:tcPr>
          <w:p>
            <w:r>
              <w:rPr>
                <w:rFonts w:ascii="Meiryo UI" w:hAnsi="Meiryo UI"/>
                <w:sz w:val="18"/>
              </w:rPr>
              <w:t>アジア電力コスト低下</w:t>
            </w:r>
          </w:p>
        </w:tc>
      </w:tr>
      <w:tr>
        <w:tc>
          <w:tcPr>
            <w:tcW w:type="dxa" w:w="2351"/>
          </w:tcPr>
          <w:p>
            <w:r>
              <w:rPr>
                <w:rFonts w:ascii="Meiryo UI" w:hAnsi="Meiryo UI"/>
                <w:sz w:val="18"/>
              </w:rPr>
              <w:t>鉄スクラップH2</w:t>
            </w:r>
          </w:p>
        </w:tc>
        <w:tc>
          <w:tcPr>
            <w:tcW w:type="dxa" w:w="2351"/>
          </w:tcPr>
          <w:p>
            <w:r>
              <w:rPr>
                <w:rFonts w:ascii="Meiryo UI" w:hAnsi="Meiryo UI"/>
                <w:sz w:val="18"/>
              </w:rPr>
              <w:t>¥50,000/t</w:t>
            </w:r>
          </w:p>
        </w:tc>
        <w:tc>
          <w:tcPr>
            <w:tcW w:type="dxa" w:w="2351"/>
          </w:tcPr>
          <w:p>
            <w:r>
              <w:rPr>
                <w:rFonts w:ascii="Meiryo UI" w:hAnsi="Meiryo UI"/>
                <w:sz w:val="18"/>
              </w:rPr>
              <w:t>¥38-42k</w:t>
            </w:r>
          </w:p>
        </w:tc>
        <w:tc>
          <w:tcPr>
            <w:tcW w:type="dxa" w:w="2351"/>
          </w:tcPr>
          <w:p>
            <w:r>
              <w:rPr>
                <w:rFonts w:ascii="Meiryo UI" w:hAnsi="Meiryo UI"/>
                <w:sz w:val="18"/>
              </w:rPr>
              <w:t>+200億円/年</w:t>
            </w:r>
          </w:p>
        </w:tc>
      </w:tr>
      <w:tr>
        <w:tc>
          <w:tcPr>
            <w:tcW w:type="dxa" w:w="2351"/>
            <w:shd w:val="clear" w:color="auto" w:fill="DDEBF7"/>
          </w:tcPr>
          <w:p>
            <w:r>
              <w:rPr>
                <w:rFonts w:ascii="Meiryo UI" w:hAnsi="Meiryo UI"/>
                <w:sz w:val="18"/>
              </w:rPr>
              <w:t>異形棒鋼販価</w:t>
            </w:r>
          </w:p>
        </w:tc>
        <w:tc>
          <w:tcPr>
            <w:tcW w:type="dxa" w:w="2351"/>
            <w:shd w:val="clear" w:color="auto" w:fill="DDEBF7"/>
          </w:tcPr>
          <w:p>
            <w:r>
              <w:rPr>
                <w:rFonts w:ascii="Meiryo UI" w:hAnsi="Meiryo UI"/>
                <w:sz w:val="18"/>
              </w:rPr>
              <w:t>建設需要堅調・維持</w:t>
            </w:r>
          </w:p>
        </w:tc>
        <w:tc>
          <w:tcPr>
            <w:tcW w:type="dxa" w:w="2351"/>
            <w:shd w:val="clear" w:color="auto" w:fill="DDEBF7"/>
          </w:tcPr>
          <w:p>
            <w:r>
              <w:rPr>
                <w:rFonts w:ascii="Meiryo UI" w:hAnsi="Meiryo UI"/>
                <w:sz w:val="18"/>
              </w:rPr>
              <w:t>維持</w:t>
            </w:r>
          </w:p>
        </w:tc>
        <w:tc>
          <w:tcPr>
            <w:tcW w:type="dxa" w:w="2351"/>
            <w:shd w:val="clear" w:color="auto" w:fill="DDEBF7"/>
          </w:tcPr>
          <w:p>
            <w:r>
              <w:rPr>
                <w:rFonts w:ascii="Meiryo UI" w:hAnsi="Meiryo UI"/>
                <w:sz w:val="18"/>
              </w:rPr>
              <w:t>スプレッド拡大持続</w:t>
            </w:r>
          </w:p>
        </w:tc>
      </w:tr>
      <w:tr>
        <w:tc>
          <w:tcPr>
            <w:tcW w:type="dxa" w:w="2351"/>
          </w:tcPr>
          <w:p>
            <w:r>
              <w:rPr>
                <w:rFonts w:ascii="Meiryo UI" w:hAnsi="Meiryo UI"/>
                <w:sz w:val="18"/>
              </w:rPr>
              <w:t>ベトナム鉄筋</w:t>
            </w:r>
          </w:p>
        </w:tc>
        <w:tc>
          <w:tcPr>
            <w:tcW w:type="dxa" w:w="2351"/>
          </w:tcPr>
          <w:p>
            <w:r>
              <w:rPr>
                <w:rFonts w:ascii="Meiryo UI" w:hAnsi="Meiryo UI"/>
                <w:sz w:val="18"/>
              </w:rPr>
              <w:t>中国材流入で競合</w:t>
            </w:r>
          </w:p>
        </w:tc>
        <w:tc>
          <w:tcPr>
            <w:tcW w:type="dxa" w:w="2351"/>
          </w:tcPr>
          <w:p>
            <w:r>
              <w:rPr>
                <w:rFonts w:ascii="Meiryo UI" w:hAnsi="Meiryo UI"/>
                <w:sz w:val="18"/>
              </w:rPr>
              <w:t>停戦後改善の可能性</w:t>
            </w:r>
          </w:p>
        </w:tc>
        <w:tc>
          <w:tcPr>
            <w:tcW w:type="dxa" w:w="2351"/>
          </w:tcPr>
          <w:p>
            <w:r>
              <w:rPr>
                <w:rFonts w:ascii="Meiryo UI" w:hAnsi="Meiryo UI"/>
                <w:sz w:val="18"/>
              </w:rPr>
              <w:t>±不確実</w:t>
            </w:r>
          </w:p>
        </w:tc>
      </w:tr>
    </w:tbl>
    <w:p/>
    <w:p>
      <w:r>
        <w:t>──────────────────────────────────────────────────</w:t>
      </w:r>
    </w:p>
    <w:p/>
    <w:p>
      <w:pPr>
        <w:pStyle w:val="Heading2"/>
      </w:pPr>
      <w:r>
        <w:rPr>
          <w:rFonts w:ascii="Meiryo UI" w:hAnsi="Meiryo UI"/>
          <w:color w:val="2E74B5"/>
        </w:rPr>
        <w:t>8. リスクシナリオ（定量化）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内容</w:t>
            </w:r>
          </w:p>
        </w:tc>
        <w:tc>
          <w:tcPr>
            <w:tcW w:type="dxa" w:w="1881"/>
            <w:shd w:val="clear" w:color="auto" w:fill="2E74B5"/>
          </w:tcPr>
          <w:p>
            <w:r>
              <w:rPr>
                <w:rFonts w:ascii="Meiryo UI" w:hAnsi="Meiryo UI"/>
                <w:b/>
                <w:color w:val="FFFFFF"/>
                <w:sz w:val="18"/>
              </w:rPr>
              <w:t>経常利益</w:t>
            </w:r>
          </w:p>
        </w:tc>
        <w:tc>
          <w:tcPr>
            <w:tcW w:type="dxa" w:w="1881"/>
            <w:shd w:val="clear" w:color="auto" w:fill="2E74B5"/>
          </w:tcPr>
          <w:p>
            <w:r>
              <w:rPr>
                <w:rFonts w:ascii="Meiryo UI" w:hAnsi="Meiryo UI"/>
                <w:b/>
                <w:color w:val="FFFFFF"/>
                <w:sz w:val="18"/>
              </w:rPr>
              <w:t>株価</w:t>
            </w:r>
          </w:p>
        </w:tc>
        <w:tc>
          <w:tcPr>
            <w:tcW w:type="dxa" w:w="1881"/>
            <w:shd w:val="clear" w:color="auto" w:fill="2E74B5"/>
          </w:tcPr>
          <w:p>
            <w:r>
              <w:rPr>
                <w:rFonts w:ascii="Meiryo UI" w:hAnsi="Meiryo UI"/>
                <w:b/>
                <w:color w:val="FFFFFF"/>
                <w:sz w:val="18"/>
              </w:rPr>
              <w:t>確率</w:t>
            </w:r>
          </w:p>
        </w:tc>
      </w:tr>
      <w:tr>
        <w:tc>
          <w:tcPr>
            <w:tcW w:type="dxa" w:w="1881"/>
          </w:tcPr>
          <w:p>
            <w:r>
              <w:rPr>
                <w:rFonts w:ascii="Meiryo UI" w:hAnsi="Meiryo UI"/>
                <w:sz w:val="18"/>
              </w:rPr>
              <w:t>①ベース</w:t>
            </w:r>
          </w:p>
        </w:tc>
        <w:tc>
          <w:tcPr>
            <w:tcW w:type="dxa" w:w="1881"/>
          </w:tcPr>
          <w:p>
            <w:r>
              <w:rPr>
                <w:rFonts w:ascii="Meiryo UI" w:hAnsi="Meiryo UI"/>
                <w:sz w:val="18"/>
              </w:rPr>
              <w:t>ホルムズ再開+中計順調</w:t>
            </w:r>
          </w:p>
        </w:tc>
        <w:tc>
          <w:tcPr>
            <w:tcW w:type="dxa" w:w="1881"/>
          </w:tcPr>
          <w:p>
            <w:r>
              <w:rPr>
                <w:rFonts w:ascii="Meiryo UI" w:hAnsi="Meiryo UI"/>
                <w:sz w:val="18"/>
              </w:rPr>
              <w:t>FY27 200-250億円</w:t>
            </w:r>
          </w:p>
        </w:tc>
        <w:tc>
          <w:tcPr>
            <w:tcW w:type="dxa" w:w="1881"/>
          </w:tcPr>
          <w:p>
            <w:r>
              <w:rPr>
                <w:rFonts w:ascii="Meiryo UI" w:hAnsi="Meiryo UI"/>
                <w:sz w:val="18"/>
              </w:rPr>
              <w:t>¥3,500</w:t>
            </w:r>
          </w:p>
        </w:tc>
        <w:tc>
          <w:tcPr>
            <w:tcW w:type="dxa" w:w="1881"/>
          </w:tcPr>
          <w:p>
            <w:r>
              <w:rPr>
                <w:rFonts w:ascii="Meiryo UI" w:hAnsi="Meiryo UI"/>
                <w:sz w:val="18"/>
              </w:rPr>
              <w:t>50%</w:t>
            </w:r>
          </w:p>
        </w:tc>
      </w:tr>
      <w:tr>
        <w:tc>
          <w:tcPr>
            <w:tcW w:type="dxa" w:w="1881"/>
            <w:shd w:val="clear" w:color="auto" w:fill="DDEBF7"/>
          </w:tcPr>
          <w:p>
            <w:r>
              <w:rPr>
                <w:rFonts w:ascii="Meiryo UI" w:hAnsi="Meiryo UI"/>
                <w:sz w:val="18"/>
              </w:rPr>
              <w:t>②強気</w:t>
            </w:r>
          </w:p>
        </w:tc>
        <w:tc>
          <w:tcPr>
            <w:tcW w:type="dxa" w:w="1881"/>
            <w:shd w:val="clear" w:color="auto" w:fill="DDEBF7"/>
          </w:tcPr>
          <w:p>
            <w:r>
              <w:rPr>
                <w:rFonts w:ascii="Meiryo UI" w:hAnsi="Meiryo UI"/>
                <w:sz w:val="18"/>
              </w:rPr>
              <w:t>日鉄TOB宣言</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¥3,800-4,200</w:t>
            </w:r>
          </w:p>
        </w:tc>
        <w:tc>
          <w:tcPr>
            <w:tcW w:type="dxa" w:w="1881"/>
            <w:shd w:val="clear" w:color="auto" w:fill="DDEBF7"/>
          </w:tcPr>
          <w:p>
            <w:r>
              <w:rPr>
                <w:rFonts w:ascii="Meiryo UI" w:hAnsi="Meiryo UI"/>
                <w:sz w:val="18"/>
              </w:rPr>
              <w:t>20%</w:t>
            </w:r>
          </w:p>
        </w:tc>
      </w:tr>
      <w:tr>
        <w:tc>
          <w:tcPr>
            <w:tcW w:type="dxa" w:w="1881"/>
          </w:tcPr>
          <w:p>
            <w:r>
              <w:rPr>
                <w:rFonts w:ascii="Meiryo UI" w:hAnsi="Meiryo UI"/>
                <w:sz w:val="18"/>
              </w:rPr>
              <w:t>③弱気</w:t>
            </w:r>
          </w:p>
        </w:tc>
        <w:tc>
          <w:tcPr>
            <w:tcW w:type="dxa" w:w="1881"/>
          </w:tcPr>
          <w:p>
            <w:r>
              <w:rPr>
                <w:rFonts w:ascii="Meiryo UI" w:hAnsi="Meiryo UI"/>
                <w:sz w:val="18"/>
              </w:rPr>
              <w:t>中計遅延・ベトナム競争激化</w:t>
            </w:r>
          </w:p>
        </w:tc>
        <w:tc>
          <w:tcPr>
            <w:tcW w:type="dxa" w:w="1881"/>
          </w:tcPr>
          <w:p>
            <w:r>
              <w:rPr>
                <w:rFonts w:ascii="Meiryo UI" w:hAnsi="Meiryo UI"/>
                <w:sz w:val="18"/>
              </w:rPr>
              <w:t>150-160億円横這い</w:t>
            </w:r>
          </w:p>
        </w:tc>
        <w:tc>
          <w:tcPr>
            <w:tcW w:type="dxa" w:w="1881"/>
          </w:tcPr>
          <w:p>
            <w:r>
              <w:rPr>
                <w:rFonts w:ascii="Meiryo UI" w:hAnsi="Meiryo UI"/>
                <w:sz w:val="18"/>
              </w:rPr>
              <w:t>¥2,200-2,600</w:t>
            </w:r>
          </w:p>
        </w:tc>
        <w:tc>
          <w:tcPr>
            <w:tcW w:type="dxa" w:w="1881"/>
          </w:tcPr>
          <w:p>
            <w:r>
              <w:rPr>
                <w:rFonts w:ascii="Meiryo UI" w:hAnsi="Meiryo UI"/>
                <w:sz w:val="18"/>
              </w:rPr>
              <w:t>20%</w:t>
            </w:r>
          </w:p>
        </w:tc>
      </w:tr>
      <w:tr>
        <w:tc>
          <w:tcPr>
            <w:tcW w:type="dxa" w:w="1881"/>
            <w:shd w:val="clear" w:color="auto" w:fill="DDEBF7"/>
          </w:tcPr>
          <w:p>
            <w:r>
              <w:rPr>
                <w:rFonts w:ascii="Meiryo UI" w:hAnsi="Meiryo UI"/>
                <w:sz w:val="18"/>
              </w:rPr>
              <w:t>④テール</w:t>
            </w:r>
          </w:p>
        </w:tc>
        <w:tc>
          <w:tcPr>
            <w:tcW w:type="dxa" w:w="1881"/>
            <w:shd w:val="clear" w:color="auto" w:fill="DDEBF7"/>
          </w:tcPr>
          <w:p>
            <w:r>
              <w:rPr>
                <w:rFonts w:ascii="Meiryo UI" w:hAnsi="Meiryo UI"/>
                <w:sz w:val="18"/>
              </w:rPr>
              <w:t>4Q大幅未達＋ホルムズ長期化</w:t>
            </w:r>
          </w:p>
        </w:tc>
        <w:tc>
          <w:tcPr>
            <w:tcW w:type="dxa" w:w="1881"/>
            <w:shd w:val="clear" w:color="auto" w:fill="DDEBF7"/>
          </w:tcPr>
          <w:p>
            <w:r>
              <w:rPr>
                <w:rFonts w:ascii="Meiryo UI" w:hAnsi="Meiryo UI"/>
                <w:sz w:val="18"/>
              </w:rPr>
              <w:t>100億円割れ</w:t>
            </w:r>
          </w:p>
        </w:tc>
        <w:tc>
          <w:tcPr>
            <w:tcW w:type="dxa" w:w="1881"/>
            <w:shd w:val="clear" w:color="auto" w:fill="DDEBF7"/>
          </w:tcPr>
          <w:p>
            <w:r>
              <w:rPr>
                <w:rFonts w:ascii="Meiryo UI" w:hAnsi="Meiryo UI"/>
                <w:sz w:val="18"/>
              </w:rPr>
              <w:t>¥1,800-2,000</w:t>
            </w:r>
          </w:p>
        </w:tc>
        <w:tc>
          <w:tcPr>
            <w:tcW w:type="dxa" w:w="1881"/>
            <w:shd w:val="clear" w:color="auto" w:fill="DDEBF7"/>
          </w:tcPr>
          <w:p>
            <w:r>
              <w:rPr>
                <w:rFonts w:ascii="Meiryo UI" w:hAnsi="Meiryo UI"/>
                <w:sz w:val="18"/>
              </w:rPr>
              <w:t>10%</w:t>
            </w:r>
          </w:p>
        </w:tc>
      </w:tr>
    </w:tbl>
    <w:p/>
    <w:p>
      <w:r>
        <w:t>──────────────────────────────────────────────────</w:t>
      </w:r>
    </w:p>
    <w:p/>
    <w:p>
      <w:pPr>
        <w:pStyle w:val="Heading2"/>
      </w:pPr>
      <w:r>
        <w:rPr>
          <w:rFonts w:ascii="Meiryo UI" w:hAnsi="Meiryo UI"/>
          <w:color w:val="2E74B5"/>
        </w:rPr>
        <w:t>9. Q-1定性変化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国内メタルスプレッド</w:t>
            </w:r>
          </w:p>
        </w:tc>
        <w:tc>
          <w:tcPr>
            <w:tcW w:type="dxa" w:w="3135"/>
          </w:tcPr>
          <w:p>
            <w:r>
              <w:rPr>
                <w:rFonts w:ascii="Meiryo UI" w:hAnsi="Meiryo UI"/>
                <w:sz w:val="18"/>
              </w:rPr>
              <w:t>2Q 54.1千円/t（前年比拡大）</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海外（ベトナム・北米）</w:t>
            </w:r>
          </w:p>
        </w:tc>
        <w:tc>
          <w:tcPr>
            <w:tcW w:type="dxa" w:w="3135"/>
            <w:shd w:val="clear" w:color="auto" w:fill="DDEBF7"/>
          </w:tcPr>
          <w:p>
            <w:r>
              <w:rPr>
                <w:rFonts w:ascii="Meiryo UI" w:hAnsi="Meiryo UI"/>
                <w:sz w:val="18"/>
              </w:rPr>
              <w:t>回復牽引・ハイフォン新工場稼働</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電力コスト</w:t>
            </w:r>
          </w:p>
        </w:tc>
        <w:tc>
          <w:tcPr>
            <w:tcW w:type="dxa" w:w="3135"/>
          </w:tcPr>
          <w:p>
            <w:r>
              <w:rPr>
                <w:rFonts w:ascii="Meiryo UI" w:hAnsi="Meiryo UI"/>
                <w:sz w:val="18"/>
              </w:rPr>
              <w:t>ホルムズ封鎖中は高止まり（改善前）</w:t>
            </w:r>
          </w:p>
        </w:tc>
        <w:tc>
          <w:tcPr>
            <w:tcW w:type="dxa" w:w="3135"/>
          </w:tcPr>
          <w:p>
            <w:r>
              <w:rPr>
                <w:rFonts w:ascii="Meiryo UI" w:hAnsi="Meiryo UI"/>
                <w:sz w:val="18"/>
              </w:rPr>
              <w:t>⬇（但しホルムズ再開で反転）</w:t>
            </w:r>
          </w:p>
        </w:tc>
      </w:tr>
      <w:tr>
        <w:tc>
          <w:tcPr>
            <w:tcW w:type="dxa" w:w="3135"/>
            <w:shd w:val="clear" w:color="auto" w:fill="DDEBF7"/>
          </w:tcPr>
          <w:p>
            <w:r>
              <w:rPr>
                <w:rFonts w:ascii="Meiryo UI" w:hAnsi="Meiryo UI"/>
                <w:sz w:val="18"/>
              </w:rPr>
              <w:t>中国鋼材のベトナム流入</w:t>
            </w:r>
          </w:p>
        </w:tc>
        <w:tc>
          <w:tcPr>
            <w:tcW w:type="dxa" w:w="3135"/>
            <w:shd w:val="clear" w:color="auto" w:fill="DDEBF7"/>
          </w:tcPr>
          <w:p>
            <w:r>
              <w:rPr>
                <w:rFonts w:ascii="Meiryo UI" w:hAnsi="Meiryo UI"/>
                <w:sz w:val="18"/>
              </w:rPr>
              <w:t>競争激化継続</w:t>
            </w:r>
          </w:p>
        </w:tc>
        <w:tc>
          <w:tcPr>
            <w:tcW w:type="dxa" w:w="3135"/>
            <w:shd w:val="clear" w:color="auto" w:fill="DDEBF7"/>
          </w:tcPr>
          <w:p>
            <w:r>
              <w:rPr>
                <w:rFonts w:ascii="Meiryo UI" w:hAnsi="Meiryo UI"/>
                <w:sz w:val="18"/>
              </w:rPr>
              <w:t>⬇ 中期リスク</w:t>
            </w:r>
          </w:p>
        </w:tc>
      </w:tr>
      <w:tr>
        <w:tc>
          <w:tcPr>
            <w:tcW w:type="dxa" w:w="3135"/>
          </w:tcPr>
          <w:p>
            <w:r>
              <w:rPr>
                <w:rFonts w:ascii="Meiryo UI" w:hAnsi="Meiryo UI"/>
                <w:sz w:val="18"/>
              </w:rPr>
              <w:t>ホルムズ全面再開（4/17）</w:t>
            </w:r>
          </w:p>
        </w:tc>
        <w:tc>
          <w:tcPr>
            <w:tcW w:type="dxa" w:w="3135"/>
          </w:tcPr>
          <w:p>
            <w:r>
              <w:rPr>
                <w:rFonts w:ascii="Meiryo UI" w:hAnsi="Meiryo UI"/>
                <w:sz w:val="18"/>
              </w:rPr>
              <w:t>コスト改善の最大カタリスト確定</w:t>
            </w:r>
          </w:p>
        </w:tc>
        <w:tc>
          <w:tcPr>
            <w:tcW w:type="dxa" w:w="3135"/>
          </w:tcPr>
          <w:p>
            <w:r>
              <w:rPr>
                <w:rFonts w:ascii="Meiryo UI" w:hAnsi="Meiryo UI"/>
                <w:sz w:val="18"/>
              </w:rPr>
              <w:t>⬆⬆⬆</w:t>
            </w:r>
          </w:p>
        </w:tc>
      </w:tr>
    </w:tbl>
    <w:p/>
    <w:p>
      <w:r>
        <w:t>──────────────────────────────────────────────────</w:t>
      </w:r>
    </w:p>
    <w:p/>
    <w:p>
      <w:pPr>
        <w:pStyle w:val="Heading2"/>
      </w:pPr>
      <w:r>
        <w:rPr>
          <w:rFonts w:ascii="Meiryo UI" w:hAnsi="Meiryo UI"/>
          <w:color w:val="2E74B5"/>
        </w:rPr>
        <w:t>10. 不動産含み益考察（全DeepResearch必須）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拠点</w:t>
            </w:r>
          </w:p>
        </w:tc>
        <w:tc>
          <w:tcPr>
            <w:tcW w:type="dxa" w:w="3135"/>
            <w:shd w:val="clear" w:color="auto" w:fill="2E74B5"/>
          </w:tcPr>
          <w:p>
            <w:r>
              <w:rPr>
                <w:rFonts w:ascii="Meiryo UI" w:hAnsi="Meiryo UI"/>
                <w:b/>
                <w:color w:val="FFFFFF"/>
                <w:sz w:val="18"/>
              </w:rPr>
              <w:t>所在地</w:t>
            </w:r>
          </w:p>
        </w:tc>
        <w:tc>
          <w:tcPr>
            <w:tcW w:type="dxa" w:w="3135"/>
            <w:shd w:val="clear" w:color="auto" w:fill="2E74B5"/>
          </w:tcPr>
          <w:p>
            <w:r>
              <w:rPr>
                <w:rFonts w:ascii="Meiryo UI" w:hAnsi="Meiryo UI"/>
                <w:b/>
                <w:color w:val="FFFFFF"/>
                <w:sz w:val="18"/>
              </w:rPr>
              <w:t>含み益の根拠</w:t>
            </w:r>
          </w:p>
        </w:tc>
      </w:tr>
      <w:tr>
        <w:tc>
          <w:tcPr>
            <w:tcW w:type="dxa" w:w="3135"/>
          </w:tcPr>
          <w:p>
            <w:r>
              <w:rPr>
                <w:rFonts w:ascii="Meiryo UI" w:hAnsi="Meiryo UI"/>
                <w:sz w:val="18"/>
              </w:rPr>
              <w:t>国内製造所</w:t>
            </w:r>
          </w:p>
        </w:tc>
        <w:tc>
          <w:tcPr>
            <w:tcW w:type="dxa" w:w="3135"/>
          </w:tcPr>
          <w:p>
            <w:r>
              <w:rPr>
                <w:rFonts w:ascii="Meiryo UI" w:hAnsi="Meiryo UI"/>
                <w:sz w:val="18"/>
              </w:rPr>
              <w:t>大阪・茨城・静岡・岡山等</w:t>
            </w:r>
          </w:p>
        </w:tc>
        <w:tc>
          <w:tcPr>
            <w:tcW w:type="dxa" w:w="3135"/>
          </w:tcPr>
          <w:p>
            <w:r>
              <w:rPr>
                <w:rFonts w:ascii="Meiryo UI" w:hAnsi="Meiryo UI"/>
                <w:sz w:val="18"/>
              </w:rPr>
              <w:t>1945年設立。工場用地の簿価は取得時価格</w:t>
            </w:r>
          </w:p>
        </w:tc>
      </w:tr>
      <w:tr>
        <w:tc>
          <w:tcPr>
            <w:tcW w:type="dxa" w:w="3135"/>
            <w:shd w:val="clear" w:color="auto" w:fill="DDEBF7"/>
          </w:tcPr>
          <w:p>
            <w:r>
              <w:rPr>
                <w:rFonts w:ascii="Meiryo UI" w:hAnsi="Meiryo UI"/>
                <w:sz w:val="18"/>
              </w:rPr>
              <w:t>海外</w:t>
            </w:r>
          </w:p>
        </w:tc>
        <w:tc>
          <w:tcPr>
            <w:tcW w:type="dxa" w:w="3135"/>
            <w:shd w:val="clear" w:color="auto" w:fill="DDEBF7"/>
          </w:tcPr>
          <w:p>
            <w:r>
              <w:rPr>
                <w:rFonts w:ascii="Meiryo UI" w:hAnsi="Meiryo UI"/>
                <w:sz w:val="18"/>
              </w:rPr>
              <w:t>ベトナム・北米</w:t>
            </w:r>
          </w:p>
        </w:tc>
        <w:tc>
          <w:tcPr>
            <w:tcW w:type="dxa" w:w="3135"/>
            <w:shd w:val="clear" w:color="auto" w:fill="DDEBF7"/>
          </w:tcPr>
          <w:p>
            <w:r>
              <w:rPr>
                <w:rFonts w:ascii="Meiryo UI" w:hAnsi="Meiryo UI"/>
                <w:sz w:val="18"/>
              </w:rPr>
              <w:t>土地は現地評価基準。大規模な含み益は限定的</w:t>
            </w:r>
          </w:p>
        </w:tc>
      </w:tr>
    </w:tbl>
    <w:p/>
    <w:p>
      <w:pPr>
        <w:pStyle w:val="ListBullet"/>
      </w:pPr>
      <w:r>
        <w:rPr>
          <w:rFonts w:ascii="Meiryo UI" w:hAnsi="Meiryo UI"/>
          <w:sz w:val="20"/>
        </w:rPr>
        <w:t>国内工場用地については簿価と時価乖離の可能性あり</w:t>
      </w:r>
    </w:p>
    <w:p>
      <w:pPr>
        <w:pStyle w:val="ListBullet"/>
      </w:pPr>
      <w:r>
        <w:rPr>
          <w:rFonts w:ascii="Meiryo UI" w:hAnsi="Meiryo UI"/>
          <w:sz w:val="20"/>
        </w:rPr>
        <w:t>ただし合同製鐵（旧高炉跡地）と比較すると含み益の規模は小さい見通し</w:t>
      </w:r>
    </w:p>
    <w:p>
      <w:pPr>
        <w:pStyle w:val="ListBullet"/>
      </w:pPr>
      <w:r>
        <w:rPr>
          <w:rFonts w:ascii="Meiryo UI" w:hAnsi="Meiryo UI"/>
          <w:sz w:val="20"/>
        </w:rPr>
        <w:t>TOB後の工場統廃合 → 土地売却 が最大の顕在化イベント</w:t>
      </w:r>
    </w:p>
    <w:p>
      <w:pPr>
        <w:pStyle w:val="ListBullet"/>
      </w:pPr>
      <w:r>
        <w:rPr>
          <w:rFonts w:ascii="Meiryo UI" w:hAnsi="Meiryo UI"/>
          <w:sz w:val="20"/>
        </w:rPr>
        <w:t>具体額は有価証券報告書（固定資産明細）確認が必要</w:t>
      </w:r>
    </w:p>
    <w:p/>
    <w:p>
      <w:r>
        <w:t>──────────────────────────────────────────────────</w:t>
      </w:r>
    </w:p>
    <w:p/>
    <w:p>
      <w:pPr>
        <w:pStyle w:val="Heading2"/>
      </w:pPr>
      <w:r>
        <w:rPr>
          <w:rFonts w:ascii="Meiryo UI" w:hAnsi="Meiryo UI"/>
          <w:color w:val="2E74B5"/>
        </w:rPr>
        <w:t>11. 推奨アクション（執行命令）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打診買い</w:t>
            </w:r>
          </w:p>
        </w:tc>
        <w:tc>
          <w:tcPr>
            <w:tcW w:type="dxa" w:w="3135"/>
          </w:tcPr>
          <w:p>
            <w:r>
              <w:rPr>
                <w:rFonts w:ascii="Meiryo UI" w:hAnsi="Meiryo UI"/>
                <w:sz w:val="18"/>
              </w:rPr>
              <w:t>¥2,200-2,400</w:t>
            </w:r>
          </w:p>
        </w:tc>
        <w:tc>
          <w:tcPr>
            <w:tcW w:type="dxa" w:w="3135"/>
          </w:tcPr>
          <w:p>
            <w:r>
              <w:rPr>
                <w:rFonts w:ascii="Meiryo UI" w:hAnsi="Meiryo UI"/>
                <w:sz w:val="18"/>
              </w:rPr>
              <w:t>BPS×0.5倍水準。リスクリワード良好</w:t>
            </w:r>
          </w:p>
        </w:tc>
      </w:tr>
      <w:tr>
        <w:tc>
          <w:tcPr>
            <w:tcW w:type="dxa" w:w="3135"/>
            <w:shd w:val="clear" w:color="auto" w:fill="DDEBF7"/>
          </w:tcPr>
          <w:p>
            <w:r>
              <w:rPr>
                <w:rFonts w:ascii="Meiryo UI" w:hAnsi="Meiryo UI"/>
                <w:sz w:val="18"/>
              </w:rPr>
              <w:t>本玉積み増し</w:t>
            </w:r>
          </w:p>
        </w:tc>
        <w:tc>
          <w:tcPr>
            <w:tcW w:type="dxa" w:w="3135"/>
            <w:shd w:val="clear" w:color="auto" w:fill="DDEBF7"/>
          </w:tcPr>
          <w:p>
            <w:r>
              <w:rPr>
                <w:rFonts w:ascii="Meiryo UI" w:hAnsi="Meiryo UI"/>
                <w:sz w:val="18"/>
              </w:rPr>
              <w:t>ホルムズ再開確定後（本日）</w:t>
            </w:r>
          </w:p>
        </w:tc>
        <w:tc>
          <w:tcPr>
            <w:tcW w:type="dxa" w:w="3135"/>
            <w:shd w:val="clear" w:color="auto" w:fill="DDEBF7"/>
          </w:tcPr>
          <w:p>
            <w:r>
              <w:rPr>
                <w:rFonts w:ascii="Meiryo UI" w:hAnsi="Meiryo UI"/>
                <w:sz w:val="18"/>
              </w:rPr>
              <w:t>既に確定。月曜寄り付きから入る</w:t>
            </w:r>
          </w:p>
        </w:tc>
      </w:tr>
      <w:tr>
        <w:tc>
          <w:tcPr>
            <w:tcW w:type="dxa" w:w="3135"/>
          </w:tcPr>
          <w:p>
            <w:r>
              <w:rPr>
                <w:rFonts w:ascii="Meiryo UI" w:hAnsi="Meiryo UI"/>
                <w:sz w:val="18"/>
              </w:rPr>
              <w:t>追加買い増し</w:t>
            </w:r>
          </w:p>
        </w:tc>
        <w:tc>
          <w:tcPr>
            <w:tcW w:type="dxa" w:w="3135"/>
          </w:tcPr>
          <w:p>
            <w:r>
              <w:rPr>
                <w:rFonts w:ascii="Meiryo UI" w:hAnsi="Meiryo UI"/>
                <w:sz w:val="18"/>
              </w:rPr>
              <w:t>日鉄TOB報道時</w:t>
            </w:r>
          </w:p>
        </w:tc>
        <w:tc>
          <w:tcPr>
            <w:tcW w:type="dxa" w:w="3135"/>
          </w:tcPr>
          <w:p>
            <w:r>
              <w:rPr>
                <w:rFonts w:ascii="Meiryo UI" w:hAnsi="Meiryo UI"/>
                <w:sz w:val="18"/>
              </w:rPr>
              <w:t>即座に追従買い</w:t>
            </w:r>
          </w:p>
        </w:tc>
      </w:tr>
      <w:tr>
        <w:tc>
          <w:tcPr>
            <w:tcW w:type="dxa" w:w="3135"/>
            <w:shd w:val="clear" w:color="auto" w:fill="DDEBF7"/>
          </w:tcPr>
          <w:p>
            <w:r>
              <w:rPr>
                <w:rFonts w:ascii="Meiryo UI" w:hAnsi="Meiryo UI"/>
                <w:sz w:val="18"/>
              </w:rPr>
              <w:t>第1利確</w:t>
            </w:r>
          </w:p>
        </w:tc>
        <w:tc>
          <w:tcPr>
            <w:tcW w:type="dxa" w:w="3135"/>
            <w:shd w:val="clear" w:color="auto" w:fill="DDEBF7"/>
          </w:tcPr>
          <w:p>
            <w:r>
              <w:rPr>
                <w:rFonts w:ascii="Meiryo UI" w:hAnsi="Meiryo UI"/>
                <w:sz w:val="18"/>
              </w:rPr>
              <w:t>¥3,000</w:t>
            </w:r>
          </w:p>
        </w:tc>
        <w:tc>
          <w:tcPr>
            <w:tcW w:type="dxa" w:w="3135"/>
            <w:shd w:val="clear" w:color="auto" w:fill="DDEBF7"/>
          </w:tcPr>
          <w:p>
            <w:r>
              <w:rPr>
                <w:rFonts w:ascii="Meiryo UI" w:hAnsi="Meiryo UI"/>
                <w:sz w:val="18"/>
              </w:rPr>
              <w:t>PBR0.64x達成時に1/3利確</w:t>
            </w:r>
          </w:p>
        </w:tc>
      </w:tr>
      <w:tr>
        <w:tc>
          <w:tcPr>
            <w:tcW w:type="dxa" w:w="3135"/>
          </w:tcPr>
          <w:p>
            <w:r>
              <w:rPr>
                <w:rFonts w:ascii="Meiryo UI" w:hAnsi="Meiryo UI"/>
                <w:sz w:val="18"/>
              </w:rPr>
              <w:t>最終TP</w:t>
            </w:r>
          </w:p>
        </w:tc>
        <w:tc>
          <w:tcPr>
            <w:tcW w:type="dxa" w:w="3135"/>
          </w:tcPr>
          <w:p>
            <w:r>
              <w:rPr>
                <w:rFonts w:ascii="Meiryo UI" w:hAnsi="Meiryo UI"/>
                <w:sz w:val="18"/>
              </w:rPr>
              <w:t>¥3,500</w:t>
            </w:r>
          </w:p>
        </w:tc>
        <w:tc>
          <w:tcPr>
            <w:tcW w:type="dxa" w:w="3135"/>
          </w:tcPr>
          <w:p>
            <w:r>
              <w:rPr>
                <w:rFonts w:ascii="Meiryo UI" w:hAnsi="Meiryo UI"/>
                <w:sz w:val="18"/>
              </w:rPr>
              <w:t>PBR0.74x・ROE8%目標折り込み</w:t>
            </w:r>
          </w:p>
        </w:tc>
      </w:tr>
      <w:tr>
        <w:tc>
          <w:tcPr>
            <w:tcW w:type="dxa" w:w="3135"/>
            <w:shd w:val="clear" w:color="auto" w:fill="DDEBF7"/>
          </w:tcPr>
          <w:p>
            <w:r>
              <w:rPr>
                <w:rFonts w:ascii="Meiryo UI" w:hAnsi="Meiryo UI"/>
                <w:sz w:val="18"/>
              </w:rPr>
              <w:t>損切り</w:t>
            </w:r>
          </w:p>
        </w:tc>
        <w:tc>
          <w:tcPr>
            <w:tcW w:type="dxa" w:w="3135"/>
            <w:shd w:val="clear" w:color="auto" w:fill="DDEBF7"/>
          </w:tcPr>
          <w:p>
            <w:r>
              <w:rPr>
                <w:rFonts w:ascii="Meiryo UI" w:hAnsi="Meiryo UI"/>
                <w:sz w:val="18"/>
              </w:rPr>
              <w:t>¥1,900</w:t>
            </w:r>
          </w:p>
        </w:tc>
        <w:tc>
          <w:tcPr>
            <w:tcW w:type="dxa" w:w="3135"/>
            <w:shd w:val="clear" w:color="auto" w:fill="DDEBF7"/>
          </w:tcPr>
          <w:p>
            <w:r>
              <w:rPr>
                <w:rFonts w:ascii="Meiryo UI" w:hAnsi="Meiryo UI"/>
                <w:sz w:val="18"/>
              </w:rPr>
              <w:t>BPS×0.40x割れ = 構造悪化</w:t>
            </w:r>
          </w:p>
        </w:tc>
      </w:tr>
    </w:tbl>
    <w:p/>
    <w:p>
      <w:r>
        <w:t>──────────────────────────────────────────────────</w:t>
      </w:r>
    </w:p>
    <w:p/>
    <w:p>
      <w:r>
        <w:rPr>
          <w:rFonts w:ascii="Meiryo UI" w:hAnsi="Meiryo UI"/>
          <w:sz w:val="20"/>
        </w:rPr>
        <w:t xml:space="preserve">Deep Research作成: 深井 / 2026-04-17  </w:t>
      </w:r>
    </w:p>
    <w:p>
      <w:r>
        <w:rPr>
          <w:rFonts w:ascii="Meiryo UI" w:hAnsi="Meiryo UI"/>
          <w:sz w:val="20"/>
        </w:rPr>
        <w:t>データソース: Yahoo Finance (株価・財務指標リアルタイム), 共英製鋼IR, 株探, 浅井さんホルムズ情報（2026-04-17）</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