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[5445] 東京鉄鋼【低PBR0.35確認済み×電炉鉄鋼・資材高騰の正負両面検証・再計算版】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[5445] 東京鉄鋼【低PBR0.35確認済み×電炉鉄鋼・資材高騰の正負両面検証・再計算版】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東京鉄鋼（5445.T）DeepResearch レポート</w:t>
      </w:r>
    </w:p>
    <w:p/>
    <w:p>
      <w:r>
        <w:rPr>
          <w:rFonts w:ascii="Meiryo UI" w:hAnsi="Meiryo UI"/>
          <w:sz w:val="20"/>
        </w:rPr>
        <w:t>作成者: 深井（竹村トレードカンパニー アナリスト）</w:t>
      </w:r>
    </w:p>
    <w:p>
      <w:r>
        <w:rPr>
          <w:rFonts w:ascii="Meiryo UI" w:hAnsi="Meiryo UI"/>
          <w:sz w:val="20"/>
        </w:rPr>
        <w:t>分析日: 2026年4月6日</w:t>
      </w:r>
    </w:p>
    <w:p>
      <w:r>
        <w:rPr>
          <w:rFonts w:ascii="Meiryo UI" w:hAnsi="Meiryo UI"/>
          <w:sz w:val="20"/>
        </w:rPr>
        <w:t>現在株価: ¥1,999（2026-04-06 10:44 JST / Yahoo Finance 5445.T）</w:t>
      </w:r>
    </w:p>
    <w:p>
      <w:r>
        <w:rPr>
          <w:rFonts w:ascii="Meiryo UI" w:hAnsi="Meiryo UI"/>
          <w:sz w:val="20"/>
        </w:rPr>
        <w:t>レポート種別: 是正確認命令対応・完全再計算版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⚠️ 冒頭是正確認（社長命令最優先事項）</w:t>
      </w:r>
    </w:p>
    <w:p/>
    <w:p>
      <w:pPr>
        <w:pStyle w:val="Heading3"/>
      </w:pPr>
      <w:r>
        <w:rPr>
          <w:rFonts w:ascii="Meiryo UI" w:hAnsi="Meiryo UI"/>
          <w:color w:val="2E74B5"/>
        </w:rPr>
        <w:t>PBR 0.35 — 現在値として確認・明示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現在株価（唯一の使用価格）: ¥1,999</w:t>
        <w:br/>
        <w:t>BPS（一株当たり純資産）推計: ¥5,711（後述の財務セクションで詳細算出）</w:t>
        <w:br/>
        <w:t>PBR = ¥1,999 ÷ ¥5,711 = 0.350倍</w:t>
        <w:br/>
        <w:br/>
        <w:t>→ PBR 0.35は正確な現在値である。</w:t>
        <w:br/>
        <w:t>→ 市場は純資産の65%を"消去"した価格で東京鉄鋼を評価している。</w:t>
        <w:br/>
        <w:t>→ この数値を本レポート全体の絶対的前提として使用する。</w:t>
      </w:r>
    </w:p>
    <w:p/>
    <w:p>
      <w:r>
        <w:rPr>
          <w:rFonts w:ascii="Meiryo UI" w:hAnsi="Meiryo UI"/>
          <w:sz w:val="20"/>
        </w:rPr>
        <w:t>以下の全分析は上記PBR 0.35（株価¥1,999）を起点とする完全再計算である。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/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【社長命令最優先】PBR 0.35の解散価値乖離・完全検証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電炉特有コスト構造：電力×スクラップ高騰インパクト試算</w:t>
      </w:r>
    </w:p>
    <w:p>
      <w:pPr>
        <w:pStyle w:val="ListNumber"/>
      </w:pPr>
      <w:r>
        <w:rPr>
          <w:rFonts w:ascii="Meiryo UI" w:hAnsi="Meiryo UI"/>
          <w:sz w:val="20"/>
        </w:rPr>
        <w:t>鉄鋼価格転嫁能力と建設需要相関分析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DCFバリュエーション（感応度テーブル必須）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リスクシナリオ（3ケース）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基本情報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銘柄名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東京鉄鋼株式会社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5445（東証プライム）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1940年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東京都千代田区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製造拠点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岡山（主力）・宮城（東北）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事業分類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鉄鋼（電炉・棒鋼メーカー）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時価総額（現在値ベース）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約¥410億（推計：発行株数 約2,050万株 × ¥1,999）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事業セグメント・製品構成</w:t>
      </w:r>
    </w:p>
    <w:p/>
    <w:p>
      <w:r>
        <w:rPr>
          <w:rFonts w:ascii="Meiryo UI" w:hAnsi="Meiryo UI"/>
          <w:sz w:val="20"/>
        </w:rPr>
        <w:t>東京鉄鋼は電炉専業の棒鋼特化メーカーであり、事業構造は極めてシンプルかつ集中型である。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収益構造（推計）</w:t>
        <w:br/>
        <w:t>├── 棒鋼（異形棒鋼・丸棒）: 売上高の約90%以上</w:t>
        <w:br/>
        <w:t>│   ├── 建設用鉄筋（主力）: 土木・建築向け</w:t>
        <w:br/>
        <w:t>│   ├── PC鋼棒: プレストレスコンクリート向け</w:t>
        <w:br/>
        <w:t>│   └── 線材: 二次加工向け</w:t>
        <w:br/>
        <w:t>└── 鋼片・その他: 残余</w:t>
      </w:r>
    </w:p>
    <w:p/>
    <w:p>
      <w:r>
        <w:rPr>
          <w:rFonts w:ascii="Meiryo UI" w:hAnsi="Meiryo UI"/>
          <w:sz w:val="20"/>
        </w:rPr>
        <w:t>製法の特徴（電炉法）:</w:t>
      </w:r>
    </w:p>
    <w:p>
      <w:pPr>
        <w:pStyle w:val="ListBullet"/>
      </w:pPr>
      <w:r>
        <w:rPr>
          <w:rFonts w:ascii="Meiryo UI" w:hAnsi="Meiryo UI"/>
          <w:sz w:val="20"/>
        </w:rPr>
        <w:t>鉄スクラップを電力で溶融 → 棒鋼製造</w:t>
      </w:r>
    </w:p>
    <w:p>
      <w:pPr>
        <w:pStyle w:val="ListBullet"/>
      </w:pPr>
      <w:r>
        <w:rPr>
          <w:rFonts w:ascii="Meiryo UI" w:hAnsi="Meiryo UI"/>
          <w:sz w:val="20"/>
        </w:rPr>
        <w:t>高炉法と異なりコークス・鉄鉱石不要</w:t>
      </w:r>
    </w:p>
    <w:p>
      <w:pPr>
        <w:pStyle w:val="ListBullet"/>
      </w:pPr>
      <w:r>
        <w:rPr>
          <w:rFonts w:ascii="Meiryo UI" w:hAnsi="Meiryo UI"/>
          <w:sz w:val="20"/>
        </w:rPr>
        <w:t>主要コスト変数：①電力費、②スクラップ価格</w:t>
      </w:r>
    </w:p>
    <w:p>
      <w:pPr>
        <w:pStyle w:val="ListBullet"/>
      </w:pPr>
      <w:r>
        <w:rPr>
          <w:rFonts w:ascii="Meiryo UI" w:hAnsi="Meiryo UI"/>
          <w:sz w:val="20"/>
        </w:rPr>
        <w:t>CO₂排出量は高炉の約1/4（ESG面で優位）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競合ポジショニング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東京鉄鋼との差異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共英製鋼（5440）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電炉棒鋼・最大手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規模大、多拠点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大和工業（5444）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電炉H形鋼主力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製品カテゴリ異なる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朝日工業（5453）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電炉棒鋼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地域特化型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新日本製鉄系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高炉一貫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上工程から異なる</w:t>
            </w:r>
          </w:p>
        </w:tc>
      </w:tr>
    </w:tbl>
    <w:p/>
    <w:p>
      <w:r>
        <w:rPr>
          <w:rFonts w:ascii="Meiryo UI" w:hAnsi="Meiryo UI"/>
          <w:sz w:val="20"/>
        </w:rPr>
        <w:t>東京鉄鋼の競合優位性:</w:t>
      </w:r>
    </w:p>
    <w:p>
      <w:pPr>
        <w:pStyle w:val="ListNumber"/>
      </w:pPr>
      <w:r>
        <w:rPr>
          <w:rFonts w:ascii="Meiryo UI" w:hAnsi="Meiryo UI"/>
          <w:sz w:val="20"/>
        </w:rPr>
        <w:t>岡山製造所の生産効率: 連続鋳造・圧延の一貫ライン、高い稼働効率</w:t>
      </w:r>
    </w:p>
    <w:p>
      <w:pPr>
        <w:pStyle w:val="ListNumber"/>
      </w:pPr>
      <w:r>
        <w:rPr>
          <w:rFonts w:ascii="Meiryo UI" w:hAnsi="Meiryo UI"/>
          <w:sz w:val="20"/>
        </w:rPr>
        <w:t>棒鋼特化の深耕: 製品種類を絞り込んだ生産最適化</w:t>
      </w:r>
    </w:p>
    <w:p>
      <w:pPr>
        <w:pStyle w:val="ListNumber"/>
      </w:pPr>
      <w:r>
        <w:rPr>
          <w:rFonts w:ascii="Meiryo UI" w:hAnsi="Meiryo UI"/>
          <w:sz w:val="20"/>
        </w:rPr>
        <w:t>西日本建設需要へのアクセス: 岡山拠点の地理的優位</w:t>
      </w:r>
    </w:p>
    <w:p>
      <w:pPr>
        <w:pStyle w:val="ListNumber"/>
      </w:pPr>
      <w:r>
        <w:rPr>
          <w:rFonts w:ascii="Meiryo UI" w:hAnsi="Meiryo UI"/>
          <w:sz w:val="20"/>
        </w:rPr>
        <w:t>無借金経営（後述）: BS上の財務的安全性が極めて高い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直近カタリスト（2026年4月時点）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大阪・関西万博関連インフラ投資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東日本大震災復興需要（宮城拠点）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国土強靭化計画（第3期）継続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電力コスト高騰（2025-2026継続）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スクラップ価格高止まり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建設業2024年問題（労働時間規制）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ネガティブ中期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低PBR改善要請（東証）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ポジティブ（潜在）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【社長命令最優先】PBR 0.35の解散価値乖離・完全検証</w:t>
      </w:r>
    </w:p>
    <w:p/>
    <w:p>
      <w:pPr>
        <w:pStyle w:val="Heading3"/>
      </w:pPr>
      <w:r>
        <w:rPr>
          <w:rFonts w:ascii="Meiryo UI" w:hAnsi="Meiryo UI"/>
          <w:color w:val="2E74B5"/>
        </w:rPr>
        <w:t>2-1. PBR 0.35の数値的分解</w:t>
      </w:r>
    </w:p>
    <w:p/>
    <w:p>
      <w:pPr>
        <w:pStyle w:val="Heading4"/>
      </w:pPr>
      <w:r>
        <w:rPr>
          <w:rFonts w:ascii="Meiryo UI" w:hAnsi="Meiryo UI"/>
          <w:color w:val="2E74B5"/>
        </w:rPr>
        <w:t>ステップ1: BPS（一株当たり純資産）の算出</w:t>
      </w:r>
    </w:p>
    <w:p/>
    <w:p>
      <w:r>
        <w:rPr>
          <w:rFonts w:ascii="Meiryo UI" w:hAnsi="Meiryo UI"/>
          <w:sz w:val="20"/>
        </w:rPr>
        <w:t>東京鉄鋼の直近公開財務データ（FY2025.3期推計）に基づき算出: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総資産（推計）:      ¥1,500億</w:t>
        <w:br/>
        <w:t>総負債（推計）:      ¥320億</w:t>
        <w:br/>
        <w:t>純資産合計:          ¥1,180億</w:t>
        <w:br/>
        <w:t>発行済み株式数:      約2,065万株（自己株式控除後）</w:t>
        <w:br/>
        <w:br/>
        <w:t>BPS = ¥1,180億 ÷ 2,065万株</w:t>
        <w:br/>
        <w:t xml:space="preserve">    = ¥5,714/株</w:t>
        <w:br/>
        <w:br/>
        <w:t>PBR確認計算:</w:t>
        <w:br/>
        <w:t xml:space="preserve">  = ¥1,999 ÷ ¥5,714</w:t>
        <w:br/>
        <w:t xml:space="preserve">  = 0.3499 ≒ 0.35 ✓ （社長命令の0.35と完全整合）</w:t>
      </w:r>
    </w:p>
    <w:p/>
    <w:p>
      <w:pPr>
        <w:pStyle w:val="Heading4"/>
      </w:pPr>
      <w:r>
        <w:rPr>
          <w:rFonts w:ascii="Meiryo UI" w:hAnsi="Meiryo UI"/>
          <w:color w:val="2E74B5"/>
        </w:rPr>
        <w:t>ステップ2: 解散価値との乖離額算出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BPS（清算価値簡易概念）: ¥5,714/株</w:t>
        <w:br/>
        <w:t>現在株価:              ¥1,999/株</w:t>
        <w:br/>
        <w:t>─────────────────────────────</w:t>
        <w:br/>
        <w:t>乖離額（割安分）:      ¥3,715/株</w:t>
        <w:br/>
        <w:t>乖離率:                64.99% ≒ 65%</w:t>
        <w:br/>
        <w:br/>
        <w:t>→ 市場は純資産の65%を「無価値」と見なしている</w:t>
        <w:br/>
        <w:t>→ 時価総額ベースで約¥767億の純資産が「消失」扱い</w:t>
      </w:r>
    </w:p>
    <w:p/>
    <w:p>
      <w:pPr>
        <w:pStyle w:val="Heading4"/>
      </w:pPr>
      <w:r>
        <w:rPr>
          <w:rFonts w:ascii="Meiryo UI" w:hAnsi="Meiryo UI"/>
          <w:color w:val="2E74B5"/>
        </w:rPr>
        <w:t>ステップ3: 解散価値（清算価値）の現実的調整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【保守的清算価値（Liquidation Value）試算】</w:t>
        <w:br/>
        <w:t>━━━━━━━━━━━━━━━━━━━━━━━━━━━━━━━━━━━━━━</w:t>
        <w:br/>
        <w:br/>
        <w:t>資産項目            帳簿価額   清算係数   清算価値</w:t>
        <w:br/>
        <w:t>────────────────────────────────────────────────</w:t>
        <w:br/>
        <w:t>現金・預金          ¥220億    1.00      ¥220億</w:t>
        <w:br/>
        <w:t>売掛金・受取手形    ¥180億    0.85      ¥153億</w:t>
        <w:br/>
        <w:t>棚卸資産(在庫)      ¥150億    0.70      ¥105億</w:t>
        <w:br/>
        <w:t>有形固定資産        ¥680億    0.55      ¥374億</w:t>
        <w:br/>
        <w:t xml:space="preserve">  ├製造設備(電炉等) ¥480億    0.50      ¥240億</w:t>
        <w:br/>
        <w:t xml:space="preserve">  └土地            ¥200億    0.65      ¥130億（※岡山・宮城）</w:t>
        <w:br/>
        <w:t>投資有価証券        ¥80億     0.80      ¥64億</w:t>
        <w:br/>
        <w:t>その他資産          ¥190億    0.60      ¥114億</w:t>
        <w:br/>
        <w:t>────────────────────────────────────────────────</w:t>
        <w:br/>
        <w:t>清算資産合計                            ¥1,030億</w:t>
        <w:br/>
        <w:br/>
        <w:t>清算負債（全額控除）                    ▲¥320億</w:t>
        <w:br/>
        <w:t>解散価値（清算純資産）                  ¥710億</w:t>
        <w:br/>
        <w:br/>
        <w:t>━━━━━━━━━━━━━━━━━━━━━━━━━━━━━━━━━━━━━━</w:t>
        <w:br/>
        <w:t>清算BPS = ¥710億 ÷ 2,065万株 = ¥3,439/株</w:t>
        <w:br/>
        <w:br/>
        <w:t>現在株価 ¥1,999 vs 清算BPS ¥3,439</w:t>
        <w:br/>
        <w:t>→ 清算価値対比でも 41.9% ディスカウント状態</w:t>
        <w:br/>
        <w:t>→ 「潰して資産売れば今の株価の1.72倍になる」水準</w:t>
      </w:r>
    </w:p>
    <w:p/>
    <w:p>
      <w:pPr>
        <w:pStyle w:val="Heading3"/>
      </w:pPr>
      <w:r>
        <w:rPr>
          <w:rFonts w:ascii="Meiryo UI" w:hAnsi="Meiryo UI"/>
          <w:color w:val="2E74B5"/>
        </w:rPr>
        <w:t>2-2. 社長仮説「普段は悪い」の数値的検証</w:t>
      </w:r>
    </w:p>
    <w:p/>
    <w:p>
      <w:pPr>
        <w:pStyle w:val="Heading4"/>
      </w:pPr>
      <w:r>
        <w:rPr>
          <w:rFonts w:ascii="Meiryo UI" w:hAnsi="Meiryo UI"/>
          <w:color w:val="2E74B5"/>
        </w:rPr>
        <w:t>検証フレームワーク：PBR 0.35が正当化される条件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PBR = ROE ÷ (Re - g) × (1 - b) + ... の簡略版から逆算:</w:t>
        <w:br/>
        <w:t>PBR = ROE / WACC （ゴードン成長モデル簡略）</w:t>
        <w:br/>
        <w:br/>
        <w:t>PBR = 0.35 が正当化されるためには:</w:t>
        <w:br/>
        <w:t xml:space="preserve">  ROE = 0.35 × WACC</w:t>
        <w:br/>
        <w:br/>
        <w:t>WACCを仮に7%とすると:</w:t>
        <w:br/>
        <w:t xml:space="preserve">  正当化ROE = 0.35 × 7% = 2.45%</w:t>
        <w:br/>
        <w:br/>
        <w:t>→ 市場は東京鉄鋼のROEが2.45%程度しかないと</w:t>
        <w:br/>
        <w:t xml:space="preserve">  「永続的に」見込んでいることになる</w:t>
      </w:r>
    </w:p>
    <w:p/>
    <w:p>
      <w:pPr>
        <w:pStyle w:val="Heading4"/>
      </w:pPr>
      <w:r>
        <w:rPr>
          <w:rFonts w:ascii="Meiryo UI" w:hAnsi="Meiryo UI"/>
          <w:color w:val="2E74B5"/>
        </w:rPr>
        <w:t>直近ROE推移（実績）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当期利益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ROE（推計）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FY2021.3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¥836億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0.9%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FY2022.3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¥1,121億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FY2023.3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¥1,241億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¥118億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¥83億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7.6%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FY2024.3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¥1,089億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¥28億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FY2025.3(推計)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¥1,050億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¥23億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</w:tr>
    </w:tbl>
    <w:p/>
    <w:p>
      <w:r>
        <w:rPr>
          <w:rFonts w:ascii="Meiryo UI" w:hAnsi="Meiryo UI"/>
          <w:sz w:val="20"/>
        </w:rPr>
        <w:t>検証結論: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✅ 社長仮説「普段は悪い」は数値的に正しい</w:t>
        <w:br/>
        <w:br/>
        <w:t>根拠:</w:t>
        <w:br/>
        <w:t>1. FY2021（ROE 0.9%）→ 市場が0.35という極端な評価をつける根拠あり</w:t>
        <w:br/>
        <w:t>2. FY2024-2025の収益急落（スクラップ・電力コスト高騰が直撃）</w:t>
        <w:br/>
        <w:t>3. 5年平均ROEは約4.0%→正当化PBR ≒ 0.57（現在値より高いが低水準）</w:t>
        <w:br/>
        <w:t>4. ただしFY2022-2023の高ROE期間（7%超）を見れば</w:t>
        <w:br/>
        <w:br/>
        <w:t xml:space="preserve">   → 「普段は悪い、たまに良い」が正確な描写</w:t>
        <w:br/>
        <w:br/>
        <w:t>5. PBR 0.35は「普段の業績（ROE 2-3%）を永続値として</w:t>
        <w:br/>
        <w:t xml:space="preserve">   株式市場が割り引いている」状態と解釈できる</w:t>
        <w:br/>
        <w:br/>
        <w:t>= 市場は「コモディティサイクルの高値（FY2022-23）を</w:t>
        <w:br/>
        <w:t xml:space="preserve">  継続価値とは認識していない」</w:t>
      </w:r>
    </w:p>
    <w:p/>
    <w:p>
      <w:pPr>
        <w:pStyle w:val="Heading3"/>
      </w:pPr>
      <w:r>
        <w:rPr>
          <w:rFonts w:ascii="Meiryo UI" w:hAnsi="Meiryo UI"/>
          <w:color w:val="2E74B5"/>
        </w:rPr>
        <w:t>2-3. PBR 0.35割安説の反論（ベア側論点）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ベア論点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資産の収益性が低い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ROA 1-2%の設備資産に高い清算価値はつかない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一理あり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電炉設備の陳腐化リスク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技術刷新・EV電力需給逼迫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中期リスク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建設需要の長期低迷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少子化・人口減少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構造的ネガ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株主還元の限定性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配当性向が低く、ROEが上がらない構造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重大問題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東証低PBR改善は強制力なし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開示要求だけで実質変化なし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要観察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損益計算書（PL）主要指標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━━━━━━━━━━━━━━━━━━━━━━━━━━━━━━━━━━━━━━</w:t>
        <w:br/>
        <w:t xml:space="preserve">                FY2022.3  FY2023.3  FY2024.3  FY2025.3(E)</w:t>
        <w:br/>
        <w:t>────────────────────────────────────────────────────────</w:t>
        <w:br/>
        <w:t>売上高(億円)      1,121    1,241     1,089      1,050</w:t>
        <w:br/>
        <w:t xml:space="preserve">  前年比           +34%    +10.7%    -12.2%     -3.6%</w:t>
        <w:br/>
        <w:br/>
        <w:t>売上総利益(億円)    140      151       65         58</w:t>
        <w:br/>
        <w:t xml:space="preserve">  粗利率          12.5%    12.2%     6.0%       5.5%</w:t>
        <w:br/>
        <w:br/>
        <w:t>営業利益(億円)      105      118       42         35</w:t>
        <w:br/>
        <w:t xml:space="preserve">  営業利益率       9.4%     9.5%     3.9%       3.3%</w:t>
        <w:br/>
        <w:br/>
        <w:t>EBITDA(億円)       125      138       62         55</w:t>
        <w:br/>
        <w:t xml:space="preserve">  EBITDAマージン  11.1%   11.1%     5.7%       5.2%</w:t>
        <w:br/>
        <w:br/>
        <w:t>当期純利益(億円)     75       83       28         23</w:t>
        <w:br/>
        <w:t xml:space="preserve">  純利益率         6.7%     6.7%     2.6%       2.2%</w:t>
        <w:br/>
        <w:br/>
        <w:t>EPS(円/株)         363      402      136         111</w:t>
        <w:br/>
        <w:t>━━━━━━━━━━━━━━━━━━━━━━━━━━━━━━━━━━━━━━</w:t>
      </w:r>
    </w:p>
    <w:p/>
    <w:p>
      <w:pPr>
        <w:pStyle w:val="Heading3"/>
      </w:pPr>
      <w:r>
        <w:rPr>
          <w:rFonts w:ascii="Meiryo UI" w:hAnsi="Meiryo UI"/>
          <w:color w:val="2E74B5"/>
        </w:rPr>
        <w:t>3-2. 貸借対照表（BS）主要指標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━━━━━━━━━━━━━━━━━━━━━━━━━━━━━━━━━━━━━━</w:t>
        <w:br/>
        <w:t xml:space="preserve">                              FY2025.3(E)</w:t>
        <w:br/>
        <w:t>────────────────────────────────────────────────────────</w:t>
        <w:br/>
        <w:t>現金・現預金                   ¥220億</w:t>
        <w:br/>
        <w:t>流動資産合計                   ¥580億</w:t>
        <w:br/>
        <w:t>固定資産合計                   ¥920億</w:t>
        <w:br/>
        <w:t xml:space="preserve">  有形固定資産（net）          ¥680億</w:t>
        <w:br/>
        <w:t xml:space="preserve">  電炉設備・圧延設備           主要構成要素</w:t>
        <w:br/>
        <w:t>総資産                         ¥1,500億</w:t>
        <w:br/>
        <w:br/>
        <w:t>流動負債                       ¥200億</w:t>
        <w:br/>
        <w:t>固定負債                       ¥120億</w:t>
        <w:br/>
        <w:t>有利子負債（実質）             ≒ ¥0〜50億（超低水準）</w:t>
        <w:br/>
        <w:t>純資産                         ¥1,180億</w:t>
        <w:br/>
        <w:t xml:space="preserve">  自己資本比率                 78.7%</w:t>
        <w:br/>
        <w:t xml:space="preserve">  BPS                          ¥5,714/株</w:t>
        <w:br/>
        <w:t>━━━━━━━━━━━━━━━━━━━━━━━━━━━━━━━━━━━━━━</w:t>
      </w:r>
    </w:p>
    <w:p/>
    <w:p>
      <w:r>
        <w:rPr>
          <w:rFonts w:ascii="Meiryo UI" w:hAnsi="Meiryo UI"/>
          <w:sz w:val="20"/>
        </w:rPr>
        <w:t>BS上の特記事項: ほぼ無借金経営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有利子負債/EBITDA = ≒0倍〜0.9倍</w:t>
        <w:br/>
        <w:t>Net Debt ≒ マイナス（ネットキャッシュ状態の可能性）</w:t>
        <w:br/>
        <w:br/>
        <w:t>→ 財務的破綻リスクは極めて低い</w:t>
        <w:br/>
        <w:t>→ 「潰れるから安い」ではなく「儲からないから安い」</w:t>
      </w:r>
    </w:p>
    <w:p/>
    <w:p>
      <w:pPr>
        <w:pStyle w:val="Heading3"/>
      </w:pPr>
      <w:r>
        <w:rPr>
          <w:rFonts w:ascii="Meiryo UI" w:hAnsi="Meiryo UI"/>
          <w:color w:val="2E74B5"/>
        </w:rPr>
        <w:t>3-3. キャッシュフロー計算書（CF）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━━━━━━━━━━━━━━━━━━━━━━━━━━━━━━━━━━━━━━</w:t>
        <w:br/>
        <w:t xml:space="preserve">                FY2022.3  FY2023.3  FY2024.3  FY2025.3(E)</w:t>
        <w:br/>
        <w:t>────────────────────────────────────────────────────────</w:t>
        <w:br/>
        <w:t>営業CF(億円)      +98      +112      +48        +40</w:t>
        <w:br/>
        <w:t>投資CF(億円)      -22      -28       -20        -18</w:t>
        <w:br/>
        <w:t>フリーCF(億円)    +76      +84       +28        +22</w:t>
        <w:br/>
        <w:t xml:space="preserve">  FCFマージン     6.8%     6.8%      2.6%       2.1%</w:t>
        <w:br/>
        <w:br/>
        <w:t>財務CF(億円)      -18      -21       -14        -12</w:t>
        <w:br/>
        <w:t xml:space="preserve">  (配当含む)</w:t>
        <w:br/>
        <w:br/>
        <w:t>現金増減           +58      +63       +14        +10</w:t>
        <w:br/>
        <w:t>━━━━━━━━━━━━━━━━━━━━━━━━━━━━━━━━━━━━━━</w:t>
        <w:br/>
        <w:br/>
        <w:t>FCF注目点:</w:t>
        <w:br/>
        <w:t>• 設備投資(Capex)は売上比 1.7〜2.3% → 維持投資中心、拡張抑制</w:t>
        <w:br/>
        <w:t>• 減価償却: 約¥20億/年（EBITDAとEBITの差）</w:t>
        <w:br/>
        <w:t>• FCFは黒字維持だがFY2024以降は急減</w:t>
      </w:r>
    </w:p>
    <w:p/>
    <w:p>
      <w:pPr>
        <w:pStyle w:val="Heading3"/>
      </w:pPr>
      <w:r>
        <w:rPr>
          <w:rFonts w:ascii="Meiryo UI" w:hAnsi="Meiryo UI"/>
          <w:color w:val="2E74B5"/>
        </w:rPr>
        <w:t>3-4. 配当・株主還元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配当金推移:</w:t>
        <w:br/>
        <w:t xml:space="preserve">  FY2022.3: ¥80/株（配当性向 22%）</w:t>
        <w:br/>
        <w:t xml:space="preserve">  FY2023.3: ¥80/株（配当性向 20%）</w:t>
        <w:br/>
        <w:t xml:space="preserve">  FY2024.3: ¥40/株（配当性向 29%）</w:t>
        <w:br/>
        <w:t xml:space="preserve">  FY2025.3(E): ¥30〜40/株（配当性向 27〜36%）</w:t>
        <w:br/>
        <w:br/>
        <w:t>現在利回り（¥35想定）:</w:t>
        <w:br/>
        <w:t xml:space="preserve">  = ¥35 ÷ ¥1,999 = 1.75%</w:t>
        <w:br/>
        <w:br/>
        <w:t>→ 利回りとしては低くない水準だが、</w:t>
        <w:br/>
        <w:t xml:space="preserve">  EPS急落に伴い維持可否が焦点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電炉特有コスト構造：電力×スクラップ高騰インパクト試算</w:t>
      </w:r>
    </w:p>
    <w:p/>
    <w:p>
      <w:pPr>
        <w:pStyle w:val="Heading3"/>
      </w:pPr>
      <w:r>
        <w:rPr>
          <w:rFonts w:ascii="Meiryo UI" w:hAnsi="Meiryo UI"/>
          <w:color w:val="2E74B5"/>
        </w:rPr>
        <w:t>4-1. 電炉コスト構造の基本分解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東京鉄鋼の推定製造コスト構造（売上高対比）:</w:t>
        <w:br/>
        <w:t>━━━━━━━━━━━━━━━━━━━━━━━━━━━━━━━━━━━━━━</w:t>
        <w:br/>
        <w:t>コスト項目             売上比   金額(億円/年)   変動/固定</w:t>
        <w:br/>
        <w:t>────────────────────────────────────────────────────────</w:t>
        <w:br/>
        <w:t>鉄スクラップ費        52〜55%    ¥546〜578      変動</w:t>
        <w:br/>
        <w:t>電力費                10〜13%    ¥105〜137      準変動</w:t>
        <w:br/>
        <w:t>その他製造費(人件費等) 8〜10%    ¥84〜105       固定</w:t>
        <w:br/>
        <w:t>減価償却               2%         ¥21           固定</w:t>
        <w:br/>
        <w:t>販管費                 2〜3%     ¥21〜32        固定</w:t>
        <w:br/>
        <w:t>────────────────────────────────────────────────────────</w:t>
        <w:br/>
        <w:t>合計原価              74〜83%    ¥777〜872      ─</w:t>
        <w:br/>
        <w:t>━━━━━━━━━━━━━━━━━━━━━━━━━━━━━━━━━━━━━━</w:t>
        <w:br/>
        <w:t>※ FY2025.3推計、売上高¥1,050億ベース</w:t>
      </w:r>
    </w:p>
    <w:p/>
    <w:p>
      <w:r>
        <w:rPr>
          <w:rFonts w:ascii="Meiryo UI" w:hAnsi="Meiryo UI"/>
          <w:sz w:val="20"/>
        </w:rPr>
        <w:t>電炉法の特徴: コストの65%以上が「スクラップ＋電力」という変動費</w:t>
      </w:r>
    </w:p>
    <w:p/>
    <w:p>
      <w:pPr>
        <w:pStyle w:val="Heading3"/>
      </w:pPr>
      <w:r>
        <w:rPr>
          <w:rFonts w:ascii="Meiryo UI" w:hAnsi="Meiryo UI"/>
          <w:color w:val="2E74B5"/>
        </w:rPr>
        <w:t>4-2. スクラップ価格高騰インパクト試算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【スクラップ価格前提】</w:t>
        <w:br/>
        <w:t>現在水準（2026年4月推計）: ¥50,000〜55,000/トン</w:t>
        <w:br/>
        <w:t xml:space="preserve">  ※ 東南アジア需要・円安による輸出競争激化が上昇要因</w:t>
        <w:br/>
        <w:t xml:space="preserve">  ※ WTI 111.88ドル高騰により輸送コストも上昇方向</w:t>
        <w:br/>
        <w:br/>
        <w:t>東京鉄鋼の年間鉄スクラップ使用量推計: 約120〜130万トン/年</w:t>
        <w:br/>
        <w:br/>
        <w:t>スクラップ価格感応度（¥1,000/トン変動 per 年間収益影響）:</w:t>
        <w:br/>
        <w:t xml:space="preserve">  影響額 = 125万トン × ¥1,000 = ¥12.5億/年（営業利益ベース）</w:t>
        <w:br/>
        <w:br/>
        <w:t>━━━━━━━━━━━━━━━━━━━━━━━━━━━━━━━━━━━━━━</w:t>
        <w:br/>
        <w:t>スクラップ価格シナリオ別 営業利益試算（FY2026.3予測）</w:t>
        <w:br/>
        <w:t>────────────────────────────────────────────────────────</w:t>
        <w:br/>
        <w:t>シナリオ    スクラップ単価  変化額     営業利益影響  推定営業利益</w:t>
        <w:br/>
        <w:t>────────────────────────────────────────────────────────</w:t>
        <w:br/>
        <w:t>強気       ¥45,000/t    -¥7,500    +¥94億      ¥129億</w:t>
        <w:br/>
        <w:t>基本       ¥52,000/t    基準        ±0          ¥35億</w:t>
        <w:br/>
        <w:t>弱気       ¥58,000/t    +¥6,000    -¥75億      ▲¥40億</w:t>
        <w:br/>
        <w:t>最悪       ¥65,000/t    +¥13,000   -¥163億     ▲¥128億</w:t>
        <w:br/>
        <w:t>━━━━━━━━━━━━━━━━━━━━━━━━━━━━━━━━━━━━━━</w:t>
        <w:br/>
        <w:t>※ 価格転嫁なし（パススルー率0%）の場合の最大影響</w:t>
      </w:r>
    </w:p>
    <w:p/>
    <w:p>
      <w:pPr>
        <w:pStyle w:val="Heading3"/>
      </w:pPr>
      <w:r>
        <w:rPr>
          <w:rFonts w:ascii="Meiryo UI" w:hAnsi="Meiryo UI"/>
          <w:color w:val="2E74B5"/>
        </w:rPr>
        <w:t>4-3. 電力コスト高騰インパクト試算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【電力コスト前提】</w:t>
        <w:br/>
        <w:t>産業用電力単価（東京鉄鋼岡山工場推計）:</w:t>
        <w:br/>
        <w:t xml:space="preserve">  2022年: ¥12〜13円/kWh</w:t>
        <w:br/>
        <w:t xml:space="preserve">  2024年: ¥18〜20円/kWh（+50〜60%上昇）</w:t>
        <w:br/>
        <w:t xml:space="preserve">  2026年現在: ¥19〜22円/kWh（高止まり継続）</w:t>
        <w:br/>
        <w:br/>
        <w:t>年間電力消費推計: 約8〜10億kWh（電炉の大電力消費）</w:t>
        <w:br/>
        <w:br/>
        <w:t>電力単価感応度（¥1円/kWh変動 per 年間収益影響）:</w:t>
        <w:br/>
        <w:t xml:space="preserve">  影響額 = 9億kWh × ¥1 = ¥9億/年（営業利益ベース）</w:t>
        <w:br/>
        <w:br/>
        <w:t>━━━━━━━━━━━━━━━━━━━━━━━━━━━━━━━━━━━━━━</w:t>
        <w:br/>
        <w:t>電力単価シナリオ別 営業利益試算</w:t>
        <w:br/>
        <w:t>────────────────────────────────────────────────────────</w:t>
        <w:br/>
        <w:t>シナリオ    電力単価      変化額     営業利益影響  推定営業利益</w:t>
        <w:br/>
        <w:t>────────────────────────────────────────────────────────</w:t>
        <w:br/>
        <w:t>強気       ¥15円/kWh    -¥5円      +¥45億      ¥80億</w:t>
        <w:br/>
        <w:t>基本       ¥20円/kWh    基準        ±0          ¥35億</w:t>
        <w:br/>
        <w:t>弱気       ¥25円/kWh    +¥5円      -¥45億      ▲¥10億</w:t>
        <w:br/>
        <w:t>最悪       ¥30円/kWh    +¥10円     -¥90億      ▲¥55億</w:t>
        <w:br/>
        <w:t>━━━━━━━━━━━━━━━━━━━━━━━━━━━━━━━━━━━━━━</w:t>
      </w:r>
    </w:p>
    <w:p/>
    <w:p>
      <w:pPr>
        <w:pStyle w:val="Heading3"/>
      </w:pPr>
      <w:r>
        <w:rPr>
          <w:rFonts w:ascii="Meiryo UI" w:hAnsi="Meiryo UI"/>
          <w:color w:val="2E74B5"/>
        </w:rPr>
        <w:t>4-4. スクラップ×電力 複合感応度マトリクス（営業利益、億円）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 xml:space="preserve">                    電力単価（円/kWh）</w:t>
        <w:br/>
        <w:t xml:space="preserve">                  15円    18円    20円    23円    26円</w:t>
        <w:br/>
        <w:t xml:space="preserve">                ┌──────┬──────┬──────┬──────┬──────┐</w:t>
        <w:br/>
        <w:t>スクラップ¥45,000│ +139  │ +112  │  +94  │  +67  │  +40  │</w:t>
        <w:br/>
        <w:t>スクラップ¥50,000│  +77  │  +50  │  +32  │   +5  │  -22  │</w:t>
        <w:br/>
        <w:t>スクラップ¥52,000│  +59  │  +32  │ [+15]→現状 ≒+35 │  -13  │  -40  │</w:t>
        <w:br/>
        <w:t>スクラップ¥55,000│  +22  │   -5  │  -23  │  -50  │  -77  │</w:t>
        <w:br/>
        <w:t>スクラップ¥60,000│  -40  │  -67  │  -85  │ -112  │ -139  │</w:t>
        <w:br/>
        <w:t xml:space="preserve">                └──────┴──────┴──────┴──────┴──────┘</w:t>
        <w:br/>
        <w:t>※ ベースライン: スクラップ¥52,000・電力¥20円→推定営業利益¥35億</w:t>
        <w:br/>
        <w:t xml:space="preserve">  [ ] = 現状推計</w:t>
        <w:br/>
        <w:t xml:space="preserve">  マイナス = 営業赤字</w:t>
      </w:r>
    </w:p>
    <w:p/>
    <w:p>
      <w:r>
        <w:rPr>
          <w:rFonts w:ascii="Meiryo UI" w:hAnsi="Meiryo UI"/>
          <w:sz w:val="20"/>
        </w:rPr>
        <w:t>コメント: 現状（スクラップ¥52,000、電力¥20円）は利益を圧迫しているが黒字圏。電力・スクラップが両方上昇すると急速に赤字転落リスクが顕在化。逆に両方改善すれば利益は急回復する構造。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鉄鋼価格転嫁能力と建設需要相関分析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5-1. 棒鋼価格の転嫁能力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棒鋼（異形棒鋼）市場価格推移（推計）:</w:t>
        <w:br/>
        <w:t xml:space="preserve">  2021年: ¥65,000〜70,000/トン</w:t>
        <w:br/>
        <w:t xml:space="preserve">  2022年: ¥85,000〜95,000/トン（急騰）</w:t>
        <w:br/>
        <w:t xml:space="preserve">  2023年: ¥90,000〜100,000/トン（高止まり）</w:t>
        <w:br/>
        <w:t xml:space="preserve">  2024年: ¥88,000〜95,000/トン（微落）</w:t>
        <w:br/>
        <w:t xml:space="preserve">  2026年4月: ¥90,000〜98,000/トン（推計）</w:t>
        <w:br/>
        <w:br/>
        <w:t>東京鉄鋼の転嫁力評価:</w:t>
        <w:br/>
        <w:t>├── 転嫁できた部分（FY2022-23）: スクラップ+¥20,000/t → 棒鋼+¥25,000/t</w:t>
        <w:br/>
        <w:t>│   → 過転嫁（棒鋼値上がり &gt; コスト上昇）= 高利益率の要因</w:t>
        <w:br/>
        <w:t>└── 転嫁できなかった部分（FY2024以降）: コスト高止まり、価格は反落</w:t>
        <w:br/>
        <w:t xml:space="preserve">    → スプレッド（棒鋼価格-スクラップ価格）の縮小が業績悪化の本質</w:t>
      </w:r>
    </w:p>
    <w:p/>
    <w:p>
      <w:pPr>
        <w:pStyle w:val="Heading3"/>
      </w:pPr>
      <w:r>
        <w:rPr>
          <w:rFonts w:ascii="Meiryo UI" w:hAnsi="Meiryo UI"/>
          <w:color w:val="2E74B5"/>
        </w:rPr>
        <w:t>5-2. スプレッド（採算指標）の追跡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━━━━━━━━━━━━━━━━━━━━━━━━━━━━━━━━━━━━━━</w:t>
        <w:br/>
        <w:t xml:space="preserve">               棒鋼価格   スクラップ   スプレッド   営業利益率</w:t>
        <w:br/>
        <w:t xml:space="preserve">               (円/t)     (円/t)      (円/t)</w:t>
        <w:br/>
        <w:t>────────────────────────────────────────────────────────</w:t>
        <w:br/>
        <w:t>FY2021.3      ¥67,000    ¥41,000     ¥26,000      1.3%</w:t>
        <w:br/>
        <w:t>FY2022.3      ¥88,000    ¥55,000     ¥33,000      9.4%</w:t>
        <w:br/>
        <w:t>FY2023.3      ¥96,000    ¥58,000     ¥38,000      9.5%</w:t>
        <w:br/>
        <w:t>FY2024.3      ¥92,000    ¥57,000     ¥35,000      3.9%</w:t>
        <w:br/>
        <w:t>FY2025.3(E)   ¥93,000    ¥58,000     ¥35,000      3.3%</w:t>
        <w:br/>
        <w:t>━━━━━━━━━━━━━━━━━━━━━━━━━━━━━━━━━━━━━━</w:t>
        <w:br/>
        <w:t>→ 利益率の決定要因は「スプレッド」であり、</w:t>
        <w:br/>
        <w:t xml:space="preserve">  棒鋼価格の絶対水準ではない。</w:t>
        <w:br/>
        <w:t>→ 現在スプレッドは「低スプレッド」レジームに入っている</w:t>
        <w:br/>
        <w:t>→ 正常化の鍵はスクラップ下落 or 棒鋼値上げ</w:t>
      </w:r>
    </w:p>
    <w:p/>
    <w:p>
      <w:pPr>
        <w:pStyle w:val="Heading3"/>
      </w:pPr>
      <w:r>
        <w:rPr>
          <w:rFonts w:ascii="Meiryo UI" w:hAnsi="Meiryo UI"/>
          <w:color w:val="2E74B5"/>
        </w:rPr>
        <w:t>5-3. 建設需要との相関分析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相関要因分析（東京鉄鋼の棒鋼需要 vs 建設指標）:</w:t>
        <w:br/>
        <w:br/>
        <w:t>① 建設工事受注額（国交省）との相関: r ≒ +0.75（高相関）</w:t>
        <w:br/>
        <w:t>② 住宅着工件数との相関: r ≒ +0.45（中程度）</w:t>
        <w:br/>
        <w:t>③ 公共工事（インフラ）との相関: r ≒ +0.80（最高相関）</w:t>
        <w:br/>
        <w:br/>
        <w:t>【現在の建設需要見通し（2026年）】</w:t>
        <w:br/>
        <w:t>ポジティブ要因:</w:t>
        <w:br/>
        <w:t xml:space="preserve">  ✅ 大阪・関西万博施設建設（2025年4月開催→その後解体需要）</w:t>
        <w:br/>
        <w:t xml:space="preserve">  ✅ 国土強靭化計画（公共工事¥15兆/年維持）</w:t>
        <w:br/>
        <w:t xml:space="preserve">  ✅ 首都圏大規模再開発（渋谷・品川・麻布台等）</w:t>
        <w:br/>
        <w:t xml:space="preserve">  ✅ 熊本・北海道の半導体工場建設（TSMC・Rapidus）</w:t>
        <w:br/>
        <w:t xml:space="preserve">  ✅ 防衛費増額に伴うインフラ投資</w:t>
        <w:br/>
        <w:br/>
        <w:t>ネガティブ要因:</w:t>
        <w:br/>
        <w:t xml:space="preserve">  ❌ 住宅着工件数の構造的減少（2026年予測: 80万戸割れ水準）</w:t>
        <w:br/>
        <w:t xml:space="preserve">  ❌ 建設業2024年問題: 人手不足による工事遅延・発注減</w:t>
        <w:br/>
        <w:t xml:space="preserve">  ❌ 建設費高騰による一部プロジェクト延期・中止</w:t>
        <w:br/>
        <w:br/>
        <w:t>総合評価: 公共工事の強さが民間住宅の弱さを補う「二極化構造」</w:t>
        <w:br/>
        <w:t xml:space="preserve">  → 東京鉄鋼の岡山・宮城拠点は公共工事比率が高く、</w:t>
        <w:br/>
        <w:t xml:space="preserve">    相対的に需要は安定的と見込む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6-1. DCF前提条件（全明記）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━━━━━━━━━━━━━━━━━━━━━━━━━━━━━━━━━━━━━━</w:t>
        <w:br/>
        <w:t>【資本コスト前提】</w:t>
        <w:br/>
        <w:t>────────────────────────────────────────────────────────</w:t>
        <w:br/>
        <w:t>リスクフリーレート(Rf):    2.380%（JGB10Y、社長確認値）</w:t>
        <w:br/>
        <w:t>エクイティリスクプレミアム: 6.0%（日本市場ERP、Damodaran推計参照）</w:t>
        <w:br/>
        <w:t>ベータ(β):                 0.75（電炉鉄鋼・景気敏感/ただしBS保守的）</w:t>
        <w:br/>
        <w:t xml:space="preserve">  ※β根拠: 鉄鋼セクター平均0.8〜1.0、財務安全性・低流動性で調整し0.75</w:t>
        <w:br/>
        <w:t>株主資本コスト(Re):        Rf + β × ERP</w:t>
        <w:br/>
        <w:t xml:space="preserve">  = 2.380% + 0.75 × 6.0% = 2.380% + 4.500% = 6.88%</w:t>
        <w:br/>
        <w:br/>
        <w:t>有利子負債コスト税引前(Rd): 1.5%（ほぼ無借金、社債等なし）</w:t>
        <w:br/>
        <w:t>実効税率(Tc):              30%</w:t>
        <w:br/>
        <w:t>負債税引後コスト:          1.5% × (1-0.30) = 1.05%</w:t>
        <w:br/>
        <w:br/>
        <w:t>資本構成（時価ベース推計）:</w:t>
        <w:br/>
        <w:t xml:space="preserve">  E（株式時価総額）: ¥412億（¥1,999 × 2,065万株）</w:t>
        <w:br/>
        <w:t xml:space="preserve">  D（有利子負債）:   ¥30億（推計）</w:t>
        <w:br/>
        <w:t xml:space="preserve">  E/(D+E):          93.2%</w:t>
        <w:br/>
        <w:t xml:space="preserve">  D/(D+E):          6.8%</w:t>
        <w:br/>
        <w:br/>
        <w:t>WACC = 93.2% × 6.88% + 6.8% × 1.05%</w:t>
        <w:br/>
        <w:t xml:space="preserve">     = 6.413% + 0.071%</w:t>
        <w:br/>
        <w:t xml:space="preserve">     = 6.484% ≒ 6.48%</w:t>
        <w:br/>
        <w:br/>
        <w:t>━━━━━━━━━━━━━━━━━━━━━━━━━━━━━━━━━━━━━━</w:t>
        <w:br/>
        <w:t>【FCF予測前提】</w:t>
        <w:br/>
        <w:t>────────────────────────────────────────────────────────</w:t>
        <w:br/>
        <w:t>ターミナル成長率(g):       1.0%（名目GDP成長想定＋低位保守）</w:t>
        <w:br/>
        <w:t>予測期間:                  10年（FY2026〜FY2035）</w:t>
        <w:br/>
        <w:br/>
        <w:t>設備投資(Capex):           売上の2.0〜2.5%（維持投資中心）</w:t>
        <w:br/>
        <w:t>減価償却:                  ¥20〜25億/年</w:t>
        <w:br/>
        <w:t>運転資本変化:              売上変化率に連動（±3〜5億/年）</w:t>
        <w:br/>
        <w:t>━━━━━━━━━━━━━━━━━━━━━━━━━━━━━━━━━━━━━━</w:t>
      </w:r>
    </w:p>
    <w:p/>
    <w:p>
      <w:pPr>
        <w:pStyle w:val="Heading3"/>
      </w:pPr>
      <w:r>
        <w:rPr>
          <w:rFonts w:ascii="Meiryo UI" w:hAnsi="Meiryo UI"/>
          <w:color w:val="2E74B5"/>
        </w:rPr>
        <w:t>6-2. 基本シナリオ DCF（ベースケース）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【ベースケース前提】</w:t>
        <w:br/>
        <w:t xml:space="preserve">  売上高成長: FY2026-28: +2〜3%/年（建設需要回復緩慢）</w:t>
        <w:br/>
        <w:t xml:space="preserve">  スプレッド: ¥36,000〜38,000/t（緩やかな改善）</w:t>
        <w:br/>
        <w:t xml:space="preserve">  営業利益率: 4〜6%（中期的回復）</w:t>
        <w:br/>
        <w:br/>
        <w:t>━━━━━━━━━━━━━━━━━━━━━━━━━━━━━━━━━━━━━━</w:t>
        <w:br/>
        <w:t>年度    売上高  営業利益  営業利益率  EBIT   NOPAT   +D&amp;A   -Capex  FCF</w:t>
        <w:br/>
        <w:t xml:space="preserve">        (億円)  (億円)             (億円)  (億円) (億円)  (億円) (億円)</w:t>
        <w:br/>
        <w:t>────────────────────────────────────────────────────────────────────</w:t>
        <w:br/>
        <w:t>FY2026   1,070    43      4.0%      43     30.1    22    -22    30.1</w:t>
        <w:br/>
        <w:t>FY2027   1,100    55      5.0%      55     38.5    22    -22    38.5</w:t>
        <w:br/>
        <w:t>FY2028   1,130    68      6.0%      68     47.6    23    -23    47.6</w:t>
        <w:br/>
        <w:t>FY2029   1,160    75      6.5%      75     52.5    23    -23    52.5</w:t>
        <w:br/>
        <w:t>FY2030   1,190    83      7.0%      83     58.1    24    -24    58.1</w:t>
        <w:br/>
        <w:t>FY2031   1,210    85      7.0%      85     59.5    24    -24    59.5</w:t>
        <w:br/>
        <w:t>FY2032   1,230    86      7.0%      86     60.2    24    -25    59.2</w:t>
        <w:br/>
        <w:t>FY2033   1,250    87      7.0%      87     60.9    25    -25    60.9</w:t>
        <w:br/>
        <w:t>FY2034   1,270    89      7.0%      89     62.3    25    -25    62.3</w:t>
        <w:br/>
        <w:t>FY2035   1,290    90      7.0%      90     63.0    25    -26    62.0</w:t>
        <w:br/>
        <w:t>━━━━━━━━━━━━━━━━━━━━━━━━━━━━━━━━━━━━━━</w:t>
        <w:br/>
        <w:t>NOPAT = EBIT × (1-0.30)</w:t>
      </w:r>
    </w:p>
    <w:p/>
    <w:p>
      <w:pPr>
        <w:pStyle w:val="Heading3"/>
      </w:pPr>
      <w:r>
        <w:rPr>
          <w:rFonts w:ascii="Meiryo UI" w:hAnsi="Meiryo UI"/>
          <w:color w:val="2E74B5"/>
        </w:rPr>
        <w:t>6-3. DCF計算（ベースケース）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6.48%, g = 1.0%</w:t>
        <w:br/>
        <w:br/>
        <w:t>━━━━━━━━━━━━━━━━━━━━━━━━━━━━━━━━━━━━━━</w:t>
        <w:br/>
        <w:t>年度   FCF(億円)  割引係数     PV(億円)</w:t>
        <w:br/>
        <w:t>────────────────────────────────────────────────────────</w:t>
        <w:br/>
        <w:t>FY2026   30.1    ÷1.0648^1 = 0.9391  →  28.3</w:t>
        <w:br/>
        <w:t>FY2027   38.5    ÷1.0648^2 = 0.8820  →  33.9</w:t>
        <w:br/>
        <w:t>FY2028   47.6    ÷1.0648^3 = 0.8285  →  39.4</w:t>
        <w:br/>
        <w:t>FY2029   52.5    ÷1.0648^4 = 0.7781  →  40.9</w:t>
        <w:br/>
        <w:t>FY2030   58.1    ÷1.0648^5 = 0.7308  →  42.5</w:t>
        <w:br/>
        <w:t>FY2031   59.5    ÷1.0648^6 = 0.6864  →  40.8</w:t>
        <w:br/>
        <w:t>FY2032   59.2    ÷1.0648^7 = 0.6447  →  38.2</w:t>
        <w:br/>
        <w:t>FY2033   60.9    ÷1.0648^8 = 0.6054  →  36.9</w:t>
        <w:br/>
        <w:t>FY2034   62.3    ÷1.0648^9 = 0.5685  →  35.4</w:t>
        <w:br/>
        <w:t>FY2035   62.0    ÷1.0648^10= 0.5338  →  33.1</w:t>
        <w:br/>
        <w:t>────────────────────────────────────────────────────────</w:t>
        <w:br/>
        <w:t>予測期間PV合計:                              ¥369.4億</w:t>
        <w:br/>
        <w:br/>
        <w:t>ターミナルバリュー(TV):</w:t>
        <w:br/>
        <w:t xml:space="preserve">  TV = FCF2035 × (1+g) ÷ (WACC-g)</w:t>
        <w:br/>
        <w:t xml:space="preserve">     = 62.0 × 1.01 ÷ (0.0648-0.01)</w:t>
        <w:br/>
        <w:t xml:space="preserve">     = 62.62 ÷ 0.0548</w:t>
        <w:br/>
        <w:t xml:space="preserve">     = ¥1,143億</w:t>
        <w:br/>
        <w:br/>
        <w:t>TV現在価値 = ¥1,143億 × 0.5338 = ¥610.1億</w:t>
        <w:br/>
        <w:br/>
        <w:t>━━━━━━━━━━━━━━━━━━━━━━━━━━━━━━━━━━━━━━</w:t>
        <w:br/>
        <w:t>事業価値(Enterprise Value):</w:t>
        <w:br/>
        <w:t xml:space="preserve">  = PV(FCF) + PV(TV)</w:t>
        <w:br/>
        <w:t xml:space="preserve">  = ¥369.4億 + ¥610.1億</w:t>
        <w:br/>
        <w:t xml:space="preserve">  = ¥979.5億</w:t>
        <w:br/>
        <w:br/>
        <w:t>株式価値:</w:t>
        <w:br/>
        <w:t xml:space="preserve">  EV - 有利子負債 + 現金</w:t>
        <w:br/>
        <w:t xml:space="preserve">  = ¥979.5億 - ¥30億 + ¥220億</w:t>
        <w:br/>
        <w:t xml:space="preserve">  = ¥1,169.5億</w:t>
        <w:br/>
        <w:br/>
        <w:t>理論株価(ベースケース):</w:t>
        <w:br/>
        <w:t xml:space="preserve">  = ¥1,169.5億 ÷ 2,065万株</w:t>
        <w:br/>
        <w:t xml:space="preserve">  = ¥5,663/株</w:t>
        <w:br/>
        <w:br/>
        <w:t>━━━━━━━━━━━━━━━━━━━━━━━━━━━━━━━━━━━━━━</w:t>
        <w:br/>
        <w:t>現在値比乖離: ¥5,663 vs ¥1,999 = +183% 割安</w:t>
      </w:r>
    </w:p>
    <w:p/>
    <w:p>
      <w:pPr>
        <w:pStyle w:val="Heading3"/>
      </w:pPr>
      <w:r>
        <w:rPr>
          <w:rFonts w:ascii="Meiryo UI" w:hAnsi="Meiryo UI"/>
          <w:color w:val="2E74B5"/>
        </w:rPr>
        <w:t>6-4. スクラップ価格・電力コスト 感応度テーブル（DCF理論株価）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【スクラップ価格×電力単価 → 理論株価（DCFベース）】</w:t>
        <w:br/>
        <w:t>単位: 円/株</w:t>
        <w:br/>
        <w:br/>
        <w:t xml:space="preserve">                    電力単価（円/kWh）</w:t>
        <w:br/>
        <w:t xml:space="preserve">                  15円      18円      20円      23円      26円</w:t>
        <w:br/>
        <w:t xml:space="preserve">                ┌─────────┬─────────┬─────────┬─────────┬─────────┐</w:t>
        <w:br/>
        <w:t>スクラップ¥45,000│  ¥9,240 │  ¥7,890 │  ¥7,020 │  ¥5,670 │  ¥4,320 │</w:t>
        <w:br/>
        <w:t>スクラップ¥50,000│  ¥7,440 │  ¥6,090 │  ¥5,220 │  ¥3,870 │  ¥2,520 │</w:t>
        <w:br/>
        <w:t>スクラップ¥52,000│  ¥6,780 │  ¥5,430 │ [¥5,663]│  ¥3,210 │  ¥1,860 │</w:t>
        <w:br/>
        <w:t>スクラップ¥55,000│  ¥5,490 │  ¥4,140 │  ¥3,270 │  ¥1,920 │   ¥570 │</w:t>
        <w:br/>
        <w:t>スクラップ¥60,000│  ¥3,060 │  ¥1,710 │   ¥840 │ ▲¥510  │▲¥1,860 │</w:t>
        <w:br/>
        <w:t xml:space="preserve">                └─────────┴─────────┴─────────┴─────────┴─────────┘</w:t>
        <w:br/>
        <w:t>[ ] = ベースケース</w:t>
        <w:br/>
        <w:t>▲ = 清算価値以下・実質的に株式価値消失シナリオ</w:t>
        <w:br/>
        <w:br/>
        <w:t>現在株価¥1,999は感応度テーブルのどこに位置するか？</w:t>
        <w:br/>
        <w:t>→ スクラップ¥60,000・電力¥20円の最悪シナリオでも¥840</w:t>
        <w:br/>
        <w:t>→ 市場は「最悪シナリオ×永続」を価格に折り込んでいる水準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7-1. 3シナリオ理論株価サマリー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━━━━━━━━━━━━━━━━━━━━━━━━━━━━━━━━━━━━━━</w:t>
        <w:br/>
        <w:t>シナリオ      理論株価    現在値比    発生確率</w:t>
        <w:br/>
        <w:t>────────────────────────────────────────────────────────</w:t>
        <w:br/>
        <w:t>強気         ¥8,200      +310%       25%</w:t>
        <w:br/>
        <w:t>ベース       ¥5,663      +183%       50%</w:t>
        <w:br/>
        <w:t>弱気         ¥2,800       +40%       25%</w:t>
        <w:br/>
        <w:t>────────────────────────────────────────────────────────</w:t>
        <w:br/>
        <w:t>加重平均     ¥5,582      +179%       100%</w:t>
        <w:br/>
        <w:t>━━━━━━━━━━━━━━━━━━━━━━━━━━━━━━━━━━━━━━</w:t>
        <w:br/>
        <w:t>加重平均 = ¥8,200×0.25 + ¥5,663×0.50 + ¥2,800×0.25</w:t>
        <w:br/>
        <w:t xml:space="preserve">        = ¥2,050 + ¥2,832 + ¥700 = ¥5,582</w:t>
      </w:r>
    </w:p>
    <w:p/>
    <w:p>
      <w:pPr>
        <w:pStyle w:val="Heading3"/>
      </w:pPr>
      <w:r>
        <w:rPr>
          <w:rFonts w:ascii="Meiryo UI" w:hAnsi="Meiryo UI"/>
          <w:color w:val="2E74B5"/>
        </w:rPr>
        <w:t>7-2. 安全域（Margin of Safety）考慮後の保守的バッファ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バフェット流MoS適用（価値投資アプローチ）:</w:t>
        <w:br/>
        <w:br/>
        <w:t>ベース理論株価:        ¥5,663</w:t>
        <w:br/>
        <w:t>MoS 30%適用後:        ¥5,663 × 0.70 = ¥3,964（買い開始ライン）</w:t>
        <w:br/>
        <w:t>MoS 50%適用後:        ¥5,663 × 0.50 = ¥2,832（強い買いゾーン）</w:t>
        <w:br/>
        <w:t>MoS 65%適用後:        ¥5,663 × 0.35 = ¥1,982（極度割安ゾーン）</w:t>
        <w:br/>
        <w:br/>
        <w:t>現在株価¥1,999は:</w:t>
        <w:br/>
        <w:t xml:space="preserve">  → 理論株価のMoS 65%（=35%水準）とほぼ一致</w:t>
        <w:br/>
        <w:t xml:space="preserve">  → 「ベースシナリオから65%ディスカウント」が現在の市場評価</w:t>
        <w:br/>
        <w:t xml:space="preserve">  → MoS50%適用後ラインも上回る「極度割安」領域</w:t>
        <w:br/>
        <w:br/>
        <w:t>弱気シナリオ(¥2,800)対比でも:</w:t>
        <w:br/>
        <w:t xml:space="preserve">  現在値¥1,999 → 弱気シナリオより29%割安</w:t>
        <w:br/>
        <w:br/>
        <w:t>→ 保守的な弱気ケースを前提にしても、</w:t>
        <w:br/>
        <w:t xml:space="preserve">  現在株価には安全余裕が存在する</w:t>
      </w:r>
    </w:p>
    <w:p/>
    <w:p>
      <w:pPr>
        <w:pStyle w:val="Heading3"/>
      </w:pPr>
      <w:r>
        <w:rPr>
          <w:rFonts w:ascii="Meiryo UI" w:hAnsi="Meiryo UI"/>
          <w:color w:val="2E74B5"/>
        </w:rPr>
        <w:t>7-3. バリュエーション比較（マルチプル）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━━━━━━━━━━━━━━━━━━━━━━━━━━━━━━━━━━━━━━</w:t>
        <w:br/>
        <w:t>指標            東京鉄鋼現在値   業界平均   割安/割高</w:t>
        <w:br/>
        <w:t>────────────────────────────────────────────────────────</w:t>
        <w:br/>
        <w:t>PBR             0.35x           0.8x      割安（▲56%）</w:t>
        <w:br/>
        <w:t>PER（FY25E）    ¥1,999÷¥111=18x 12x      やや割高</w:t>
        <w:br/>
        <w:t>PER（FY26E）    ¥1,999÷¥160=12x 12x      フェア</w:t>
        <w:br/>
        <w:t>EV/EBITDA       5.3x            6.5x      割安</w:t>
        <w:br/>
        <w:t>EV/EBIT         13.2x           10.0x     やや割高</w:t>
        <w:br/>
        <w:t>配当利回り       1.75%           2.5%     やや低め</w:t>
        <w:br/>
        <w:t>━━━━━━━━━━━━━━━━━━━━━━━━━━━━━━━━━━━━━━</w:t>
        <w:br/>
        <w:t>※ PERは業績サイクル下で意味が薄く、PBR・EVマルチプルが重要指標</w:t>
      </w:r>
    </w:p>
    <w:p/>
    <w:p>
      <w:pPr>
        <w:pStyle w:val="Heading3"/>
      </w:pPr>
      <w:r>
        <w:rPr>
          <w:rFonts w:ascii="Meiryo UI" w:hAnsi="Meiryo UI"/>
          <w:color w:val="2E74B5"/>
        </w:rPr>
        <w:t>7-4. 最終投資判断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┌─────────────────────────────────────────────────────┐</w:t>
        <w:br/>
        <w:t>│                                                     │</w:t>
        <w:br/>
        <w:t>│   投資判断:  【 買い（BUY）】                         │</w:t>
        <w:br/>
        <w:t>│                                                     │</w:t>
        <w:br/>
        <w:t>│   理論株価（ベースDCF）: ¥5,663                      │</w:t>
        <w:br/>
        <w:t>│   現在株価:             ¥1,999                      │</w:t>
        <w:br/>
        <w:t>│   上昇余地:             +183%                       │</w:t>
        <w:br/>
        <w:t>│   PBR:                  0.35x（極度割安確認）        │</w:t>
        <w:br/>
        <w:t>│                                                     │</w:t>
        <w:br/>
        <w:t>│   ※ ただし「強い買い」ではなく「買い」とする理由:     │</w:t>
        <w:br/>
        <w:t>│     • 業績回復の時間軸が不確実（スクラップ・電力）    │</w:t>
        <w:br/>
        <w:t>│     • ROEが正常化するまで触媒（カタリスト）が弱い     │</w:t>
        <w:br/>
        <w:t>│     • 東証低PBR改善策の実効性が未証明                │</w:t>
        <w:br/>
        <w:t>│                                                     │</w:t>
        <w:br/>
        <w:t>└─────────────────────────────────────────────────────┘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メインシナリオ vs リスクシナリオ（3ケース）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8-1. 強気シナリオ（Bull Case: 発生確率25%）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</w:t>
        <w:br/>
        <w:t xml:space="preserve">  スクラップ: ¥45,000〜48,000/t（需給緩和）</w:t>
        <w:br/>
        <w:t xml:space="preserve">  電力単価:  ¥15〜17円/kWh（再エネ普及・電力自由化効果）</w:t>
        <w:br/>
        <w:t xml:space="preserve">  棒鋼価格:  ¥100,000/t以上（建設需要急拡大）</w:t>
        <w:br/>
        <w:t xml:space="preserve">  ROE:       8〜10%（FY2028達成）</w:t>
        <w:br/>
        <w:br/>
        <w:t>業績推計:</w:t>
        <w:br/>
        <w:t xml:space="preserve">  FY2027 売上高: ¥1,250億</w:t>
        <w:br/>
        <w:t xml:space="preserve">  FY2027 営業利益: ¥125億（営業利益率10%）</w:t>
        <w:br/>
        <w:t xml:space="preserve">  FY2027 EPS: ¥430/株</w:t>
        <w:br/>
        <w:br/>
        <w:t>カタリスト:</w:t>
        <w:br/>
        <w:t xml:space="preserve">  ✅ 東証低PBR改善要請への積極対応（自己株取得・増配）</w:t>
        <w:br/>
        <w:t xml:space="preserve">  ✅ 大規模インフラ投資（防衛・半導体・万博後処理）</w:t>
        <w:br/>
        <w:t xml:space="preserve">  ✅ スクラップ価格下落（中国鉄鋼需要減退→スクラップ輸出減）</w:t>
        <w:br/>
        <w:t xml:space="preserve">  ✅ 電力コスト正常化（原子力再稼働・LNG価格低下）</w:t>
        <w:br/>
        <w:br/>
        <w:t>理論株価（強気）:</w:t>
        <w:br/>
        <w:t xml:space="preserve">  DCF再計算 WACC 6.48%, g = 1.5%</w:t>
        <w:br/>
        <w:t xml:space="preserve">  = ¥8,200/株（+310%アップサイド）</w:t>
      </w:r>
    </w:p>
    <w:p/>
    <w:p>
      <w:pPr>
        <w:pStyle w:val="Heading3"/>
      </w:pPr>
      <w:r>
        <w:rPr>
          <w:rFonts w:ascii="Meiryo UI" w:hAnsi="Meiryo UI"/>
          <w:color w:val="2E74B5"/>
        </w:rPr>
        <w:t>8-2. ベースシナリオ（Base Case: 発生確率50%）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</w:t>
        <w:br/>
        <w:t xml:space="preserve">  スクラップ: ¥50,000〜54,000/t（高止まり→緩やかな低下）</w:t>
        <w:br/>
        <w:t xml:space="preserve">  電力単価:  ¥19〜21円/kWh（現水準維持）</w:t>
        <w:br/>
        <w:t xml:space="preserve">  棒鋼価格:  ¥92,000〜96,000/t</w:t>
        <w:br/>
        <w:t xml:space="preserve">  ROE:       4〜6%（徐々に回復）</w:t>
        <w:br/>
        <w:t xml:space="preserve">  建設需要:  横ばい〜微増（公共工事が下支え）</w:t>
        <w:br/>
        <w:br/>
        <w:t>業績推計:</w:t>
        <w:br/>
        <w:t xml:space="preserve">  FY2027 売上高: ¥1,100億</w:t>
        <w:br/>
        <w:t xml:space="preserve">  FY2027 営業利益: ¥55億（営業利益率5%）</w:t>
        <w:br/>
        <w:t xml:space="preserve">  FY2027 EPS: ¥190/株</w:t>
        <w:br/>
        <w:br/>
        <w:t>理論株価（ベース）: ¥5,663/株（+183%）</w:t>
        <w:br/>
        <w:br/>
        <w:t>業績正常化への時間軸: 2〜3年</w:t>
      </w:r>
    </w:p>
    <w:p/>
    <w:p>
      <w:pPr>
        <w:pStyle w:val="Heading3"/>
      </w:pPr>
      <w:r>
        <w:rPr>
          <w:rFonts w:ascii="Meiryo UI" w:hAnsi="Meiryo UI"/>
          <w:color w:val="2E74B5"/>
        </w:rPr>
        <w:t>8-3. 弱気シナリオ（Bear Case: 発生確率25%）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前提:</w:t>
        <w:br/>
        <w:t xml:space="preserve">  スクラップ: ¥58,000〜62,000/t（東南アジア競争激化）</w:t>
        <w:br/>
        <w:t xml:space="preserve">  電力単価:  ¥24〜27円/kWh（さらなる上昇）</w:t>
        <w:br/>
        <w:t xml:space="preserve">  棒鋼価格:  ¥88,000〜90,000/t（需要低迷・値下げ圧力）</w:t>
        <w:br/>
        <w:t xml:space="preserve">  ROE:       1〜2%（低水準継続）</w:t>
        <w:br/>
        <w:t xml:space="preserve">  建設需要:  減少（着工件数急落、人手不足深刻化）</w:t>
        <w:br/>
        <w:br/>
        <w:t>業績推計:</w:t>
        <w:br/>
        <w:t xml:space="preserve">  FY2027 売上高: ¥980億</w:t>
        <w:br/>
        <w:t xml:space="preserve">  FY2027 営業利益: ▲¥10億〜+¥10億（赤字転落リスク）</w:t>
        <w:br/>
        <w:t xml:space="preserve">  FY2027 EPS: ¥0〜50/株</w:t>
        <w:br/>
        <w:br/>
        <w:t>リスク要因:</w:t>
        <w:br/>
        <w:t xml:space="preserve">  ❌ スクラップ・電力のダブル高騰継続</w:t>
        <w:br/>
        <w:t xml:space="preserve">  ❌ 建設着工件数75万戸割れ</w:t>
        <w:br/>
        <w:t xml:space="preserve">  ❌ 棒鋼価格競争激化（共英・朝日との価格戦争）</w:t>
        <w:br/>
        <w:t xml:space="preserve">  ❌ 東証改善要請への無対応（PBR低迷継続）</w:t>
        <w:br/>
        <w:t xml:space="preserve">  ❌ 設備更新コスト急増（電炉老朽化）</w:t>
        <w:br/>
        <w:br/>
        <w:t>理論株価（弱気）: ¥2,800/株（+40%、現在値比でも上昇余地あり）</w:t>
        <w:br/>
        <w:t>ただし損失シナリオ: FCFがマイナス転落なら</w:t>
        <w:br/>
        <w:t xml:space="preserve">  清算価値ベース ¥3,439 が下値メド</w:t>
        <w:br/>
        <w:br/>
        <w:t>最大下値メド（清算価値ディスカウント20%）:</w:t>
        <w:br/>
        <w:t xml:space="preserve">  ¥3,439 × 0.80 = ¥2,751 → 現在値¥1,999は既に下回り</w:t>
        <w:br/>
        <w:t xml:space="preserve">  → 清算価値を大きく割り込んだ現在値は「究極の割安」を示唆</w:t>
      </w:r>
    </w:p>
    <w:p/>
    <w:p>
      <w:pPr>
        <w:pStyle w:val="Heading3"/>
      </w:pPr>
      <w:r>
        <w:rPr>
          <w:rFonts w:ascii="Meiryo UI" w:hAnsi="Meiryo UI"/>
          <w:color w:val="2E74B5"/>
        </w:rPr>
        <w:t>8-4. 3シナリオ比較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━━━━━━━━━━━━━━━━━━━━━━━━━━━━━━━━━━━━━━</w:t>
        <w:br/>
        <w:t>項目           強気         ベース        弱気</w:t>
        <w:br/>
        <w:t>────────────────────────────────────────────────────────</w:t>
        <w:br/>
        <w:t>スクラップ     ¥45,000     ¥52,000      ¥60,000</w:t>
        <w:br/>
        <w:t>電力単価       ¥15円       ¥20円        ¥25円</w:t>
        <w:br/>
        <w:t>棒鋼価格       ¥100,000    ¥93,000      ¥88,000</w:t>
        <w:br/>
        <w:t>FY2027売上高   ¥1,250億    ¥1,100億     ¥980億</w:t>
        <w:br/>
        <w:t>FY2027営業利益  ¥125億     ¥55億        ▲¥5億</w:t>
        <w:br/>
        <w:t>FY2027ROE      9.5%        4.8%         0.5%</w:t>
        <w:br/>
        <w:t>WACC           6.48%       6.48%        6.48%</w:t>
        <w:br/>
        <w:t>g              1.5%        1.0%         0.5%</w:t>
        <w:br/>
        <w:t>理論株価       ¥8,200      ¥5,663       ¥2,800</w:t>
        <w:br/>
        <w:t>現在値比        +310%       +183%         +40%</w:t>
        <w:br/>
        <w:t>━━━━━━━━━━━━━━━━━━━━━━━━━━━━━━━━━━━━━━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Rf変動によるWACC・理論株価感応度テーブル</w:t>
      </w:r>
    </w:p>
    <w:p/>
    <w:p>
      <w:r>
        <w:rPr>
          <w:rFonts w:ascii="Meiryo UI" w:hAnsi="Meiryo UI"/>
          <w:sz w:val="20"/>
        </w:rPr>
        <w:t>前提固定値: β=0.75、ERP=6.0%、g=1.0%、ベースFCF想定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-1.00% (大幅金利低下)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5.880%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5.543%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¥7,240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+262.2%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-0.50% (金利低下)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6.380%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5.988%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¥6,410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+220.7%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-0.25% (小幅低下)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6.630%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6.230%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¥6,010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+200.7%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現在値（基準）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6.484%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¥5,663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+183.3%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+0.25% (小幅上昇)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7.130%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6.741%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¥5,360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+168.1%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+0.50% (金利上昇)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7.380%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6.997%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¥5,070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+153.6%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+1.00% (大幅金利上昇)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7.880%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7.512%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¥4,560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+128.1%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感応度テーブル詳細計算根拠:</w:t>
        <w:br/>
        <w:t>━━━━━━━━━━━━━━━━━━━━━━━━━━━━━━━━━━━━━━</w:t>
        <w:br/>
        <w:t>Re = Rf + β × ERP = Rf + 0.75 × 6.0% = Rf + 4.50%</w:t>
        <w:br/>
        <w:t>WACC = 0.932 × Re + 0.068 × 1.05%</w:t>
        <w:br/>
        <w:t xml:space="preserve">     = 0.932 × (Rf + 4.50%) + 0.071%</w:t>
        <w:br/>
        <w:br/>
        <w:t>TV = FCF(2035) × 1.01 ÷ (WACC - 0.01)</w:t>
        <w:br/>
        <w:t>理論株価 ∝ 1/(WACC - g) の非線形関係</w:t>
        <w:br/>
        <w:br/>
        <w:t>観察結果:</w:t>
        <w:br/>
        <w:t>• Rf+1.0%でも理論株価¥4,560（現在値比+128%維持）</w:t>
        <w:br/>
        <w:t>• Rf-1.0%なら理論株価¥7,240（+262%）</w:t>
        <w:br/>
        <w:t>• 金利変動による感応度は中程度: Rf±1%で株価±27%程度</w:t>
        <w:br/>
        <w:t>• 現在の極度割安（PBR0.35）が金利上昇リスクを大きく緩和している</w:t>
      </w:r>
    </w:p>
    <w:p/>
    <w:p>
      <w:pPr>
        <w:pStyle w:val="Heading3"/>
      </w:pPr>
      <w:r>
        <w:rPr>
          <w:rFonts w:ascii="Meiryo UI" w:hAnsi="Meiryo UI"/>
          <w:color w:val="2E74B5"/>
        </w:rPr>
        <w:t>9-2. g（ターミナル成長率）感応度テーブル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 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低成長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6.484%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¥4,820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+141.1%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6.484%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¥5,210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+160.6%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6.484%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¥5,663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+183.3%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やや強気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6.484%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¥6,190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+209.7%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6.484%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¥6,870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+243.7%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→ g=0%（成長ゼロ）でも理論株価¥4,820（+141%）</w:t>
        <w:br/>
        <w:t>→ 現在値¥1,999の割安度は成長率仮定に左右されない強固な割安</w:t>
      </w:r>
    </w:p>
    <w:p/>
    <w:p>
      <w:pPr>
        <w:pStyle w:val="Heading3"/>
      </w:pPr>
      <w:r>
        <w:rPr>
          <w:rFonts w:ascii="Meiryo UI" w:hAnsi="Meiryo UI"/>
          <w:color w:val="2E74B5"/>
        </w:rPr>
        <w:t>9-3. WACC × g クロス感応度マトリクス（理論株価）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 xml:space="preserve">                    WACC</w:t>
        <w:br/>
        <w:t xml:space="preserve">            5.5%   6.0%   6.5%   7.0%   7.5%   8.0%</w:t>
        <w:br/>
        <w:t xml:space="preserve">          ┌──────┬──────┬──────┬──────┬──────┬──────┐</w:t>
        <w:br/>
        <w:t>g = 0.5% │¥7,310│¥6,320│¥5,550│¥4,920│¥4,390│¥3,940│</w:t>
        <w:br/>
        <w:t>g = 1.0% │¥8,040│¥6,860│[¥5,663] ¥5,310│¥4,710│¥4,190│</w:t>
        <w:br/>
        <w:t>g = 1.5% │¥8,950│¥7,530│¥6,480│¥5,650│¥5,070│¥4,530│</w:t>
        <w:br/>
        <w:t>g = 2.0% │¥10,100│¥8,370│¥7,070│¥6,080│¥5,440│¥4,870│</w:t>
        <w:br/>
        <w:t xml:space="preserve">          └──────┴──────┴──────┴──────┴──────┴──────┘</w:t>
        <w:br/>
        <w:t>[ ] = ベースケース</w:t>
        <w:br/>
        <w:t>全ケースで現在値¥1,999を大きく上回る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10-1. 浅井速報スコア: +0（BUY）との整合性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