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[5445] 東京鉄鋼【Bloomberg確定値全面再計算・PBR0.82・BPS¥2,430・ROE15.7%】</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[5445] 東京鉄鋼【Bloomberg確定値全面再計算・PBR0.82・BPS¥2,430・ROE15.7%】</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東京鉄鋼（5445.T）DeepResearch レポート</w:t>
      </w:r>
    </w:p>
    <w:p/>
    <w:p>
      <w:r>
        <w:rPr>
          <w:rFonts w:ascii="Meiryo UI" w:hAnsi="Meiryo UI"/>
          <w:sz w:val="20"/>
        </w:rPr>
        <w:t>竹村トレードカンパニー / アナリスト：深井</w:t>
      </w:r>
    </w:p>
    <w:p>
      <w:r>
        <w:rPr>
          <w:rFonts w:ascii="Meiryo UI" w:hAnsi="Meiryo UI"/>
          <w:sz w:val="20"/>
        </w:rPr>
        <w:t>分析日：2026年4月6日 | 現在株価：¥1,999 | 基準Rf：2.380%</w:t>
      </w:r>
    </w:p>
    <w:p/>
    <w:p>
      <w:r>
        <w:t>──────────────────────────────────────────────────</w:t>
      </w:r>
    </w:p>
    <w:p/>
    <w:p>
      <w:r>
        <w:rPr>
          <w:rFonts w:ascii="Meiryo UI" w:hAnsi="Meiryo UI"/>
          <w:sz w:val="20"/>
        </w:rPr>
        <w:t>&gt; ## ⚠️ 【冒頭緊急宣言】過去レポート誤謬の完全破棄</w:t>
      </w:r>
    </w:p>
    <w:p>
      <w:r>
        <w:rPr>
          <w:rFonts w:ascii="Meiryo UI" w:hAnsi="Meiryo UI"/>
          <w:sz w:val="20"/>
        </w:rPr>
        <w:t>&gt;</w:t>
      </w:r>
    </w:p>
    <w:p>
      <w:r>
        <w:rPr>
          <w:rFonts w:ascii="Meiryo UI" w:hAnsi="Meiryo UI"/>
          <w:sz w:val="20"/>
        </w:rPr>
        <w:t>&gt; 本レポートは社長執行命令（2026/04/06）に基づき、過去2回のレポートで使用した以下の数値を完全かつ不可逆的に破棄する。</w:t>
      </w:r>
    </w:p>
    <w:p>
      <w:r>
        <w:rPr>
          <w:rFonts w:ascii="Meiryo UI" w:hAnsi="Meiryo UI"/>
          <w:sz w:val="20"/>
        </w:rPr>
        <w:t>&gt;</w:t>
      </w:r>
    </w:p>
    <w:p>
      <w:r>
        <w:rPr>
          <w:rFonts w:ascii="Meiryo UI" w:hAnsi="Meiryo UI"/>
          <w:sz w:val="20"/>
        </w:rPr>
        <w:t>&gt; | 項目 | 破棄する誤り値 | 理由 |</w:t>
      </w:r>
    </w:p>
    <w:p>
      <w:r>
        <w:rPr>
          <w:rFonts w:ascii="Meiryo UI" w:hAnsi="Meiryo UI"/>
          <w:sz w:val="20"/>
        </w:rPr>
        <w:t>&gt; |------|--------------|------|</w:t>
      </w:r>
    </w:p>
    <w:p>
      <w:r>
        <w:rPr>
          <w:rFonts w:ascii="Meiryo UI" w:hAnsi="Meiryo UI"/>
          <w:sz w:val="20"/>
        </w:rPr>
        <w:t>&gt; | 総資産 | ¥1,500億（架空） | Bloomberg実数値と乖離 |</w:t>
      </w:r>
    </w:p>
    <w:p>
      <w:r>
        <w:rPr>
          <w:rFonts w:ascii="Meiryo UI" w:hAnsi="Meiryo UI"/>
          <w:sz w:val="20"/>
        </w:rPr>
        <w:t>&gt; | 純資産 | ¥1,180億（架空） | Bloomberg実数値と乖離 |</w:t>
      </w:r>
    </w:p>
    <w:p>
      <w:r>
        <w:rPr>
          <w:rFonts w:ascii="Meiryo UI" w:hAnsi="Meiryo UI"/>
          <w:sz w:val="20"/>
        </w:rPr>
        <w:t>&gt; | BPS | ¥5,714（架空） | Bloomberg確定値¥2,430と完全矛盾 |</w:t>
      </w:r>
    </w:p>
    <w:p>
      <w:r>
        <w:rPr>
          <w:rFonts w:ascii="Meiryo UI" w:hAnsi="Meiryo UI"/>
          <w:sz w:val="20"/>
        </w:rPr>
        <w:t>&gt; | PBR | 0.35（架空） | Bloomberg確定値0.82と完全矛盾 |</w:t>
      </w:r>
    </w:p>
    <w:p>
      <w:r>
        <w:rPr>
          <w:rFonts w:ascii="Meiryo UI" w:hAnsi="Meiryo UI"/>
          <w:sz w:val="20"/>
        </w:rPr>
        <w:t>&gt; | 投資判断 | 「極度割安」（誤謬） | PBR0.82は「適度割安〜適正水準」が正しい解釈 |</w:t>
      </w:r>
    </w:p>
    <w:p>
      <w:r>
        <w:rPr>
          <w:rFonts w:ascii="Meiryo UI" w:hAnsi="Meiryo UI"/>
          <w:sz w:val="20"/>
        </w:rPr>
        <w:t>&gt;</w:t>
      </w:r>
    </w:p>
    <w:p>
      <w:r>
        <w:rPr>
          <w:rFonts w:ascii="Meiryo UI" w:hAnsi="Meiryo UI"/>
          <w:sz w:val="20"/>
        </w:rPr>
        <w:t>&gt; 以下の分析は Bloomberg確定値（PBR=0.82 / BPS=¥2,430 / ROE=15.7%）を唯一の起点とする。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【社長執行命令対応】Bloomberg実数値による全面再計算</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東京鉄鋼株式会社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5445（東証プライム）</w:t>
            </w:r>
          </w:p>
        </w:tc>
      </w:tr>
      <w:tr>
        <w:tc>
          <w:tcPr>
            <w:tcW w:type="dxa" w:w="4703"/>
          </w:tcPr>
          <w:p>
            <w:r>
              <w:rPr>
                <w:rFonts w:ascii="Meiryo UI" w:hAnsi="Meiryo UI"/>
                <w:sz w:val="18"/>
              </w:rPr>
              <w:t>本社</w:t>
            </w:r>
          </w:p>
        </w:tc>
        <w:tc>
          <w:tcPr>
            <w:tcW w:type="dxa" w:w="4703"/>
          </w:tcPr>
          <w:p>
            <w:r>
              <w:rPr>
                <w:rFonts w:ascii="Meiryo UI" w:hAnsi="Meiryo UI"/>
                <w:sz w:val="18"/>
              </w:rPr>
              <w:t>東京都</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1939年</w:t>
            </w:r>
          </w:p>
        </w:tc>
      </w:tr>
      <w:tr>
        <w:tc>
          <w:tcPr>
            <w:tcW w:type="dxa" w:w="4703"/>
          </w:tcPr>
          <w:p>
            <w:r>
              <w:rPr>
                <w:rFonts w:ascii="Meiryo UI" w:hAnsi="Meiryo UI"/>
                <w:sz w:val="18"/>
              </w:rPr>
              <w:t>事業内容</w:t>
            </w:r>
          </w:p>
        </w:tc>
        <w:tc>
          <w:tcPr>
            <w:tcW w:type="dxa" w:w="4703"/>
          </w:tcPr>
          <w:p>
            <w:r>
              <w:rPr>
                <w:rFonts w:ascii="Meiryo UI" w:hAnsi="Meiryo UI"/>
                <w:sz w:val="18"/>
              </w:rPr>
              <w:t>電炉による棒鋼・線材製造、建設用鉄筋（SD345/490系）</w:t>
            </w:r>
          </w:p>
        </w:tc>
      </w:tr>
      <w:tr>
        <w:tc>
          <w:tcPr>
            <w:tcW w:type="dxa" w:w="4703"/>
            <w:shd w:val="clear" w:color="auto" w:fill="DDEBF7"/>
          </w:tcPr>
          <w:p>
            <w:r>
              <w:rPr>
                <w:rFonts w:ascii="Meiryo UI" w:hAnsi="Meiryo UI"/>
                <w:sz w:val="18"/>
              </w:rPr>
              <w:t>主力製品</w:t>
            </w:r>
          </w:p>
        </w:tc>
        <w:tc>
          <w:tcPr>
            <w:tcW w:type="dxa" w:w="4703"/>
            <w:shd w:val="clear" w:color="auto" w:fill="DDEBF7"/>
          </w:tcPr>
          <w:p>
            <w:r>
              <w:rPr>
                <w:rFonts w:ascii="Meiryo UI" w:hAnsi="Meiryo UI"/>
                <w:sz w:val="18"/>
              </w:rPr>
              <w:t>鉄筋棒鋼（建設向け）、線材、異形棒鋼</w:t>
            </w:r>
          </w:p>
        </w:tc>
      </w:tr>
      <w:tr>
        <w:tc>
          <w:tcPr>
            <w:tcW w:type="dxa" w:w="4703"/>
          </w:tcPr>
          <w:p>
            <w:r>
              <w:rPr>
                <w:rFonts w:ascii="Meiryo UI" w:hAnsi="Meiryo UI"/>
                <w:sz w:val="18"/>
              </w:rPr>
              <w:t>生産方式</w:t>
            </w:r>
          </w:p>
        </w:tc>
        <w:tc>
          <w:tcPr>
            <w:tcW w:type="dxa" w:w="4703"/>
          </w:tcPr>
          <w:p>
            <w:r>
              <w:rPr>
                <w:rFonts w:ascii="Meiryo UI" w:hAnsi="Meiryo UI"/>
                <w:sz w:val="18"/>
              </w:rPr>
              <w:t>電炉（Electric Arc Furnace）＝スクラップ鉄原料</w:t>
            </w:r>
          </w:p>
        </w:tc>
      </w:tr>
      <w:tr>
        <w:tc>
          <w:tcPr>
            <w:tcW w:type="dxa" w:w="4703"/>
            <w:shd w:val="clear" w:color="auto" w:fill="DDEBF7"/>
          </w:tcPr>
          <w:p>
            <w:r>
              <w:rPr>
                <w:rFonts w:ascii="Meiryo UI" w:hAnsi="Meiryo UI"/>
                <w:sz w:val="18"/>
              </w:rPr>
              <w:t>販売チャネル</w:t>
            </w:r>
          </w:p>
        </w:tc>
        <w:tc>
          <w:tcPr>
            <w:tcW w:type="dxa" w:w="4703"/>
            <w:shd w:val="clear" w:color="auto" w:fill="DDEBF7"/>
          </w:tcPr>
          <w:p>
            <w:r>
              <w:rPr>
                <w:rFonts w:ascii="Meiryo UI" w:hAnsi="Meiryo UI"/>
                <w:sz w:val="18"/>
              </w:rPr>
              <w:t>鉄鋼商社・建設会社・インフラ施工業者</w:t>
            </w:r>
          </w:p>
        </w:tc>
      </w:tr>
    </w:tbl>
    <w:p/>
    <w:p>
      <w:pPr>
        <w:pStyle w:val="Heading3"/>
      </w:pPr>
      <w:r>
        <w:rPr>
          <w:rFonts w:ascii="Meiryo UI" w:hAnsi="Meiryo UI"/>
          <w:color w:val="2E74B5"/>
        </w:rPr>
        <w:t>1-2. セグメント・プロダクト構成</w:t>
      </w:r>
    </w:p>
    <w:p/>
    <w:p>
      <w:r>
        <w:rPr>
          <w:rFonts w:ascii="Meiryo UI" w:hAnsi="Meiryo UI"/>
          <w:sz w:val="20"/>
        </w:rPr>
        <w:t>東京鉄鋼の事業構造は実質的に建設用鉄筋の単一セグメントに集中している。</w:t>
      </w:r>
    </w:p>
    <w:p/>
    <w:p>
      <w:pPr>
        <w:shd w:val="clear" w:color="auto" w:fill="F2F2F2"/>
      </w:pPr>
      <w:r>
        <w:rPr>
          <w:rFonts w:ascii="Courier New" w:hAnsi="Courier New"/>
          <w:sz w:val="16"/>
        </w:rPr>
        <w:t>売上高構成（推定）</w:t>
        <w:br/>
        <w:t>├── 棒鋼（鉄筋）：約75〜80%  ← コア</w:t>
        <w:br/>
        <w:t>├── 線材：約10〜15%</w:t>
        <w:br/>
        <w:t>└── その他鉄鋼製品・加工：約5〜10%</w:t>
      </w:r>
    </w:p>
    <w:p/>
    <w:p>
      <w:r>
        <w:rPr>
          <w:rFonts w:ascii="Meiryo UI" w:hAnsi="Meiryo UI"/>
          <w:sz w:val="20"/>
        </w:rPr>
        <w:t>コスト構造の特徴（電炉モデル）：</w:t>
      </w:r>
    </w:p>
    <w:p>
      <w:pPr>
        <w:pStyle w:val="ListBullet"/>
      </w:pPr>
      <w:r>
        <w:rPr>
          <w:rFonts w:ascii="Meiryo UI" w:hAnsi="Meiryo UI"/>
          <w:sz w:val="20"/>
        </w:rPr>
        <w:t>主原料：鉄スクラップ（原価の約55〜60%）</w:t>
      </w:r>
    </w:p>
    <w:p>
      <w:pPr>
        <w:pStyle w:val="ListBullet"/>
      </w:pPr>
      <w:r>
        <w:rPr>
          <w:rFonts w:ascii="Meiryo UI" w:hAnsi="Meiryo UI"/>
          <w:sz w:val="20"/>
        </w:rPr>
        <w:t>電力コスト：約15〜20%（電炉の最大特徴）</w:t>
      </w:r>
    </w:p>
    <w:p>
      <w:pPr>
        <w:pStyle w:val="ListBullet"/>
      </w:pPr>
      <w:r>
        <w:rPr>
          <w:rFonts w:ascii="Meiryo UI" w:hAnsi="Meiryo UI"/>
          <w:sz w:val="20"/>
        </w:rPr>
        <w:t>固定費比率が高炉メーカーより低く、需要変動への適応力が高い</w:t>
      </w:r>
    </w:p>
    <w:p/>
    <w:p>
      <w:pPr>
        <w:pStyle w:val="Heading3"/>
      </w:pPr>
      <w:r>
        <w:rPr>
          <w:rFonts w:ascii="Meiryo UI" w:hAnsi="Meiryo UI"/>
          <w:color w:val="2E74B5"/>
        </w:rPr>
        <w:t>1-3. 競合ポジションと競争優位性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東京鉄鋼</w:t>
            </w:r>
          </w:p>
        </w:tc>
        <w:tc>
          <w:tcPr>
            <w:tcW w:type="dxa" w:w="3135"/>
            <w:shd w:val="clear" w:color="auto" w:fill="2E74B5"/>
          </w:tcPr>
          <w:p>
            <w:r>
              <w:rPr>
                <w:rFonts w:ascii="Meiryo UI" w:hAnsi="Meiryo UI"/>
                <w:b/>
                <w:color w:val="FFFFFF"/>
                <w:sz w:val="18"/>
              </w:rPr>
              <w:t>競合（大手高炉系）</w:t>
            </w:r>
          </w:p>
        </w:tc>
      </w:tr>
      <w:tr>
        <w:tc>
          <w:tcPr>
            <w:tcW w:type="dxa" w:w="3135"/>
          </w:tcPr>
          <w:p>
            <w:r>
              <w:rPr>
                <w:rFonts w:ascii="Meiryo UI" w:hAnsi="Meiryo UI"/>
                <w:sz w:val="18"/>
              </w:rPr>
              <w:t>生産コスト</w:t>
            </w:r>
          </w:p>
        </w:tc>
        <w:tc>
          <w:tcPr>
            <w:tcW w:type="dxa" w:w="3135"/>
          </w:tcPr>
          <w:p>
            <w:r>
              <w:rPr>
                <w:rFonts w:ascii="Meiryo UI" w:hAnsi="Meiryo UI"/>
                <w:sz w:val="18"/>
              </w:rPr>
              <w:t>電炉＝変動費優位</w:t>
            </w:r>
          </w:p>
        </w:tc>
        <w:tc>
          <w:tcPr>
            <w:tcW w:type="dxa" w:w="3135"/>
          </w:tcPr>
          <w:p>
            <w:r>
              <w:rPr>
                <w:rFonts w:ascii="Meiryo UI" w:hAnsi="Meiryo UI"/>
                <w:sz w:val="18"/>
              </w:rPr>
              <w:t>高炉＝規模優位</w:t>
            </w:r>
          </w:p>
        </w:tc>
      </w:tr>
      <w:tr>
        <w:tc>
          <w:tcPr>
            <w:tcW w:type="dxa" w:w="3135"/>
            <w:shd w:val="clear" w:color="auto" w:fill="DDEBF7"/>
          </w:tcPr>
          <w:p>
            <w:r>
              <w:rPr>
                <w:rFonts w:ascii="Meiryo UI" w:hAnsi="Meiryo UI"/>
                <w:sz w:val="18"/>
              </w:rPr>
              <w:t>CO₂排出量</w:t>
            </w:r>
          </w:p>
        </w:tc>
        <w:tc>
          <w:tcPr>
            <w:tcW w:type="dxa" w:w="3135"/>
            <w:shd w:val="clear" w:color="auto" w:fill="DDEBF7"/>
          </w:tcPr>
          <w:p>
            <w:r>
              <w:rPr>
                <w:rFonts w:ascii="Meiryo UI" w:hAnsi="Meiryo UI"/>
                <w:sz w:val="18"/>
              </w:rPr>
              <w:t>低い（電炉はスクラップ利用）</w:t>
            </w:r>
          </w:p>
        </w:tc>
        <w:tc>
          <w:tcPr>
            <w:tcW w:type="dxa" w:w="3135"/>
            <w:shd w:val="clear" w:color="auto" w:fill="DDEBF7"/>
          </w:tcPr>
          <w:p>
            <w:r>
              <w:rPr>
                <w:rFonts w:ascii="Meiryo UI" w:hAnsi="Meiryo UI"/>
                <w:sz w:val="18"/>
              </w:rPr>
              <w:t>高い</w:t>
            </w:r>
          </w:p>
        </w:tc>
      </w:tr>
      <w:tr>
        <w:tc>
          <w:tcPr>
            <w:tcW w:type="dxa" w:w="3135"/>
          </w:tcPr>
          <w:p>
            <w:r>
              <w:rPr>
                <w:rFonts w:ascii="Meiryo UI" w:hAnsi="Meiryo UI"/>
                <w:sz w:val="18"/>
              </w:rPr>
              <w:t>需要対応柔軟性</w:t>
            </w:r>
          </w:p>
        </w:tc>
        <w:tc>
          <w:tcPr>
            <w:tcW w:type="dxa" w:w="3135"/>
          </w:tcPr>
          <w:p>
            <w:r>
              <w:rPr>
                <w:rFonts w:ascii="Meiryo UI" w:hAnsi="Meiryo UI"/>
                <w:sz w:val="18"/>
              </w:rPr>
              <w:t>高い（生産量の上下が容易）</w:t>
            </w:r>
          </w:p>
        </w:tc>
        <w:tc>
          <w:tcPr>
            <w:tcW w:type="dxa" w:w="3135"/>
          </w:tcPr>
          <w:p>
            <w:r>
              <w:rPr>
                <w:rFonts w:ascii="Meiryo UI" w:hAnsi="Meiryo UI"/>
                <w:sz w:val="18"/>
              </w:rPr>
              <w:t>低い</w:t>
            </w:r>
          </w:p>
        </w:tc>
      </w:tr>
      <w:tr>
        <w:tc>
          <w:tcPr>
            <w:tcW w:type="dxa" w:w="3135"/>
            <w:shd w:val="clear" w:color="auto" w:fill="DDEBF7"/>
          </w:tcPr>
          <w:p>
            <w:r>
              <w:rPr>
                <w:rFonts w:ascii="Meiryo UI" w:hAnsi="Meiryo UI"/>
                <w:sz w:val="18"/>
              </w:rPr>
              <w:t>製品グレード</w:t>
            </w:r>
          </w:p>
        </w:tc>
        <w:tc>
          <w:tcPr>
            <w:tcW w:type="dxa" w:w="3135"/>
            <w:shd w:val="clear" w:color="auto" w:fill="DDEBF7"/>
          </w:tcPr>
          <w:p>
            <w:r>
              <w:rPr>
                <w:rFonts w:ascii="Meiryo UI" w:hAnsi="Meiryo UI"/>
                <w:sz w:val="18"/>
              </w:rPr>
              <w:t>建設用棒鋼特化</w:t>
            </w:r>
          </w:p>
        </w:tc>
        <w:tc>
          <w:tcPr>
            <w:tcW w:type="dxa" w:w="3135"/>
            <w:shd w:val="clear" w:color="auto" w:fill="DDEBF7"/>
          </w:tcPr>
          <w:p>
            <w:r>
              <w:rPr>
                <w:rFonts w:ascii="Meiryo UI" w:hAnsi="Meiryo UI"/>
                <w:sz w:val="18"/>
              </w:rPr>
              <w:t>多品種</w:t>
            </w:r>
          </w:p>
        </w:tc>
      </w:tr>
      <w:tr>
        <w:tc>
          <w:tcPr>
            <w:tcW w:type="dxa" w:w="3135"/>
          </w:tcPr>
          <w:p>
            <w:r>
              <w:rPr>
                <w:rFonts w:ascii="Meiryo UI" w:hAnsi="Meiryo UI"/>
                <w:sz w:val="18"/>
              </w:rPr>
              <w:t>ESG観点</w:t>
            </w:r>
          </w:p>
        </w:tc>
        <w:tc>
          <w:tcPr>
            <w:tcW w:type="dxa" w:w="3135"/>
          </w:tcPr>
          <w:p>
            <w:r>
              <w:rPr>
                <w:rFonts w:ascii="Meiryo UI" w:hAnsi="Meiryo UI"/>
                <w:sz w:val="18"/>
              </w:rPr>
              <w:t>✅ 電炉はグリーン鉄鋼として評価上昇中</w:t>
            </w:r>
          </w:p>
        </w:tc>
        <w:tc>
          <w:tcPr>
            <w:tcW w:type="dxa" w:w="3135"/>
          </w:tcPr>
          <w:p>
            <w:r>
              <w:rPr>
                <w:rFonts w:ascii="Meiryo UI" w:hAnsi="Meiryo UI"/>
                <w:sz w:val="18"/>
              </w:rPr>
              <w:t>△</w:t>
            </w:r>
          </w:p>
        </w:tc>
      </w:tr>
    </w:tbl>
    <w:p/>
    <w:p>
      <w:r>
        <w:rPr>
          <w:rFonts w:ascii="Meiryo UI" w:hAnsi="Meiryo UI"/>
          <w:sz w:val="20"/>
        </w:rPr>
        <w:t>競争優位の源泉：</w:t>
      </w:r>
    </w:p>
    <w:p>
      <w:pPr>
        <w:pStyle w:val="ListNumber"/>
      </w:pPr>
      <w:r>
        <w:rPr>
          <w:rFonts w:ascii="Meiryo UI" w:hAnsi="Meiryo UI"/>
          <w:sz w:val="20"/>
        </w:rPr>
        <w:t>地産地消モデル：関東・東北圏の建設需要を地場でカバー</w:t>
      </w:r>
    </w:p>
    <w:p>
      <w:pPr>
        <w:pStyle w:val="ListNumber"/>
      </w:pPr>
      <w:r>
        <w:rPr>
          <w:rFonts w:ascii="Meiryo UI" w:hAnsi="Meiryo UI"/>
          <w:sz w:val="20"/>
        </w:rPr>
        <w:t>スクラップ調達力：国内スクラップネットワークの深耕</w:t>
      </w:r>
    </w:p>
    <w:p>
      <w:pPr>
        <w:pStyle w:val="ListNumber"/>
      </w:pPr>
      <w:r>
        <w:rPr>
          <w:rFonts w:ascii="Meiryo UI" w:hAnsi="Meiryo UI"/>
          <w:sz w:val="20"/>
        </w:rPr>
        <w:t>電炉ESG優位性：脱炭素規制強化下でグリーンプレミアムが顕在化</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国土強靱化計画（2026〜2030）による公共投資拡大</w:t>
            </w:r>
          </w:p>
        </w:tc>
        <w:tc>
          <w:tcPr>
            <w:tcW w:type="dxa" w:w="3135"/>
          </w:tcPr>
          <w:p>
            <w:r>
              <w:rPr>
                <w:rFonts w:ascii="Meiryo UI" w:hAnsi="Meiryo UI"/>
                <w:sz w:val="18"/>
              </w:rPr>
              <w:t>✅ ポジティブ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能登復興需要・首都直下地震対応インフラ整備</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鉄スクラップ価格高騰（原価圧迫）</w:t>
            </w:r>
          </w:p>
        </w:tc>
        <w:tc>
          <w:tcPr>
            <w:tcW w:type="dxa" w:w="3135"/>
          </w:tcPr>
          <w:p>
            <w:r>
              <w:rPr>
                <w:rFonts w:ascii="Meiryo UI" w:hAnsi="Meiryo UI"/>
                <w:sz w:val="18"/>
              </w:rPr>
              <w:t>⚠️ 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電力コスト上昇（再エネ賦課金・燃料費調整）</w:t>
            </w:r>
          </w:p>
        </w:tc>
        <w:tc>
          <w:tcPr>
            <w:tcW w:type="dxa" w:w="3135"/>
            <w:shd w:val="clear" w:color="auto" w:fill="DDEBF7"/>
          </w:tcPr>
          <w:p>
            <w:r>
              <w:rPr>
                <w:rFonts w:ascii="Meiryo UI" w:hAnsi="Meiryo UI"/>
                <w:sz w:val="18"/>
              </w:rPr>
              <w:t>⚠️ 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WTI原油111.91$/bbl（2026/4/6）→エネルギーコスト高止まり</w:t>
            </w:r>
          </w:p>
        </w:tc>
        <w:tc>
          <w:tcPr>
            <w:tcW w:type="dxa" w:w="3135"/>
          </w:tcPr>
          <w:p>
            <w:r>
              <w:rPr>
                <w:rFonts w:ascii="Meiryo UI" w:hAnsi="Meiryo UI"/>
                <w:sz w:val="18"/>
              </w:rPr>
              <w:t>⚠️ 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円安継続→輸入スクラップコスト上昇</w:t>
            </w:r>
          </w:p>
        </w:tc>
        <w:tc>
          <w:tcPr>
            <w:tcW w:type="dxa" w:w="3135"/>
            <w:shd w:val="clear" w:color="auto" w:fill="DDEBF7"/>
          </w:tcPr>
          <w:p>
            <w:r>
              <w:rPr>
                <w:rFonts w:ascii="Meiryo UI" w:hAnsi="Meiryo UI"/>
                <w:sz w:val="18"/>
              </w:rPr>
              <w:t>⚠️ ネガティブ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電炉グリーン認証進展（欧州サプライチェーン需要）</w:t>
            </w:r>
          </w:p>
        </w:tc>
        <w:tc>
          <w:tcPr>
            <w:tcW w:type="dxa" w:w="3135"/>
          </w:tcPr>
          <w:p>
            <w:r>
              <w:rPr>
                <w:rFonts w:ascii="Meiryo UI" w:hAnsi="Meiryo UI"/>
                <w:sz w:val="18"/>
              </w:rPr>
              <w:t>✅ ポジティブ</w:t>
            </w:r>
          </w:p>
        </w:tc>
        <w:tc>
          <w:tcPr>
            <w:tcW w:type="dxa" w:w="3135"/>
          </w:tcPr>
          <w:p>
            <w:r>
              <w:rPr>
                <w:rFonts w:ascii="Meiryo UI" w:hAnsi="Meiryo UI"/>
                <w:sz w:val="18"/>
              </w:rPr>
              <w:t>★</w:t>
            </w:r>
          </w:p>
        </w:tc>
      </w:tr>
    </w:tbl>
    <w:p/>
    <w:p>
      <w:r>
        <w:rPr>
          <w:rFonts w:ascii="Meiryo UI" w:hAnsi="Meiryo UI"/>
          <w:sz w:val="20"/>
        </w:rPr>
        <w:t>&gt; 原油直近値（2026/4/6 10:56 JST）：WTI $111.91/bbl、ブレント $110.62/bbl</w:t>
      </w:r>
    </w:p>
    <w:p>
      <w:r>
        <w:rPr>
          <w:rFonts w:ascii="Meiryo UI" w:hAnsi="Meiryo UI"/>
          <w:sz w:val="20"/>
        </w:rPr>
        <w:t>&gt; 電炉の電力コストは間接的に原油・天然ガス（Henry Hub: $2.85/MMBtu）に連動。</w:t>
      </w:r>
    </w:p>
    <w:p>
      <w:r>
        <w:rPr>
          <w:rFonts w:ascii="Meiryo UI" w:hAnsi="Meiryo UI"/>
          <w:sz w:val="20"/>
        </w:rPr>
        <w:t>&gt; 現在の原油高水準は電力コスト上昇圧力として営業利益率を▲0.5〜1.0%pt 程度圧迫すると試算。</w:t>
      </w:r>
    </w:p>
    <w:p>
      <w:r>
        <w:rPr>
          <w:rFonts w:ascii="Meiryo UI" w:hAnsi="Meiryo UI"/>
          <w:sz w:val="20"/>
        </w:rPr>
        <w:t>&gt; ただしHenry Hub($2.85)は歴史的に低位であり、天然ガス由来電力コストは部分的なオフセットとなる。</w:t>
      </w:r>
    </w:p>
    <w:p/>
    <w:p>
      <w:r>
        <w:t>──────────────────────────────────────────────────</w:t>
      </w:r>
    </w:p>
    <w:p/>
    <w:p>
      <w:pPr>
        <w:pStyle w:val="Heading2"/>
      </w:pPr>
      <w:r>
        <w:rPr>
          <w:rFonts w:ascii="Meiryo UI" w:hAnsi="Meiryo UI"/>
          <w:color w:val="2E74B5"/>
        </w:rPr>
        <w:t>2. 【社長執行命令対応】Bloomberg実数値による全面再計算</w:t>
      </w:r>
    </w:p>
    <w:p/>
    <w:p>
      <w:pPr>
        <w:pStyle w:val="Heading3"/>
      </w:pPr>
      <w:r>
        <w:rPr>
          <w:rFonts w:ascii="Meiryo UI" w:hAnsi="Meiryo UI"/>
          <w:color w:val="2E74B5"/>
        </w:rPr>
        <w:t>2-1. Bloomberg確定値の確認と財務規模の再構築</w:t>
      </w:r>
    </w:p>
    <w:p/>
    <w:p>
      <w:r>
        <w:rPr>
          <w:rFonts w:ascii="Meiryo UI" w:hAnsi="Meiryo UI"/>
          <w:sz w:val="20"/>
        </w:rPr>
        <w:t>Bloomberg確定値（唯一の正解）：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Bloomberg確定値</w:t>
            </w:r>
          </w:p>
        </w:tc>
      </w:tr>
      <w:tr>
        <w:tc>
          <w:tcPr>
            <w:tcW w:type="dxa" w:w="4703"/>
          </w:tcPr>
          <w:p>
            <w:r>
              <w:rPr>
                <w:rFonts w:ascii="Meiryo UI" w:hAnsi="Meiryo UI"/>
                <w:sz w:val="18"/>
              </w:rPr>
              <w:t>現在株価</w:t>
            </w:r>
          </w:p>
        </w:tc>
        <w:tc>
          <w:tcPr>
            <w:tcW w:type="dxa" w:w="4703"/>
          </w:tcPr>
          <w:p>
            <w:r>
              <w:rPr>
                <w:rFonts w:ascii="Meiryo UI" w:hAnsi="Meiryo UI"/>
                <w:sz w:val="18"/>
              </w:rPr>
              <w:t>¥1,999</w:t>
            </w:r>
          </w:p>
        </w:tc>
      </w:tr>
      <w:tr>
        <w:tc>
          <w:tcPr>
            <w:tcW w:type="dxa" w:w="4703"/>
            <w:shd w:val="clear" w:color="auto" w:fill="DDEBF7"/>
          </w:tcPr>
          <w:p>
            <w:r>
              <w:rPr>
                <w:rFonts w:ascii="Meiryo UI" w:hAnsi="Meiryo UI"/>
                <w:sz w:val="18"/>
              </w:rPr>
              <w:t>BPS（1株純資産）</w:t>
            </w:r>
          </w:p>
        </w:tc>
        <w:tc>
          <w:tcPr>
            <w:tcW w:type="dxa" w:w="4703"/>
            <w:shd w:val="clear" w:color="auto" w:fill="DDEBF7"/>
          </w:tcPr>
          <w:p>
            <w:r>
              <w:rPr>
                <w:rFonts w:ascii="Meiryo UI" w:hAnsi="Meiryo UI"/>
                <w:sz w:val="18"/>
              </w:rPr>
              <w:t>¥2,430</w:t>
            </w:r>
          </w:p>
        </w:tc>
      </w:tr>
      <w:tr>
        <w:tc>
          <w:tcPr>
            <w:tcW w:type="dxa" w:w="4703"/>
          </w:tcPr>
          <w:p>
            <w:r>
              <w:rPr>
                <w:rFonts w:ascii="Meiryo UI" w:hAnsi="Meiryo UI"/>
                <w:sz w:val="18"/>
              </w:rPr>
              <w:t>PBR</w:t>
            </w:r>
          </w:p>
        </w:tc>
        <w:tc>
          <w:tcPr>
            <w:tcW w:type="dxa" w:w="4703"/>
          </w:tcPr>
          <w:p>
            <w:r>
              <w:rPr>
                <w:rFonts w:ascii="Meiryo UI" w:hAnsi="Meiryo UI"/>
                <w:sz w:val="18"/>
              </w:rPr>
              <w:t>0.82倍</w:t>
            </w:r>
          </w:p>
        </w:tc>
      </w:tr>
      <w:tr>
        <w:tc>
          <w:tcPr>
            <w:tcW w:type="dxa" w:w="4703"/>
            <w:shd w:val="clear" w:color="auto" w:fill="DDEBF7"/>
          </w:tcPr>
          <w:p>
            <w:r>
              <w:rPr>
                <w:rFonts w:ascii="Meiryo UI" w:hAnsi="Meiryo UI"/>
                <w:sz w:val="18"/>
              </w:rPr>
              <w:t>ROE</w:t>
            </w:r>
          </w:p>
        </w:tc>
        <w:tc>
          <w:tcPr>
            <w:tcW w:type="dxa" w:w="4703"/>
            <w:shd w:val="clear" w:color="auto" w:fill="DDEBF7"/>
          </w:tcPr>
          <w:p>
            <w:r>
              <w:rPr>
                <w:rFonts w:ascii="Meiryo UI" w:hAnsi="Meiryo UI"/>
                <w:sz w:val="18"/>
              </w:rPr>
              <w:t>15.7%</w:t>
            </w:r>
          </w:p>
        </w:tc>
      </w:tr>
    </w:tbl>
    <w:p/>
    <w:p>
      <w:r>
        <w:rPr>
          <w:rFonts w:ascii="Meiryo UI" w:hAnsi="Meiryo UI"/>
          <w:sz w:val="20"/>
        </w:rPr>
        <w:t>Bloomberg確定値からの財務逆算：</w:t>
      </w:r>
    </w:p>
    <w:p/>
    <w:p>
      <w:pPr>
        <w:shd w:val="clear" w:color="auto" w:fill="F2F2F2"/>
      </w:pPr>
      <w:r>
        <w:rPr>
          <w:rFonts w:ascii="Courier New" w:hAnsi="Courier New"/>
          <w:sz w:val="16"/>
        </w:rPr>
        <w:t>BPS = ¥2,430</w:t>
        <w:br/>
        <w:t>現在株価 = ¥1,999</w:t>
        <w:br/>
        <w:t>PBR = 株価 ÷ BPS = ¥1,999 ÷ ¥2,430 = 0.823倍 ✅（Bloomberg値0.82と整合）</w:t>
        <w:br/>
        <w:br/>
        <w:t>EPS（推計）= BPS × ROE = ¥2,430 × 15.7% = ¥381.5</w:t>
        <w:br/>
        <w:t>PER（推計）= ¥1,999 ÷ ¥381.5 = 5.24倍</w:t>
      </w:r>
    </w:p>
    <w:p/>
    <w:p>
      <w:r>
        <w:rPr>
          <w:rFonts w:ascii="Meiryo UI" w:hAnsi="Meiryo UI"/>
          <w:sz w:val="20"/>
        </w:rPr>
        <w:t>発行済み株式数の推計：</w:t>
      </w:r>
    </w:p>
    <w:p>
      <w:r>
        <w:rPr>
          <w:rFonts w:ascii="Meiryo UI" w:hAnsi="Meiryo UI"/>
          <w:sz w:val="20"/>
        </w:rPr>
        <w:t>東京鉄鋼の発行済み株式数は公開情報から約2,060万株と推計する。</w:t>
      </w:r>
    </w:p>
    <w:p/>
    <w:p>
      <w:pPr>
        <w:shd w:val="clear" w:color="auto" w:fill="F2F2F2"/>
      </w:pPr>
      <w:r>
        <w:rPr>
          <w:rFonts w:ascii="Courier New" w:hAnsi="Courier New"/>
          <w:sz w:val="16"/>
        </w:rPr>
        <w:t>純資産総額（推計）= BPS¥2,430 × 2,060万株 = 約¥500億</w:t>
        <w:br/>
        <w:t>（※旧誤値¥1,180億は完全廃棄）</w:t>
        <w:br/>
        <w:br/>
        <w:t>純利益（推計）= ¥500億 × ROE15.7% = 約¥78.5億</w:t>
        <w:br/>
        <w:t>売上高（推計）</w:t>
        <w:br/>
        <w:t xml:space="preserve">  →電炉棒鋼メーカーの純利益率は通常5〜8%</w:t>
        <w:br/>
        <w:t xml:space="preserve">  →¥78.5億 ÷ 6.5% = 約¥1,208億（売上高推計）</w:t>
      </w:r>
    </w:p>
    <w:p/>
    <w:p>
      <w:pPr>
        <w:pStyle w:val="Heading3"/>
      </w:pPr>
      <w:r>
        <w:rPr>
          <w:rFonts w:ascii="Meiryo UI" w:hAnsi="Meiryo UI"/>
          <w:color w:val="2E74B5"/>
        </w:rPr>
        <w:t>2-2. 旧誤値との完全対比表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財務指標</w:t>
            </w:r>
          </w:p>
        </w:tc>
        <w:tc>
          <w:tcPr>
            <w:tcW w:type="dxa" w:w="2351"/>
            <w:shd w:val="clear" w:color="auto" w:fill="2E74B5"/>
          </w:tcPr>
          <w:p>
            <w:r>
              <w:rPr>
                <w:rFonts w:ascii="Meiryo UI" w:hAnsi="Meiryo UI"/>
                <w:b/>
                <w:color w:val="FFFFFF"/>
                <w:sz w:val="18"/>
              </w:rPr>
              <w:t>❌ 旧誤り値（破棄）</w:t>
            </w:r>
          </w:p>
        </w:tc>
        <w:tc>
          <w:tcPr>
            <w:tcW w:type="dxa" w:w="2351"/>
            <w:shd w:val="clear" w:color="auto" w:fill="2E74B5"/>
          </w:tcPr>
          <w:p>
            <w:r>
              <w:rPr>
                <w:rFonts w:ascii="Meiryo UI" w:hAnsi="Meiryo UI"/>
                <w:b/>
                <w:color w:val="FFFFFF"/>
                <w:sz w:val="18"/>
              </w:rPr>
              <w:t>✅ Bloomberg確定値（正解）</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純資産</w:t>
            </w:r>
          </w:p>
        </w:tc>
        <w:tc>
          <w:tcPr>
            <w:tcW w:type="dxa" w:w="2351"/>
          </w:tcPr>
          <w:p>
            <w:r>
              <w:rPr>
                <w:rFonts w:ascii="Meiryo UI" w:hAnsi="Meiryo UI"/>
                <w:sz w:val="18"/>
              </w:rPr>
              <w:t>¥1,180億</w:t>
            </w:r>
          </w:p>
        </w:tc>
        <w:tc>
          <w:tcPr>
            <w:tcW w:type="dxa" w:w="2351"/>
          </w:tcPr>
          <w:p>
            <w:r>
              <w:rPr>
                <w:rFonts w:ascii="Meiryo UI" w:hAnsi="Meiryo UI"/>
                <w:sz w:val="18"/>
              </w:rPr>
              <w:t>約¥500億</w:t>
            </w:r>
          </w:p>
        </w:tc>
        <w:tc>
          <w:tcPr>
            <w:tcW w:type="dxa" w:w="2351"/>
          </w:tcPr>
          <w:p>
            <w:r>
              <w:rPr>
                <w:rFonts w:ascii="Meiryo UI" w:hAnsi="Meiryo UI"/>
                <w:sz w:val="18"/>
              </w:rPr>
              <w:t>▲58%</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¥5,714</w:t>
            </w:r>
          </w:p>
        </w:tc>
        <w:tc>
          <w:tcPr>
            <w:tcW w:type="dxa" w:w="2351"/>
            <w:shd w:val="clear" w:color="auto" w:fill="DDEBF7"/>
          </w:tcPr>
          <w:p>
            <w:r>
              <w:rPr>
                <w:rFonts w:ascii="Meiryo UI" w:hAnsi="Meiryo UI"/>
                <w:sz w:val="18"/>
              </w:rPr>
              <w:t>¥2,430</w:t>
            </w:r>
          </w:p>
        </w:tc>
        <w:tc>
          <w:tcPr>
            <w:tcW w:type="dxa" w:w="2351"/>
            <w:shd w:val="clear" w:color="auto" w:fill="DDEBF7"/>
          </w:tcPr>
          <w:p>
            <w:r>
              <w:rPr>
                <w:rFonts w:ascii="Meiryo UI" w:hAnsi="Meiryo UI"/>
                <w:sz w:val="18"/>
              </w:rPr>
              <w:t>▲57%</w:t>
            </w:r>
          </w:p>
        </w:tc>
      </w:tr>
      <w:tr>
        <w:tc>
          <w:tcPr>
            <w:tcW w:type="dxa" w:w="2351"/>
          </w:tcPr>
          <w:p>
            <w:r>
              <w:rPr>
                <w:rFonts w:ascii="Meiryo UI" w:hAnsi="Meiryo UI"/>
                <w:sz w:val="18"/>
              </w:rPr>
              <w:t>PBR</w:t>
            </w:r>
          </w:p>
        </w:tc>
        <w:tc>
          <w:tcPr>
            <w:tcW w:type="dxa" w:w="2351"/>
          </w:tcPr>
          <w:p>
            <w:r>
              <w:rPr>
                <w:rFonts w:ascii="Meiryo UI" w:hAnsi="Meiryo UI"/>
                <w:sz w:val="18"/>
              </w:rPr>
              <w:t>0.35倍</w:t>
            </w:r>
          </w:p>
        </w:tc>
        <w:tc>
          <w:tcPr>
            <w:tcW w:type="dxa" w:w="2351"/>
          </w:tcPr>
          <w:p>
            <w:r>
              <w:rPr>
                <w:rFonts w:ascii="Meiryo UI" w:hAnsi="Meiryo UI"/>
                <w:sz w:val="18"/>
              </w:rPr>
              <w:t>0.82倍</w:t>
            </w:r>
          </w:p>
        </w:tc>
        <w:tc>
          <w:tcPr>
            <w:tcW w:type="dxa" w:w="2351"/>
          </w:tcPr>
          <w:p>
            <w:r>
              <w:rPr>
                <w:rFonts w:ascii="Meiryo UI" w:hAnsi="Meiryo UI"/>
                <w:sz w:val="18"/>
              </w:rPr>
              <w:t>+134%</w:t>
            </w:r>
          </w:p>
        </w:tc>
      </w:tr>
      <w:tr>
        <w:tc>
          <w:tcPr>
            <w:tcW w:type="dxa" w:w="2351"/>
            <w:shd w:val="clear" w:color="auto" w:fill="DDEBF7"/>
          </w:tcPr>
          <w:p>
            <w:r>
              <w:rPr>
                <w:rFonts w:ascii="Meiryo UI" w:hAnsi="Meiryo UI"/>
                <w:sz w:val="18"/>
              </w:rPr>
              <w:t>投資判断根拠</w:t>
            </w:r>
          </w:p>
        </w:tc>
        <w:tc>
          <w:tcPr>
            <w:tcW w:type="dxa" w:w="2351"/>
            <w:shd w:val="clear" w:color="auto" w:fill="DDEBF7"/>
          </w:tcPr>
          <w:p>
            <w:r>
              <w:rPr>
                <w:rFonts w:ascii="Meiryo UI" w:hAnsi="Meiryo UI"/>
                <w:sz w:val="18"/>
              </w:rPr>
              <w:t>「極度割安」</w:t>
            </w:r>
          </w:p>
        </w:tc>
        <w:tc>
          <w:tcPr>
            <w:tcW w:type="dxa" w:w="2351"/>
            <w:shd w:val="clear" w:color="auto" w:fill="DDEBF7"/>
          </w:tcPr>
          <w:p>
            <w:r>
              <w:rPr>
                <w:rFonts w:ascii="Meiryo UI" w:hAnsi="Meiryo UI"/>
                <w:sz w:val="18"/>
              </w:rPr>
              <w:t>「適度割安〜適正水準」</w:t>
            </w:r>
          </w:p>
        </w:tc>
        <w:tc>
          <w:tcPr>
            <w:tcW w:type="dxa" w:w="2351"/>
            <w:shd w:val="clear" w:color="auto" w:fill="DDEBF7"/>
          </w:tcPr>
          <w:p>
            <w:r>
              <w:rPr>
                <w:rFonts w:ascii="Meiryo UI" w:hAnsi="Meiryo UI"/>
                <w:sz w:val="18"/>
              </w:rPr>
              <w:t>質的相違</w:t>
            </w:r>
          </w:p>
        </w:tc>
      </w:tr>
      <w:tr>
        <w:tc>
          <w:tcPr>
            <w:tcW w:type="dxa" w:w="2351"/>
          </w:tcPr>
          <w:p>
            <w:r>
              <w:rPr>
                <w:rFonts w:ascii="Meiryo UI" w:hAnsi="Meiryo UI"/>
                <w:sz w:val="18"/>
              </w:rPr>
              <w:t>ROE（整合）</w:t>
            </w:r>
          </w:p>
        </w:tc>
        <w:tc>
          <w:tcPr>
            <w:tcW w:type="dxa" w:w="2351"/>
          </w:tcPr>
          <w:p>
            <w:r>
              <w:rPr>
                <w:rFonts w:ascii="Meiryo UI" w:hAnsi="Meiryo UI"/>
                <w:sz w:val="18"/>
              </w:rPr>
              <w:t>約6.6%（※純資産膨張の影響）</w:t>
            </w:r>
          </w:p>
        </w:tc>
        <w:tc>
          <w:tcPr>
            <w:tcW w:type="dxa" w:w="2351"/>
          </w:tcPr>
          <w:p>
            <w:r>
              <w:rPr>
                <w:rFonts w:ascii="Meiryo UI" w:hAnsi="Meiryo UI"/>
                <w:sz w:val="18"/>
              </w:rPr>
              <w:t>15.7%</w:t>
            </w:r>
          </w:p>
        </w:tc>
        <w:tc>
          <w:tcPr>
            <w:tcW w:type="dxa" w:w="2351"/>
          </w:tcPr>
          <w:p>
            <w:r>
              <w:rPr>
                <w:rFonts w:ascii="Meiryo UI" w:hAnsi="Meiryo UI"/>
                <w:sz w:val="18"/>
              </w:rPr>
              <w:t>+9.1%pt</w:t>
            </w:r>
          </w:p>
        </w:tc>
      </w:tr>
    </w:tbl>
    <w:p/>
    <w:p>
      <w:pPr>
        <w:pStyle w:val="Heading3"/>
      </w:pPr>
      <w:r>
        <w:rPr>
          <w:rFonts w:ascii="Meiryo UI" w:hAnsi="Meiryo UI"/>
          <w:color w:val="2E74B5"/>
        </w:rPr>
        <w:t>2-3. PBR0.82倍の正しい解釈</w:t>
      </w:r>
    </w:p>
    <w:p/>
    <w:p>
      <w:r>
        <w:rPr>
          <w:rFonts w:ascii="Meiryo UI" w:hAnsi="Meiryo UI"/>
          <w:sz w:val="20"/>
        </w:rPr>
        <w:t>&gt; ❌ 誤り：「PBR0.82は極度割安」</w:t>
      </w:r>
    </w:p>
    <w:p>
      <w:r>
        <w:rPr>
          <w:rFonts w:ascii="Meiryo UI" w:hAnsi="Meiryo UI"/>
          <w:sz w:val="20"/>
        </w:rPr>
        <w:t>&gt; ✅ 正しい解釈：「PBR0.82は適度割安〜適正水準」</w:t>
      </w:r>
    </w:p>
    <w:p/>
    <w:p>
      <w:r>
        <w:rPr>
          <w:rFonts w:ascii="Meiryo UI" w:hAnsi="Meiryo UI"/>
          <w:sz w:val="20"/>
        </w:rPr>
        <w:t>PBRの文脈的解釈：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PBRレンジ</w:t>
            </w:r>
          </w:p>
        </w:tc>
        <w:tc>
          <w:tcPr>
            <w:tcW w:type="dxa" w:w="3135"/>
            <w:shd w:val="clear" w:color="auto" w:fill="2E74B5"/>
          </w:tcPr>
          <w:p>
            <w:r>
              <w:rPr>
                <w:rFonts w:ascii="Meiryo UI" w:hAnsi="Meiryo UI"/>
                <w:b/>
                <w:color w:val="FFFFFF"/>
                <w:sz w:val="18"/>
              </w:rPr>
              <w:t>一般的解釈</w:t>
            </w:r>
          </w:p>
        </w:tc>
        <w:tc>
          <w:tcPr>
            <w:tcW w:type="dxa" w:w="3135"/>
            <w:shd w:val="clear" w:color="auto" w:fill="2E74B5"/>
          </w:tcPr>
          <w:p>
            <w:r>
              <w:rPr>
                <w:rFonts w:ascii="Meiryo UI" w:hAnsi="Meiryo UI"/>
                <w:b/>
                <w:color w:val="FFFFFF"/>
                <w:sz w:val="18"/>
              </w:rPr>
              <w:t>東京鉄鋼（0.82）の位置</w:t>
            </w:r>
          </w:p>
        </w:tc>
      </w:tr>
      <w:tr>
        <w:tc>
          <w:tcPr>
            <w:tcW w:type="dxa" w:w="3135"/>
          </w:tcPr>
          <w:p>
            <w:r>
              <w:rPr>
                <w:rFonts w:ascii="Meiryo UI" w:hAnsi="Meiryo UI"/>
                <w:sz w:val="18"/>
              </w:rPr>
              <w:t>&lt; 0.3</w:t>
            </w:r>
          </w:p>
        </w:tc>
        <w:tc>
          <w:tcPr>
            <w:tcW w:type="dxa" w:w="3135"/>
          </w:tcPr>
          <w:p>
            <w:r>
              <w:rPr>
                <w:rFonts w:ascii="Meiryo UI" w:hAnsi="Meiryo UI"/>
                <w:sz w:val="18"/>
              </w:rPr>
              <w:t>「極度割安」または経営危機疑念</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0.3〜0.6</w:t>
            </w:r>
          </w:p>
        </w:tc>
        <w:tc>
          <w:tcPr>
            <w:tcW w:type="dxa" w:w="3135"/>
            <w:shd w:val="clear" w:color="auto" w:fill="DDEBF7"/>
          </w:tcPr>
          <w:p>
            <w:r>
              <w:rPr>
                <w:rFonts w:ascii="Meiryo UI" w:hAnsi="Meiryo UI"/>
                <w:sz w:val="18"/>
              </w:rPr>
              <w:t>「強い割安」</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0.6〜0.9</w:t>
            </w:r>
          </w:p>
        </w:tc>
        <w:tc>
          <w:tcPr>
            <w:tcW w:type="dxa" w:w="3135"/>
          </w:tcPr>
          <w:p>
            <w:r>
              <w:rPr>
                <w:rFonts w:ascii="Meiryo UI" w:hAnsi="Meiryo UI"/>
                <w:sz w:val="18"/>
              </w:rPr>
              <w:t>「適度割安〜適正水準」</w:t>
            </w:r>
          </w:p>
        </w:tc>
        <w:tc>
          <w:tcPr>
            <w:tcW w:type="dxa" w:w="3135"/>
          </w:tcPr>
          <w:p>
            <w:r>
              <w:rPr>
                <w:rFonts w:ascii="Meiryo UI" w:hAnsi="Meiryo UI"/>
                <w:sz w:val="18"/>
              </w:rPr>
              <w:t>← 東京鉄鋼（0.82）</w:t>
            </w:r>
          </w:p>
        </w:tc>
      </w:tr>
      <w:tr>
        <w:tc>
          <w:tcPr>
            <w:tcW w:type="dxa" w:w="3135"/>
            <w:shd w:val="clear" w:color="auto" w:fill="DDEBF7"/>
          </w:tcPr>
          <w:p>
            <w:r>
              <w:rPr>
                <w:rFonts w:ascii="Meiryo UI" w:hAnsi="Meiryo UI"/>
                <w:sz w:val="18"/>
              </w:rPr>
              <w:t>0.9〜1.2</w:t>
            </w:r>
          </w:p>
        </w:tc>
        <w:tc>
          <w:tcPr>
            <w:tcW w:type="dxa" w:w="3135"/>
            <w:shd w:val="clear" w:color="auto" w:fill="DDEBF7"/>
          </w:tcPr>
          <w:p>
            <w:r>
              <w:rPr>
                <w:rFonts w:ascii="Meiryo UI" w:hAnsi="Meiryo UI"/>
                <w:sz w:val="18"/>
              </w:rPr>
              <w:t>「概ね適正」</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&gt; 1.2</w:t>
            </w:r>
          </w:p>
        </w:tc>
        <w:tc>
          <w:tcPr>
            <w:tcW w:type="dxa" w:w="3135"/>
          </w:tcPr>
          <w:p>
            <w:r>
              <w:rPr>
                <w:rFonts w:ascii="Meiryo UI" w:hAnsi="Meiryo UI"/>
                <w:sz w:val="18"/>
              </w:rPr>
              <w:t>「やや割高〜成長プレミアム」</w:t>
            </w:r>
          </w:p>
        </w:tc>
        <w:tc>
          <w:tcPr>
            <w:tcW w:type="dxa" w:w="3135"/>
          </w:tcPr>
          <w:p>
            <w:r>
              <w:rPr>
                <w:rFonts w:ascii="Meiryo UI" w:hAnsi="Meiryo UI"/>
                <w:sz w:val="18"/>
              </w:rPr>
              <w:t>—</w:t>
            </w:r>
          </w:p>
        </w:tc>
      </w:tr>
    </w:tbl>
    <w:p/>
    <w:p>
      <w:r>
        <w:rPr>
          <w:rFonts w:ascii="Meiryo UI" w:hAnsi="Meiryo UI"/>
          <w:sz w:val="20"/>
        </w:rPr>
        <w:t>PBR0.82の示唆：</w:t>
      </w:r>
    </w:p>
    <w:p>
      <w:pPr>
        <w:pStyle w:val="ListBullet"/>
      </w:pPr>
      <w:r>
        <w:rPr>
          <w:rFonts w:ascii="Meiryo UI" w:hAnsi="Meiryo UI"/>
          <w:sz w:val="20"/>
        </w:rPr>
        <w:t>市場は純資産の約82%の価値を付けており、完全な解散価値以下ではあるが大幅ディスカウントではない</w:t>
      </w:r>
    </w:p>
    <w:p>
      <w:pPr>
        <w:pStyle w:val="ListBullet"/>
      </w:pPr>
      <w:r>
        <w:rPr>
          <w:rFonts w:ascii="Meiryo UI" w:hAnsi="Meiryo UI"/>
          <w:sz w:val="20"/>
        </w:rPr>
        <w:t>ROE15.7%という高い収益性を考慮すると、本来PBR1.0〜1.2倍程度が理論的に正当化される水準</w:t>
      </w:r>
    </w:p>
    <w:p>
      <w:pPr>
        <w:pStyle w:val="ListBullet"/>
      </w:pPr>
      <w:r>
        <w:rPr>
          <w:rFonts w:ascii="Meiryo UI" w:hAnsi="Meiryo UI"/>
          <w:sz w:val="20"/>
        </w:rPr>
        <w:t>したがって「適度割安」は維持されるが「極度割安」の誤謬は訂正する</w:t>
      </w:r>
    </w:p>
    <w:p/>
    <w:p>
      <w:r>
        <w:rPr>
          <w:rFonts w:ascii="Meiryo UI" w:hAnsi="Meiryo UI"/>
          <w:sz w:val="20"/>
        </w:rPr>
        <w:t>ROEとPBRの整合性チェック（Gordon Growth Model派生）：</w:t>
      </w:r>
    </w:p>
    <w:p>
      <w:pPr>
        <w:shd w:val="clear" w:color="auto" w:fill="F2F2F2"/>
      </w:pPr>
      <w:r>
        <w:rPr>
          <w:rFonts w:ascii="Courier New" w:hAnsi="Courier New"/>
          <w:sz w:val="16"/>
        </w:rPr>
        <w:t>理論PBR = (ROE - g) ÷ (Re - g)</w:t>
        <w:br/>
        <w:t xml:space="preserve">  ROE = 15.7%, g = 2.5%（長期成長率推計）, Re = 8.2%（後述）</w:t>
        <w:br/>
        <w:t xml:space="preserve">  理論PBR = (15.7% - 2.5%) ÷ (8.2% - 2.5%) = 13.2% ÷ 5.7% = **2.32倍**</w:t>
      </w:r>
    </w:p>
    <w:p>
      <w:r>
        <w:rPr>
          <w:rFonts w:ascii="Meiryo UI" w:hAnsi="Meiryo UI"/>
          <w:sz w:val="20"/>
        </w:rPr>
        <w:t>この計算から、現在のPBR0.82は理論値2.32倍の約35%水準にとどまり、資本コストや収益継続性への市場の慎重な見方が反映されている。単純に「極度割安」と断じるのではなく、収益の持続性リスクを織り込んだ上での適度割安と解釈すべきである。</w:t>
      </w:r>
    </w:p>
    <w:p/>
    <w:p>
      <w:r>
        <w:t>──────────────────────────────────────────────────</w:t>
      </w:r>
    </w:p>
    <w:p/>
    <w:p>
      <w:pPr>
        <w:pStyle w:val="Heading2"/>
      </w:pPr>
      <w:r>
        <w:rPr>
          <w:rFonts w:ascii="Meiryo UI" w:hAnsi="Meiryo UI"/>
          <w:color w:val="2E74B5"/>
        </w:rPr>
        <w:t>3. 財務ハイライト</w:t>
      </w:r>
    </w:p>
    <w:p/>
    <w:p>
      <w:r>
        <w:rPr>
          <w:rFonts w:ascii="Meiryo UI" w:hAnsi="Meiryo UI"/>
          <w:sz w:val="20"/>
        </w:rPr>
        <w:t>Bloomberg確定値を起点とした推計財務モデル（FY2025実績ベース）：</w:t>
      </w:r>
    </w:p>
    <w:p/>
    <w:p>
      <w:pPr>
        <w:pStyle w:val="Heading3"/>
      </w:pPr>
      <w:r>
        <w:rPr>
          <w:rFonts w:ascii="Meiryo UI" w:hAnsi="Meiryo UI"/>
          <w:color w:val="2E74B5"/>
        </w:rPr>
        <w:t>3-1. 損益計算書（PL）ハイライト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売上高</w:t>
            </w:r>
          </w:p>
        </w:tc>
        <w:tc>
          <w:tcPr>
            <w:tcW w:type="dxa" w:w="3135"/>
          </w:tcPr>
          <w:p>
            <w:r>
              <w:rPr>
                <w:rFonts w:ascii="Meiryo UI" w:hAnsi="Meiryo UI"/>
                <w:sz w:val="18"/>
              </w:rPr>
              <w:t>約¥1,200億</w:t>
            </w:r>
          </w:p>
        </w:tc>
        <w:tc>
          <w:tcPr>
            <w:tcW w:type="dxa" w:w="3135"/>
          </w:tcPr>
          <w:p>
            <w:r>
              <w:rPr>
                <w:rFonts w:ascii="Meiryo UI" w:hAnsi="Meiryo UI"/>
                <w:sz w:val="18"/>
              </w:rPr>
              <w:t>純利益÷推計純利益率(6.5%)</w:t>
            </w:r>
          </w:p>
        </w:tc>
      </w:tr>
      <w:tr>
        <w:tc>
          <w:tcPr>
            <w:tcW w:type="dxa" w:w="3135"/>
            <w:shd w:val="clear" w:color="auto" w:fill="DDEBF7"/>
          </w:tcPr>
          <w:p>
            <w:r>
              <w:rPr>
                <w:rFonts w:ascii="Meiryo UI" w:hAnsi="Meiryo UI"/>
                <w:sz w:val="18"/>
              </w:rPr>
              <w:t>売上総利益率</w:t>
            </w:r>
          </w:p>
        </w:tc>
        <w:tc>
          <w:tcPr>
            <w:tcW w:type="dxa" w:w="3135"/>
            <w:shd w:val="clear" w:color="auto" w:fill="DDEBF7"/>
          </w:tcPr>
          <w:p>
            <w:r>
              <w:rPr>
                <w:rFonts w:ascii="Meiryo UI" w:hAnsi="Meiryo UI"/>
                <w:sz w:val="18"/>
              </w:rPr>
              <w:t>約18〜20%</w:t>
            </w:r>
          </w:p>
        </w:tc>
        <w:tc>
          <w:tcPr>
            <w:tcW w:type="dxa" w:w="3135"/>
            <w:shd w:val="clear" w:color="auto" w:fill="DDEBF7"/>
          </w:tcPr>
          <w:p>
            <w:r>
              <w:rPr>
                <w:rFonts w:ascii="Meiryo UI" w:hAnsi="Meiryo UI"/>
                <w:sz w:val="18"/>
              </w:rPr>
              <w:t>電炉棒鋼業界水準</w:t>
            </w:r>
          </w:p>
        </w:tc>
      </w:tr>
      <w:tr>
        <w:tc>
          <w:tcPr>
            <w:tcW w:type="dxa" w:w="3135"/>
          </w:tcPr>
          <w:p>
            <w:r>
              <w:rPr>
                <w:rFonts w:ascii="Meiryo UI" w:hAnsi="Meiryo UI"/>
                <w:sz w:val="18"/>
              </w:rPr>
              <w:t>営業利益</w:t>
            </w:r>
          </w:p>
        </w:tc>
        <w:tc>
          <w:tcPr>
            <w:tcW w:type="dxa" w:w="3135"/>
          </w:tcPr>
          <w:p>
            <w:r>
              <w:rPr>
                <w:rFonts w:ascii="Meiryo UI" w:hAnsi="Meiryo UI"/>
                <w:sz w:val="18"/>
              </w:rPr>
              <w:t>約¥96〜108億</w:t>
            </w:r>
          </w:p>
        </w:tc>
        <w:tc>
          <w:tcPr>
            <w:tcW w:type="dxa" w:w="3135"/>
          </w:tcPr>
          <w:p>
            <w:r>
              <w:rPr>
                <w:rFonts w:ascii="Meiryo UI" w:hAnsi="Meiryo UI"/>
                <w:sz w:val="18"/>
              </w:rPr>
              <w:t>営業利益率8〜9%推計</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約8.0〜9.0%</w:t>
            </w:r>
          </w:p>
        </w:tc>
        <w:tc>
          <w:tcPr>
            <w:tcW w:type="dxa" w:w="3135"/>
            <w:shd w:val="clear" w:color="auto" w:fill="DDEBF7"/>
          </w:tcPr>
          <w:p>
            <w:r>
              <w:rPr>
                <w:rFonts w:ascii="Meiryo UI" w:hAnsi="Meiryo UI"/>
                <w:sz w:val="18"/>
              </w:rPr>
              <w:t>電炉系の中堅メーカー標準</w:t>
            </w:r>
          </w:p>
        </w:tc>
      </w:tr>
      <w:tr>
        <w:tc>
          <w:tcPr>
            <w:tcW w:type="dxa" w:w="3135"/>
          </w:tcPr>
          <w:p>
            <w:r>
              <w:rPr>
                <w:rFonts w:ascii="Meiryo UI" w:hAnsi="Meiryo UI"/>
                <w:sz w:val="18"/>
              </w:rPr>
              <w:t>経常利益</w:t>
            </w:r>
          </w:p>
        </w:tc>
        <w:tc>
          <w:tcPr>
            <w:tcW w:type="dxa" w:w="3135"/>
          </w:tcPr>
          <w:p>
            <w:r>
              <w:rPr>
                <w:rFonts w:ascii="Meiryo UI" w:hAnsi="Meiryo UI"/>
                <w:sz w:val="18"/>
              </w:rPr>
              <w:t>約¥100〜110億</w:t>
            </w:r>
          </w:p>
        </w:tc>
        <w:tc>
          <w:tcPr>
            <w:tcW w:type="dxa" w:w="3135"/>
          </w:tcPr>
          <w:p>
            <w:r>
              <w:rPr>
                <w:rFonts w:ascii="Meiryo UI" w:hAnsi="Meiryo UI"/>
                <w:sz w:val="18"/>
              </w:rPr>
              <w:t>営業外収支±調整</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約¥78〜80億</w:t>
            </w:r>
          </w:p>
        </w:tc>
        <w:tc>
          <w:tcPr>
            <w:tcW w:type="dxa" w:w="3135"/>
            <w:shd w:val="clear" w:color="auto" w:fill="DDEBF7"/>
          </w:tcPr>
          <w:p>
            <w:r>
              <w:rPr>
                <w:rFonts w:ascii="Meiryo UI" w:hAnsi="Meiryo UI"/>
                <w:sz w:val="18"/>
              </w:rPr>
              <w:t>BPS×ROE逆算</w:t>
            </w:r>
          </w:p>
        </w:tc>
      </w:tr>
      <w:tr>
        <w:tc>
          <w:tcPr>
            <w:tcW w:type="dxa" w:w="3135"/>
          </w:tcPr>
          <w:p>
            <w:r>
              <w:rPr>
                <w:rFonts w:ascii="Meiryo UI" w:hAnsi="Meiryo UI"/>
                <w:sz w:val="18"/>
              </w:rPr>
              <w:t>純利益率</w:t>
            </w:r>
          </w:p>
        </w:tc>
        <w:tc>
          <w:tcPr>
            <w:tcW w:type="dxa" w:w="3135"/>
          </w:tcPr>
          <w:p>
            <w:r>
              <w:rPr>
                <w:rFonts w:ascii="Meiryo UI" w:hAnsi="Meiryo UI"/>
                <w:sz w:val="18"/>
              </w:rPr>
              <w:t>約6.5〜6.7%</w:t>
            </w:r>
          </w:p>
        </w:tc>
        <w:tc>
          <w:tcPr>
            <w:tcW w:type="dxa" w:w="3135"/>
          </w:tcPr>
          <w:p>
            <w:r>
              <w:rPr>
                <w:rFonts w:ascii="Meiryo UI" w:hAnsi="Meiryo UI"/>
                <w:sz w:val="18"/>
              </w:rPr>
              <w:t>上記逆算</w:t>
            </w:r>
          </w:p>
        </w:tc>
      </w:tr>
    </w:tbl>
    <w:p/>
    <w:p>
      <w:pPr>
        <w:pStyle w:val="Heading3"/>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算出根拠</w:t>
            </w:r>
          </w:p>
        </w:tc>
      </w:tr>
      <w:tr>
        <w:tc>
          <w:tcPr>
            <w:tcW w:type="dxa" w:w="3135"/>
          </w:tcPr>
          <w:p>
            <w:r>
              <w:rPr>
                <w:rFonts w:ascii="Meiryo UI" w:hAnsi="Meiryo UI"/>
                <w:sz w:val="18"/>
              </w:rPr>
              <w:t>純資産</w:t>
            </w:r>
          </w:p>
        </w:tc>
        <w:tc>
          <w:tcPr>
            <w:tcW w:type="dxa" w:w="3135"/>
          </w:tcPr>
          <w:p>
            <w:r>
              <w:rPr>
                <w:rFonts w:ascii="Meiryo UI" w:hAnsi="Meiryo UI"/>
                <w:sz w:val="18"/>
              </w:rPr>
              <w:t>約¥500億</w:t>
            </w:r>
          </w:p>
        </w:tc>
        <w:tc>
          <w:tcPr>
            <w:tcW w:type="dxa" w:w="3135"/>
          </w:tcPr>
          <w:p>
            <w:r>
              <w:rPr>
                <w:rFonts w:ascii="Meiryo UI" w:hAnsi="Meiryo UI"/>
                <w:sz w:val="18"/>
              </w:rPr>
              <w:t>BPS¥2,430×株式数2,060万株</w:t>
            </w:r>
          </w:p>
        </w:tc>
      </w:tr>
      <w:tr>
        <w:tc>
          <w:tcPr>
            <w:tcW w:type="dxa" w:w="3135"/>
            <w:shd w:val="clear" w:color="auto" w:fill="DDEBF7"/>
          </w:tcPr>
          <w:p>
            <w:r>
              <w:rPr>
                <w:rFonts w:ascii="Meiryo UI" w:hAnsi="Meiryo UI"/>
                <w:sz w:val="18"/>
              </w:rPr>
              <w:t>総資産（推計）</w:t>
            </w:r>
          </w:p>
        </w:tc>
        <w:tc>
          <w:tcPr>
            <w:tcW w:type="dxa" w:w="3135"/>
            <w:shd w:val="clear" w:color="auto" w:fill="DDEBF7"/>
          </w:tcPr>
          <w:p>
            <w:r>
              <w:rPr>
                <w:rFonts w:ascii="Meiryo UI" w:hAnsi="Meiryo UI"/>
                <w:sz w:val="18"/>
              </w:rPr>
              <w:t>約¥700〜750億</w:t>
            </w:r>
          </w:p>
        </w:tc>
        <w:tc>
          <w:tcPr>
            <w:tcW w:type="dxa" w:w="3135"/>
            <w:shd w:val="clear" w:color="auto" w:fill="DDEBF7"/>
          </w:tcPr>
          <w:p>
            <w:r>
              <w:rPr>
                <w:rFonts w:ascii="Meiryo UI" w:hAnsi="Meiryo UI"/>
                <w:sz w:val="18"/>
              </w:rPr>
              <w:t>自己資本比率65〜70%想定</w:t>
            </w:r>
          </w:p>
        </w:tc>
      </w:tr>
      <w:tr>
        <w:tc>
          <w:tcPr>
            <w:tcW w:type="dxa" w:w="3135"/>
          </w:tcPr>
          <w:p>
            <w:r>
              <w:rPr>
                <w:rFonts w:ascii="Meiryo UI" w:hAnsi="Meiryo UI"/>
                <w:sz w:val="18"/>
              </w:rPr>
              <w:t>有利子負債（推計）</w:t>
            </w:r>
          </w:p>
        </w:tc>
        <w:tc>
          <w:tcPr>
            <w:tcW w:type="dxa" w:w="3135"/>
          </w:tcPr>
          <w:p>
            <w:r>
              <w:rPr>
                <w:rFonts w:ascii="Meiryo UI" w:hAnsi="Meiryo UI"/>
                <w:sz w:val="18"/>
              </w:rPr>
              <w:t>約¥100〜150億</w:t>
            </w:r>
          </w:p>
        </w:tc>
        <w:tc>
          <w:tcPr>
            <w:tcW w:type="dxa" w:w="3135"/>
          </w:tcPr>
          <w:p>
            <w:r>
              <w:rPr>
                <w:rFonts w:ascii="Meiryo UI" w:hAnsi="Meiryo UI"/>
                <w:sz w:val="18"/>
              </w:rPr>
              <w:t>D/E比率0.2〜0.3倍</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約65〜70%</w:t>
            </w:r>
          </w:p>
        </w:tc>
        <w:tc>
          <w:tcPr>
            <w:tcW w:type="dxa" w:w="3135"/>
            <w:shd w:val="clear" w:color="auto" w:fill="DDEBF7"/>
          </w:tcPr>
          <w:p>
            <w:r>
              <w:rPr>
                <w:rFonts w:ascii="Meiryo UI" w:hAnsi="Meiryo UI"/>
                <w:sz w:val="18"/>
              </w:rPr>
              <w:t>電炉メーカーとして健全</w:t>
            </w:r>
          </w:p>
        </w:tc>
      </w:tr>
      <w:tr>
        <w:tc>
          <w:tcPr>
            <w:tcW w:type="dxa" w:w="3135"/>
          </w:tcPr>
          <w:p>
            <w:r>
              <w:rPr>
                <w:rFonts w:ascii="Meiryo UI" w:hAnsi="Meiryo UI"/>
                <w:sz w:val="18"/>
              </w:rPr>
              <w:t>BPS</w:t>
            </w:r>
          </w:p>
        </w:tc>
        <w:tc>
          <w:tcPr>
            <w:tcW w:type="dxa" w:w="3135"/>
          </w:tcPr>
          <w:p>
            <w:r>
              <w:rPr>
                <w:rFonts w:ascii="Meiryo UI" w:hAnsi="Meiryo UI"/>
                <w:sz w:val="18"/>
              </w:rPr>
              <w:t>¥2,430</w:t>
            </w:r>
          </w:p>
        </w:tc>
        <w:tc>
          <w:tcPr>
            <w:tcW w:type="dxa" w:w="3135"/>
          </w:tcPr>
          <w:p>
            <w:r>
              <w:rPr>
                <w:rFonts w:ascii="Meiryo UI" w:hAnsi="Meiryo UI"/>
                <w:sz w:val="18"/>
              </w:rPr>
              <w:t>Bloomberg確定値</w:t>
            </w:r>
          </w:p>
        </w:tc>
      </w:tr>
    </w:tbl>
    <w:p/>
    <w:p>
      <w:r>
        <w:rPr>
          <w:rFonts w:ascii="Meiryo UI" w:hAnsi="Meiryo UI"/>
          <w:sz w:val="20"/>
        </w:rPr>
        <w:t>&gt; ※ 旧誤値「総資産¥1,500億・純資産¥1,180億」は全廃棄済み</w:t>
      </w:r>
    </w:p>
    <w:p/>
    <w:p>
      <w:pPr>
        <w:pStyle w:val="Heading3"/>
      </w:pPr>
      <w:r>
        <w:rPr>
          <w:rFonts w:ascii="Meiryo UI" w:hAnsi="Meiryo UI"/>
          <w:color w:val="2E74B5"/>
        </w:rPr>
        <w:t>3-3. キャッシュフロー（CF）ハイライト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営業CF</w:t>
            </w:r>
          </w:p>
        </w:tc>
        <w:tc>
          <w:tcPr>
            <w:tcW w:type="dxa" w:w="3135"/>
          </w:tcPr>
          <w:p>
            <w:r>
              <w:rPr>
                <w:rFonts w:ascii="Meiryo UI" w:hAnsi="Meiryo UI"/>
                <w:sz w:val="18"/>
              </w:rPr>
              <w:t>約¥90〜100億</w:t>
            </w:r>
          </w:p>
        </w:tc>
        <w:tc>
          <w:tcPr>
            <w:tcW w:type="dxa" w:w="3135"/>
          </w:tcPr>
          <w:p>
            <w:r>
              <w:rPr>
                <w:rFonts w:ascii="Meiryo UI" w:hAnsi="Meiryo UI"/>
                <w:sz w:val="18"/>
              </w:rPr>
              <w:t>EBITDA換算（減価償却¥20〜25億想定）</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約▲¥20〜30億</w:t>
            </w:r>
          </w:p>
        </w:tc>
        <w:tc>
          <w:tcPr>
            <w:tcW w:type="dxa" w:w="3135"/>
            <w:shd w:val="clear" w:color="auto" w:fill="DDEBF7"/>
          </w:tcPr>
          <w:p>
            <w:r>
              <w:rPr>
                <w:rFonts w:ascii="Meiryo UI" w:hAnsi="Meiryo UI"/>
                <w:sz w:val="18"/>
              </w:rPr>
              <w:t>設備更新・省エネ投資</w:t>
            </w:r>
          </w:p>
        </w:tc>
      </w:tr>
      <w:tr>
        <w:tc>
          <w:tcPr>
            <w:tcW w:type="dxa" w:w="3135"/>
          </w:tcPr>
          <w:p>
            <w:r>
              <w:rPr>
                <w:rFonts w:ascii="Meiryo UI" w:hAnsi="Meiryo UI"/>
                <w:sz w:val="18"/>
              </w:rPr>
              <w:t>FCF（フリーキャッシュフロー）</w:t>
            </w:r>
          </w:p>
        </w:tc>
        <w:tc>
          <w:tcPr>
            <w:tcW w:type="dxa" w:w="3135"/>
          </w:tcPr>
          <w:p>
            <w:r>
              <w:rPr>
                <w:rFonts w:ascii="Meiryo UI" w:hAnsi="Meiryo UI"/>
                <w:sz w:val="18"/>
              </w:rPr>
              <w:t>約¥60〜75億</w:t>
            </w:r>
          </w:p>
        </w:tc>
        <w:tc>
          <w:tcPr>
            <w:tcW w:type="dxa" w:w="3135"/>
          </w:tcPr>
          <w:p>
            <w:r>
              <w:rPr>
                <w:rFonts w:ascii="Meiryo UI" w:hAnsi="Meiryo UI"/>
                <w:sz w:val="18"/>
              </w:rPr>
              <w:t>営業CF－投資CF</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約5.0〜6.3%</w:t>
            </w:r>
          </w:p>
        </w:tc>
        <w:tc>
          <w:tcPr>
            <w:tcW w:type="dxa" w:w="3135"/>
            <w:shd w:val="clear" w:color="auto" w:fill="DDEBF7"/>
          </w:tcPr>
          <w:p>
            <w:r>
              <w:rPr>
                <w:rFonts w:ascii="Meiryo UI" w:hAnsi="Meiryo UI"/>
                <w:sz w:val="18"/>
              </w:rPr>
              <w:t>売上比</w:t>
            </w:r>
          </w:p>
        </w:tc>
      </w:tr>
      <w:tr>
        <w:tc>
          <w:tcPr>
            <w:tcW w:type="dxa" w:w="3135"/>
          </w:tcPr>
          <w:p>
            <w:r>
              <w:rPr>
                <w:rFonts w:ascii="Meiryo UI" w:hAnsi="Meiryo UI"/>
                <w:sz w:val="18"/>
              </w:rPr>
              <w:t>配当性向（推計）</w:t>
            </w:r>
          </w:p>
        </w:tc>
        <w:tc>
          <w:tcPr>
            <w:tcW w:type="dxa" w:w="3135"/>
          </w:tcPr>
          <w:p>
            <w:r>
              <w:rPr>
                <w:rFonts w:ascii="Meiryo UI" w:hAnsi="Meiryo UI"/>
                <w:sz w:val="18"/>
              </w:rPr>
              <w:t>約30〜35%</w:t>
            </w:r>
          </w:p>
        </w:tc>
        <w:tc>
          <w:tcPr>
            <w:tcW w:type="dxa" w:w="3135"/>
          </w:tcPr>
          <w:p>
            <w:r>
              <w:rPr>
                <w:rFonts w:ascii="Meiryo UI" w:hAnsi="Meiryo UI"/>
                <w:sz w:val="18"/>
              </w:rPr>
              <w:t>鉄鋼セクター標準</w:t>
            </w:r>
          </w:p>
        </w:tc>
      </w:tr>
      <w:tr>
        <w:tc>
          <w:tcPr>
            <w:tcW w:type="dxa" w:w="3135"/>
            <w:shd w:val="clear" w:color="auto" w:fill="DDEBF7"/>
          </w:tcPr>
          <w:p>
            <w:r>
              <w:rPr>
                <w:rFonts w:ascii="Meiryo UI" w:hAnsi="Meiryo UI"/>
                <w:sz w:val="18"/>
              </w:rPr>
              <w:t>DPS（推計）</w:t>
            </w:r>
          </w:p>
        </w:tc>
        <w:tc>
          <w:tcPr>
            <w:tcW w:type="dxa" w:w="3135"/>
            <w:shd w:val="clear" w:color="auto" w:fill="DDEBF7"/>
          </w:tcPr>
          <w:p>
            <w:r>
              <w:rPr>
                <w:rFonts w:ascii="Meiryo UI" w:hAnsi="Meiryo UI"/>
                <w:sz w:val="18"/>
              </w:rPr>
              <w:t>約¥115〜134</w:t>
            </w:r>
          </w:p>
        </w:tc>
        <w:tc>
          <w:tcPr>
            <w:tcW w:type="dxa" w:w="3135"/>
            <w:shd w:val="clear" w:color="auto" w:fill="DDEBF7"/>
          </w:tcPr>
          <w:p>
            <w:r>
              <w:rPr>
                <w:rFonts w:ascii="Meiryo UI" w:hAnsi="Meiryo UI"/>
                <w:sz w:val="18"/>
              </w:rPr>
              <w:t>EPS¥381.5×配当性向</w:t>
            </w:r>
          </w:p>
        </w:tc>
      </w:tr>
    </w:tbl>
    <w:p/>
    <w:p>
      <w:pPr>
        <w:pStyle w:val="Heading3"/>
      </w:pPr>
      <w:r>
        <w:rPr>
          <w:rFonts w:ascii="Meiryo UI" w:hAnsi="Meiryo UI"/>
          <w:color w:val="2E74B5"/>
        </w:rPr>
        <w:t>3-4. コモディティ・原価感応度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コモディティ</w:t>
            </w:r>
          </w:p>
        </w:tc>
        <w:tc>
          <w:tcPr>
            <w:tcW w:type="dxa" w:w="3135"/>
            <w:shd w:val="clear" w:color="auto" w:fill="2E74B5"/>
          </w:tcPr>
          <w:p>
            <w:r>
              <w:rPr>
                <w:rFonts w:ascii="Meiryo UI" w:hAnsi="Meiryo UI"/>
                <w:b/>
                <w:color w:val="FFFFFF"/>
                <w:sz w:val="18"/>
              </w:rPr>
              <w:t>直近価格（2026/4/6）</w:t>
            </w:r>
          </w:p>
        </w:tc>
        <w:tc>
          <w:tcPr>
            <w:tcW w:type="dxa" w:w="3135"/>
            <w:shd w:val="clear" w:color="auto" w:fill="2E74B5"/>
          </w:tcPr>
          <w:p>
            <w:r>
              <w:rPr>
                <w:rFonts w:ascii="Meiryo UI" w:hAnsi="Meiryo UI"/>
                <w:b/>
                <w:color w:val="FFFFFF"/>
                <w:sz w:val="18"/>
              </w:rPr>
              <w:t>東京鉄鋼への影響</w:t>
            </w:r>
          </w:p>
        </w:tc>
      </w:tr>
      <w:tr>
        <w:tc>
          <w:tcPr>
            <w:tcW w:type="dxa" w:w="3135"/>
          </w:tcPr>
          <w:p>
            <w:r>
              <w:rPr>
                <w:rFonts w:ascii="Meiryo UI" w:hAnsi="Meiryo UI"/>
                <w:sz w:val="18"/>
              </w:rPr>
              <w:t>WTI原油</w:t>
            </w:r>
          </w:p>
        </w:tc>
        <w:tc>
          <w:tcPr>
            <w:tcW w:type="dxa" w:w="3135"/>
          </w:tcPr>
          <w:p>
            <w:r>
              <w:rPr>
                <w:rFonts w:ascii="Meiryo UI" w:hAnsi="Meiryo UI"/>
                <w:sz w:val="18"/>
              </w:rPr>
              <w:t>$111.91/bbl</w:t>
            </w:r>
          </w:p>
        </w:tc>
        <w:tc>
          <w:tcPr>
            <w:tcW w:type="dxa" w:w="3135"/>
          </w:tcPr>
          <w:p>
            <w:r>
              <w:rPr>
                <w:rFonts w:ascii="Meiryo UI" w:hAnsi="Meiryo UI"/>
                <w:sz w:val="18"/>
              </w:rPr>
              <w:t>電力・輸送コスト上昇→利益率▲0.5〜1.0%pt</w:t>
            </w:r>
          </w:p>
        </w:tc>
      </w:tr>
      <w:tr>
        <w:tc>
          <w:tcPr>
            <w:tcW w:type="dxa" w:w="3135"/>
            <w:shd w:val="clear" w:color="auto" w:fill="DDEBF7"/>
          </w:tcPr>
          <w:p>
            <w:r>
              <w:rPr>
                <w:rFonts w:ascii="Meiryo UI" w:hAnsi="Meiryo UI"/>
                <w:sz w:val="18"/>
              </w:rPr>
              <w:t>ブレント原油</w:t>
            </w:r>
          </w:p>
        </w:tc>
        <w:tc>
          <w:tcPr>
            <w:tcW w:type="dxa" w:w="3135"/>
            <w:shd w:val="clear" w:color="auto" w:fill="DDEBF7"/>
          </w:tcPr>
          <w:p>
            <w:r>
              <w:rPr>
                <w:rFonts w:ascii="Meiryo UI" w:hAnsi="Meiryo UI"/>
                <w:sz w:val="18"/>
              </w:rPr>
              <w:t>$110.62/bbl</w:t>
            </w:r>
          </w:p>
        </w:tc>
        <w:tc>
          <w:tcPr>
            <w:tcW w:type="dxa" w:w="3135"/>
            <w:shd w:val="clear" w:color="auto" w:fill="DDEBF7"/>
          </w:tcPr>
          <w:p>
            <w:r>
              <w:rPr>
                <w:rFonts w:ascii="Meiryo UI" w:hAnsi="Meiryo UI"/>
                <w:sz w:val="18"/>
              </w:rPr>
              <w:t>同上（ヘッジ差分）</w:t>
            </w:r>
          </w:p>
        </w:tc>
      </w:tr>
      <w:tr>
        <w:tc>
          <w:tcPr>
            <w:tcW w:type="dxa" w:w="3135"/>
          </w:tcPr>
          <w:p>
            <w:r>
              <w:rPr>
                <w:rFonts w:ascii="Meiryo UI" w:hAnsi="Meiryo UI"/>
                <w:sz w:val="18"/>
              </w:rPr>
              <w:t>天然ガス（Henry Hub）</w:t>
            </w:r>
          </w:p>
        </w:tc>
        <w:tc>
          <w:tcPr>
            <w:tcW w:type="dxa" w:w="3135"/>
          </w:tcPr>
          <w:p>
            <w:r>
              <w:rPr>
                <w:rFonts w:ascii="Meiryo UI" w:hAnsi="Meiryo UI"/>
                <w:sz w:val="18"/>
              </w:rPr>
              <w:t>$2.85/MMBtu</w:t>
            </w:r>
          </w:p>
        </w:tc>
        <w:tc>
          <w:tcPr>
            <w:tcW w:type="dxa" w:w="3135"/>
          </w:tcPr>
          <w:p>
            <w:r>
              <w:rPr>
                <w:rFonts w:ascii="Meiryo UI" w:hAnsi="Meiryo UI"/>
                <w:sz w:val="18"/>
              </w:rPr>
              <w:t>相対的低位→部分オフセット</w:t>
            </w:r>
          </w:p>
        </w:tc>
      </w:tr>
      <w:tr>
        <w:tc>
          <w:tcPr>
            <w:tcW w:type="dxa" w:w="3135"/>
            <w:shd w:val="clear" w:color="auto" w:fill="DDEBF7"/>
          </w:tcPr>
          <w:p>
            <w:r>
              <w:rPr>
                <w:rFonts w:ascii="Meiryo UI" w:hAnsi="Meiryo UI"/>
                <w:sz w:val="18"/>
              </w:rPr>
              <w:t>鉄スクラップ（国内H2相場参考）</w:t>
            </w:r>
          </w:p>
        </w:tc>
        <w:tc>
          <w:tcPr>
            <w:tcW w:type="dxa" w:w="3135"/>
            <w:shd w:val="clear" w:color="auto" w:fill="DDEBF7"/>
          </w:tcPr>
          <w:p>
            <w:r>
              <w:rPr>
                <w:rFonts w:ascii="Meiryo UI" w:hAnsi="Meiryo UI"/>
                <w:sz w:val="18"/>
              </w:rPr>
              <w:t>¥45,000〜50,000/t（推計）</w:t>
            </w:r>
          </w:p>
        </w:tc>
        <w:tc>
          <w:tcPr>
            <w:tcW w:type="dxa" w:w="3135"/>
            <w:shd w:val="clear" w:color="auto" w:fill="DDEBF7"/>
          </w:tcPr>
          <w:p>
            <w:r>
              <w:rPr>
                <w:rFonts w:ascii="Meiryo UI" w:hAnsi="Meiryo UI"/>
                <w:sz w:val="18"/>
              </w:rPr>
              <w:t>主原料・最大影響因子</w:t>
            </w:r>
          </w:p>
        </w:tc>
      </w:tr>
    </w:tbl>
    <w:p/>
    <w:p>
      <w:r>
        <w:rPr>
          <w:rFonts w:ascii="Meiryo UI" w:hAnsi="Meiryo UI"/>
          <w:sz w:val="20"/>
        </w:rPr>
        <w:t>利益感応度テーブル（Bloomberg確定財務規模ベース）：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スクラップ価格変動</w:t>
            </w:r>
          </w:p>
        </w:tc>
        <w:tc>
          <w:tcPr>
            <w:tcW w:type="dxa" w:w="1881"/>
            <w:shd w:val="clear" w:color="auto" w:fill="2E74B5"/>
          </w:tcPr>
          <w:p>
            <w:r>
              <w:rPr>
                <w:rFonts w:ascii="Meiryo UI" w:hAnsi="Meiryo UI"/>
                <w:b/>
                <w:color w:val="FFFFFF"/>
                <w:sz w:val="18"/>
              </w:rPr>
              <w:t>原油価格</w:t>
            </w:r>
          </w:p>
        </w:tc>
        <w:tc>
          <w:tcPr>
            <w:tcW w:type="dxa" w:w="1881"/>
            <w:shd w:val="clear" w:color="auto" w:fill="2E74B5"/>
          </w:tcPr>
          <w:p>
            <w:r>
              <w:rPr>
                <w:rFonts w:ascii="Meiryo UI" w:hAnsi="Meiryo UI"/>
                <w:b/>
                <w:color w:val="FFFFFF"/>
                <w:sz w:val="18"/>
              </w:rPr>
              <w:t>営業利益影響</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強気</w:t>
            </w:r>
          </w:p>
        </w:tc>
        <w:tc>
          <w:tcPr>
            <w:tcW w:type="dxa" w:w="1881"/>
          </w:tcPr>
          <w:p>
            <w:r>
              <w:rPr>
                <w:rFonts w:ascii="Meiryo UI" w:hAnsi="Meiryo UI"/>
                <w:sz w:val="18"/>
              </w:rPr>
              <w:t>▲10%（¥40,500/t）</w:t>
            </w:r>
          </w:p>
        </w:tc>
        <w:tc>
          <w:tcPr>
            <w:tcW w:type="dxa" w:w="1881"/>
          </w:tcPr>
          <w:p>
            <w:r>
              <w:rPr>
                <w:rFonts w:ascii="Meiryo UI" w:hAnsi="Meiryo UI"/>
                <w:sz w:val="18"/>
              </w:rPr>
              <w:t>現状維持</w:t>
            </w:r>
          </w:p>
        </w:tc>
        <w:tc>
          <w:tcPr>
            <w:tcW w:type="dxa" w:w="1881"/>
          </w:tcPr>
          <w:p>
            <w:r>
              <w:rPr>
                <w:rFonts w:ascii="Meiryo UI" w:hAnsi="Meiryo UI"/>
                <w:sz w:val="18"/>
              </w:rPr>
              <w:t>+¥8〜10億</w:t>
            </w:r>
          </w:p>
        </w:tc>
        <w:tc>
          <w:tcPr>
            <w:tcW w:type="dxa" w:w="1881"/>
          </w:tcPr>
          <w:p>
            <w:r>
              <w:rPr>
                <w:rFonts w:ascii="Meiryo UI" w:hAnsi="Meiryo UI"/>
                <w:sz w:val="18"/>
              </w:rPr>
              <w:t>+¥40〜50</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現状（¥47,500/t）</w:t>
            </w:r>
          </w:p>
        </w:tc>
        <w:tc>
          <w:tcPr>
            <w:tcW w:type="dxa" w:w="1881"/>
            <w:shd w:val="clear" w:color="auto" w:fill="DDEBF7"/>
          </w:tcPr>
          <w:p>
            <w:r>
              <w:rPr>
                <w:rFonts w:ascii="Meiryo UI" w:hAnsi="Meiryo UI"/>
                <w:sz w:val="18"/>
              </w:rPr>
              <w:t>$111.91</w:t>
            </w:r>
          </w:p>
        </w:tc>
        <w:tc>
          <w:tcPr>
            <w:tcW w:type="dxa" w:w="1881"/>
            <w:shd w:val="clear" w:color="auto" w:fill="DDEBF7"/>
          </w:tcPr>
          <w:p>
            <w:r>
              <w:rPr>
                <w:rFonts w:ascii="Meiryo UI" w:hAnsi="Meiryo UI"/>
                <w:sz w:val="18"/>
              </w:rPr>
              <w:t>ベース</w:t>
            </w:r>
          </w:p>
        </w:tc>
        <w:tc>
          <w:tcPr>
            <w:tcW w:type="dxa" w:w="1881"/>
            <w:shd w:val="clear" w:color="auto" w:fill="DDEBF7"/>
          </w:tcPr>
          <w:p>
            <w:r>
              <w:rPr>
                <w:rFonts w:ascii="Meiryo UI" w:hAnsi="Meiryo UI"/>
                <w:sz w:val="18"/>
              </w:rPr>
              <w:t>¥381.5</w:t>
            </w:r>
          </w:p>
        </w:tc>
      </w:tr>
      <w:tr>
        <w:tc>
          <w:tcPr>
            <w:tcW w:type="dxa" w:w="1881"/>
          </w:tcPr>
          <w:p>
            <w:r>
              <w:rPr>
                <w:rFonts w:ascii="Meiryo UI" w:hAnsi="Meiryo UI"/>
                <w:sz w:val="18"/>
              </w:rPr>
              <w:t>弱気</w:t>
            </w:r>
          </w:p>
        </w:tc>
        <w:tc>
          <w:tcPr>
            <w:tcW w:type="dxa" w:w="1881"/>
          </w:tcPr>
          <w:p>
            <w:r>
              <w:rPr>
                <w:rFonts w:ascii="Meiryo UI" w:hAnsi="Meiryo UI"/>
                <w:sz w:val="18"/>
              </w:rPr>
              <w:t>+15%（¥54,600/t）</w:t>
            </w:r>
          </w:p>
        </w:tc>
        <w:tc>
          <w:tcPr>
            <w:tcW w:type="dxa" w:w="1881"/>
          </w:tcPr>
          <w:p>
            <w:r>
              <w:rPr>
                <w:rFonts w:ascii="Meiryo UI" w:hAnsi="Meiryo UI"/>
                <w:sz w:val="18"/>
              </w:rPr>
              <w:t>+10%</w:t>
            </w:r>
          </w:p>
        </w:tc>
        <w:tc>
          <w:tcPr>
            <w:tcW w:type="dxa" w:w="1881"/>
          </w:tcPr>
          <w:p>
            <w:r>
              <w:rPr>
                <w:rFonts w:ascii="Meiryo UI" w:hAnsi="Meiryo UI"/>
                <w:sz w:val="18"/>
              </w:rPr>
              <w:t>▲¥12〜15億</w:t>
            </w:r>
          </w:p>
        </w:tc>
        <w:tc>
          <w:tcPr>
            <w:tcW w:type="dxa" w:w="1881"/>
          </w:tcPr>
          <w:p>
            <w:r>
              <w:rPr>
                <w:rFonts w:ascii="Meiryo UI" w:hAnsi="Meiryo UI"/>
                <w:sz w:val="18"/>
              </w:rPr>
              <w:t>▲¥60〜75</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WACC前提条件の確定</w:t>
      </w:r>
    </w:p>
    <w:p/>
    <w:p>
      <w:r>
        <w:rPr>
          <w:rFonts w:ascii="Meiryo UI" w:hAnsi="Meiryo UI"/>
          <w:sz w:val="20"/>
        </w:rPr>
        <w:t>【全前提を明示】</w:t>
      </w:r>
    </w:p>
    <w:p/>
    <w:p>
      <w:pPr>
        <w:shd w:val="clear" w:color="auto" w:fill="F2F2F2"/>
      </w:pPr>
      <w:r>
        <w:rPr>
          <w:rFonts w:ascii="Courier New" w:hAnsi="Courier New"/>
          <w:sz w:val="16"/>
        </w:rPr>
        <w:t>■ リスクフリーレート（Rf）</w:t>
        <w:br/>
        <w:t xml:space="preserve">  Rf = 2.380%（JGB10Y / 2026-04-06 10:56 JST 社長確認値）</w:t>
        <w:br/>
        <w:br/>
        <w:t>■ β（ベータ）</w:t>
        <w:br/>
        <w:t xml:space="preserve">  東京鉄鋼（5445.T）の推計β = 1.05</w:t>
        <w:br/>
        <w:t xml:space="preserve">  根拠：鉄鋼素材セクター・東証プライム上場</w:t>
        <w:br/>
        <w:t xml:space="preserve">        建設需要連動の景気敏感株として市場βより若干高め</w:t>
        <w:br/>
        <w:t xml:space="preserve">        ただし純粋な素材大手（β1.2〜1.4）より安定的</w:t>
        <w:br/>
        <w:br/>
        <w:t>■ ERP（株式リスクプレミアム）</w:t>
        <w:br/>
        <w:t xml:space="preserve">  ERP = 5.50%</w:t>
        <w:br/>
        <w:t xml:space="preserve">  根拠：日本株市場の標準的ERP（Damodaran 2025年Japan推計値参照）</w:t>
        <w:br/>
        <w:t xml:space="preserve">        2026年時点：地政学リスク・円安継続を考慮しやや高め設定</w:t>
        <w:br/>
        <w:br/>
        <w:t>■ 株主資本コスト（Re）</w:t>
        <w:br/>
        <w:t xml:space="preserve">  Re = Rf + β × ERP</w:t>
        <w:br/>
        <w:t xml:space="preserve">     = 2.380% + 1.05 × 5.50%</w:t>
        <w:br/>
        <w:t xml:space="preserve">     = 2.380% + 5.775%</w:t>
        <w:br/>
        <w:t xml:space="preserve">     = 8.155%（≒8.2%）</w:t>
        <w:br/>
        <w:br/>
        <w:t>■ 負債コスト（Rd）</w:t>
        <w:br/>
        <w:t xml:space="preserve">  Rd = 1.5%（日本の優良製造業の借入金利水準）</w:t>
        <w:br/>
        <w:t xml:space="preserve">  実効税率（Tc）= 30%（法定実効税率）</w:t>
        <w:br/>
        <w:t xml:space="preserve">  税引後負債コスト = 1.5% × (1 - 30%) = 1.05%</w:t>
        <w:br/>
        <w:br/>
        <w:t>■ 資本構成（Bloomberg確定財務値から逆算）</w:t>
        <w:br/>
        <w:t xml:space="preserve">  純資産（E）= ¥500億</w:t>
        <w:br/>
        <w:t xml:space="preserve">  有利子負債（D）= ¥125億（推計）</w:t>
        <w:br/>
        <w:t xml:space="preserve">  E/(D+E) = 500 ÷ 625 = 80.0%</w:t>
        <w:br/>
        <w:t xml:space="preserve">  D/(D+E) = 125 ÷ 625 = 20.0%</w:t>
        <w:br/>
        <w:br/>
        <w:t>■ WACC計算</w:t>
        <w:br/>
        <w:t xml:space="preserve">  WACC = [E/(D+E) × Re] + [D/(D+E) × Rd × (1-Tc)]</w:t>
        <w:br/>
        <w:t xml:space="preserve">       = [0.80 × 8.155%] + [0.20 × 1.05%]</w:t>
        <w:br/>
        <w:t xml:space="preserve">       = 6.524% + 0.210%</w:t>
        <w:br/>
        <w:t xml:space="preserve">       = 6.734%（≒6.73%）</w:t>
        <w:br/>
        <w:br/>
        <w:t>■ 永久成長率（g）</w:t>
        <w:br/>
        <w:t xml:space="preserve">  g = 2.0%</w:t>
        <w:br/>
        <w:t xml:space="preserve">  根拠：</w:t>
        <w:br/>
        <w:t xml:space="preserve">    ・国土強靱化・公共投資拡大を中期追い風とするが</w:t>
        <w:br/>
        <w:t xml:space="preserve">    ・長期的には建設投資頭打ち・人口減少を考慮</w:t>
        <w:br/>
        <w:t xml:space="preserve">    ・名目GDP成長率（推計2〜2.5%）と整合</w:t>
      </w:r>
    </w:p>
    <w:p/>
    <w:p>
      <w:pPr>
        <w:pStyle w:val="Heading3"/>
      </w:pPr>
      <w:r>
        <w:rPr>
          <w:rFonts w:ascii="Meiryo UI" w:hAnsi="Meiryo UI"/>
          <w:color w:val="2E74B5"/>
        </w:rPr>
        <w:t>4-2. FCF予測モデル（5ヵ年＋永久成長）</w:t>
      </w:r>
    </w:p>
    <w:p/>
    <w:p>
      <w:r>
        <w:rPr>
          <w:rFonts w:ascii="Meiryo UI" w:hAnsi="Meiryo UI"/>
          <w:sz w:val="20"/>
        </w:rPr>
        <w:t>基点：FCF ≒ ¥67億（FY2025推計、Bloomberg確定値ベース）</w:t>
      </w:r>
    </w:p>
    <w:p/>
    <w:p>
      <w:pPr>
        <w:shd w:val="clear" w:color="auto" w:fill="F2F2F2"/>
      </w:pPr>
      <w:r>
        <w:rPr>
          <w:rFonts w:ascii="Courier New" w:hAnsi="Courier New"/>
          <w:sz w:val="16"/>
        </w:rPr>
        <w:t>Bloomberg確定値からの出発点：</w:t>
        <w:br/>
        <w:t>純利益 ≒ ¥78.5億（BPS¥2,430×ROE15.7%×株式数2,060万株）</w:t>
        <w:br/>
        <w:t>EBITDA ≒ 純利益÷0.80 ≒ ¥98億（税前・金融費用前・償却前）</w:t>
        <w:br/>
        <w:t>設備投資（Capex） ≒ ¥20億（売上高比1.7%、電炉設備更新）</w:t>
        <w:br/>
        <w:t>減価償却（D&amp;A） ≒ ¥22億</w:t>
        <w:br/>
        <w:t>運転資本増減 ≒ ▲¥3億（売上拡大に伴う若干の増加）</w:t>
        <w:br/>
        <w:br/>
        <w:t>FCFF = EBITDA × (1-Tc) + D&amp;A × Tc - Capex - ΔWC</w:t>
        <w:br/>
        <w:t xml:space="preserve">      ≒ ¥98億 × 0.70 + ¥22億 × 0.30 - ¥20億 - ¥3億</w:t>
        <w:br/>
        <w:t xml:space="preserve">      = ¥68.6億 + ¥6.6億 - ¥20億 - ¥3億</w:t>
        <w:br/>
        <w:t xml:space="preserve">      = ¥52.2億</w:t>
        <w:br/>
        <w:br/>
        <w:t>※簡略化FCF（純利益+D&amp;A-Capex）</w:t>
        <w:br/>
        <w:t xml:space="preserve">  = ¥78.5億 + ¥22億 - ¥20億 - ¥3億（WC）= ¥77.5億</w:t>
        <w:br/>
        <w:t xml:space="preserve">  → 中間値として FCF = ¥67億を採用</w:t>
      </w:r>
    </w:p>
    <w:p/>
    <w:p>
      <w:r>
        <w:rPr>
          <w:rFonts w:ascii="Meiryo UI" w:hAnsi="Meiryo UI"/>
          <w:sz w:val="20"/>
        </w:rPr>
        <w:t>5ヵ年FCF予測テーブル（基本シナリオ）：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割引係数（WACC=6.73%）</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+5.0%</w:t>
            </w:r>
          </w:p>
        </w:tc>
        <w:tc>
          <w:tcPr>
            <w:tcW w:type="dxa" w:w="1881"/>
          </w:tcPr>
          <w:p>
            <w:r>
              <w:rPr>
                <w:rFonts w:ascii="Meiryo UI" w:hAnsi="Meiryo UI"/>
                <w:sz w:val="18"/>
              </w:rPr>
              <w:t>¥70.4</w:t>
            </w:r>
          </w:p>
        </w:tc>
        <w:tc>
          <w:tcPr>
            <w:tcW w:type="dxa" w:w="1881"/>
          </w:tcPr>
          <w:p>
            <w:r>
              <w:rPr>
                <w:rFonts w:ascii="Meiryo UI" w:hAnsi="Meiryo UI"/>
                <w:sz w:val="18"/>
              </w:rPr>
              <w:t>0.9369</w:t>
            </w:r>
          </w:p>
        </w:tc>
        <w:tc>
          <w:tcPr>
            <w:tcW w:type="dxa" w:w="1881"/>
          </w:tcPr>
          <w:p>
            <w:r>
              <w:rPr>
                <w:rFonts w:ascii="Meiryo UI" w:hAnsi="Meiryo UI"/>
                <w:sz w:val="18"/>
              </w:rPr>
              <w:t>¥65.9</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¥73.2</w:t>
            </w:r>
          </w:p>
        </w:tc>
        <w:tc>
          <w:tcPr>
            <w:tcW w:type="dxa" w:w="1881"/>
            <w:shd w:val="clear" w:color="auto" w:fill="DDEBF7"/>
          </w:tcPr>
          <w:p>
            <w:r>
              <w:rPr>
                <w:rFonts w:ascii="Meiryo UI" w:hAnsi="Meiryo UI"/>
                <w:sz w:val="18"/>
              </w:rPr>
              <w:t>0.8778</w:t>
            </w:r>
          </w:p>
        </w:tc>
        <w:tc>
          <w:tcPr>
            <w:tcW w:type="dxa" w:w="1881"/>
            <w:shd w:val="clear" w:color="auto" w:fill="DDEBF7"/>
          </w:tcPr>
          <w:p>
            <w:r>
              <w:rPr>
                <w:rFonts w:ascii="Meiryo UI" w:hAnsi="Meiryo UI"/>
                <w:sz w:val="18"/>
              </w:rPr>
              <w:t>¥64.3</w:t>
            </w:r>
          </w:p>
        </w:tc>
      </w:tr>
      <w:tr>
        <w:tc>
          <w:tcPr>
            <w:tcW w:type="dxa" w:w="1881"/>
          </w:tcPr>
          <w:p>
            <w:r>
              <w:rPr>
                <w:rFonts w:ascii="Meiryo UI" w:hAnsi="Meiryo UI"/>
                <w:sz w:val="18"/>
              </w:rPr>
              <w:t>FY2028</w:t>
            </w:r>
          </w:p>
        </w:tc>
        <w:tc>
          <w:tcPr>
            <w:tcW w:type="dxa" w:w="1881"/>
          </w:tcPr>
          <w:p>
            <w:r>
              <w:rPr>
                <w:rFonts w:ascii="Meiryo UI" w:hAnsi="Meiryo UI"/>
                <w:sz w:val="18"/>
              </w:rPr>
              <w:t>+3.0%</w:t>
            </w:r>
          </w:p>
        </w:tc>
        <w:tc>
          <w:tcPr>
            <w:tcW w:type="dxa" w:w="1881"/>
          </w:tcPr>
          <w:p>
            <w:r>
              <w:rPr>
                <w:rFonts w:ascii="Meiryo UI" w:hAnsi="Meiryo UI"/>
                <w:sz w:val="18"/>
              </w:rPr>
              <w:t>¥75.4</w:t>
            </w:r>
          </w:p>
        </w:tc>
        <w:tc>
          <w:tcPr>
            <w:tcW w:type="dxa" w:w="1881"/>
          </w:tcPr>
          <w:p>
            <w:r>
              <w:rPr>
                <w:rFonts w:ascii="Meiryo UI" w:hAnsi="Meiryo UI"/>
                <w:sz w:val="18"/>
              </w:rPr>
              <w:t>0.8225</w:t>
            </w:r>
          </w:p>
        </w:tc>
        <w:tc>
          <w:tcPr>
            <w:tcW w:type="dxa" w:w="1881"/>
          </w:tcPr>
          <w:p>
            <w:r>
              <w:rPr>
                <w:rFonts w:ascii="Meiryo UI" w:hAnsi="Meiryo UI"/>
                <w:sz w:val="18"/>
              </w:rPr>
              <w:t>¥62.0</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¥77.3</w:t>
            </w:r>
          </w:p>
        </w:tc>
        <w:tc>
          <w:tcPr>
            <w:tcW w:type="dxa" w:w="1881"/>
            <w:shd w:val="clear" w:color="auto" w:fill="DDEBF7"/>
          </w:tcPr>
          <w:p>
            <w:r>
              <w:rPr>
                <w:rFonts w:ascii="Meiryo UI" w:hAnsi="Meiryo UI"/>
                <w:sz w:val="18"/>
              </w:rPr>
              <w:t>0.7706</w:t>
            </w:r>
          </w:p>
        </w:tc>
        <w:tc>
          <w:tcPr>
            <w:tcW w:type="dxa" w:w="1881"/>
            <w:shd w:val="clear" w:color="auto" w:fill="DDEBF7"/>
          </w:tcPr>
          <w:p>
            <w:r>
              <w:rPr>
                <w:rFonts w:ascii="Meiryo UI" w:hAnsi="Meiryo UI"/>
                <w:sz w:val="18"/>
              </w:rPr>
              <w:t>¥59.6</w:t>
            </w:r>
          </w:p>
        </w:tc>
      </w:tr>
      <w:tr>
        <w:tc>
          <w:tcPr>
            <w:tcW w:type="dxa" w:w="1881"/>
          </w:tcPr>
          <w:p>
            <w:r>
              <w:rPr>
                <w:rFonts w:ascii="Meiryo UI" w:hAnsi="Meiryo UI"/>
                <w:sz w:val="18"/>
              </w:rPr>
              <w:t>FY2030</w:t>
            </w:r>
          </w:p>
        </w:tc>
        <w:tc>
          <w:tcPr>
            <w:tcW w:type="dxa" w:w="1881"/>
          </w:tcPr>
          <w:p>
            <w:r>
              <w:rPr>
                <w:rFonts w:ascii="Meiryo UI" w:hAnsi="Meiryo UI"/>
                <w:sz w:val="18"/>
              </w:rPr>
              <w:t>+2.0%</w:t>
            </w:r>
          </w:p>
        </w:tc>
        <w:tc>
          <w:tcPr>
            <w:tcW w:type="dxa" w:w="1881"/>
          </w:tcPr>
          <w:p>
            <w:r>
              <w:rPr>
                <w:rFonts w:ascii="Meiryo UI" w:hAnsi="Meiryo UI"/>
                <w:sz w:val="18"/>
              </w:rPr>
              <w:t>¥78.8</w:t>
            </w:r>
          </w:p>
        </w:tc>
        <w:tc>
          <w:tcPr>
            <w:tcW w:type="dxa" w:w="1881"/>
          </w:tcPr>
          <w:p>
            <w:r>
              <w:rPr>
                <w:rFonts w:ascii="Meiryo UI" w:hAnsi="Meiryo UI"/>
                <w:sz w:val="18"/>
              </w:rPr>
              <w:t>0.7219</w:t>
            </w:r>
          </w:p>
        </w:tc>
        <w:tc>
          <w:tcPr>
            <w:tcW w:type="dxa" w:w="1881"/>
          </w:tcPr>
          <w:p>
            <w:r>
              <w:rPr>
                <w:rFonts w:ascii="Meiryo UI" w:hAnsi="Meiryo UI"/>
                <w:sz w:val="18"/>
              </w:rPr>
              <w:t>¥56.9</w:t>
            </w:r>
          </w:p>
        </w:tc>
      </w:tr>
      <w:tr>
        <w:tc>
          <w:tcPr>
            <w:tcW w:type="dxa" w:w="1881"/>
            <w:shd w:val="clear" w:color="auto" w:fill="DDEBF7"/>
          </w:tcPr>
          <w:p>
            <w:r>
              <w:rPr>
                <w:rFonts w:ascii="Meiryo UI" w:hAnsi="Meiryo UI"/>
                <w:sz w:val="18"/>
              </w:rPr>
              <w:t>PV合計（予測期間）</w:t>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r>
          </w:p>
        </w:tc>
        <w:tc>
          <w:tcPr>
            <w:tcW w:type="dxa" w:w="1881"/>
            <w:shd w:val="clear" w:color="auto" w:fill="DDEBF7"/>
          </w:tcPr>
          <w:p>
            <w:r>
              <w:rPr>
                <w:rFonts w:ascii="Meiryo UI" w:hAnsi="Meiryo UI"/>
                <w:sz w:val="18"/>
              </w:rPr>
              <w:t>¥308.7億</w:t>
            </w:r>
          </w:p>
        </w:tc>
      </w:tr>
    </w:tbl>
    <w:p/>
    <w:p>
      <w:r>
        <w:rPr>
          <w:rFonts w:ascii="Meiryo UI" w:hAnsi="Meiryo UI"/>
          <w:sz w:val="20"/>
        </w:rPr>
        <w:t>ターミナルバリュー（TV）：</w:t>
      </w:r>
    </w:p>
    <w:p>
      <w:pPr>
        <w:shd w:val="clear" w:color="auto" w:fill="F2F2F2"/>
      </w:pPr>
      <w:r>
        <w:rPr>
          <w:rFonts w:ascii="Courier New" w:hAnsi="Courier New"/>
          <w:sz w:val="16"/>
        </w:rPr>
        <w:t>TV = FCF(FY2031) ÷ (WACC - g)</w:t>
        <w:br/>
        <w:t xml:space="preserve">   = ¥78.8億 × (1 + 2.0%) ÷ (6.73% - 2.0%)</w:t>
        <w:br/>
        <w:t xml:space="preserve">   = ¥80.4億 ÷ 4.73%</w:t>
        <w:br/>
        <w:t xml:space="preserve">   = ¥1,699.8億</w:t>
        <w:br/>
        <w:br/>
        <w:t>TV現在価値（PV of TV）= ¥1,699.8億 × 0.7219（FY2030割引係数）</w:t>
        <w:br/>
        <w:t xml:space="preserve">                     = ¥1,227.0億</w:t>
      </w:r>
    </w:p>
    <w:p/>
    <w:p>
      <w:r>
        <w:rPr>
          <w:rFonts w:ascii="Meiryo UI" w:hAnsi="Meiryo UI"/>
          <w:sz w:val="20"/>
        </w:rPr>
        <w:t>企業価値（EV）の計算：</w:t>
      </w:r>
    </w:p>
    <w:p>
      <w:pPr>
        <w:shd w:val="clear" w:color="auto" w:fill="F2F2F2"/>
      </w:pPr>
      <w:r>
        <w:rPr>
          <w:rFonts w:ascii="Courier New" w:hAnsi="Courier New"/>
          <w:sz w:val="16"/>
        </w:rPr>
        <w:t>EV = PV合計（予測期間）+ PV of TV</w:t>
        <w:br/>
        <w:t xml:space="preserve">   = ¥308.7億 + ¥1,227.0億</w:t>
        <w:br/>
        <w:t xml:space="preserve">   = ¥1,535.7億</w:t>
        <w:br/>
        <w:br/>
        <w:t>株式価値 = EV - 有利子負債 + 現預金</w:t>
        <w:br/>
        <w:t xml:space="preserve">         = ¥1,535.7億 - ¥125億 + ¥50億（現預金推計）</w:t>
        <w:br/>
        <w:t xml:space="preserve">         = ¥1,460.7億</w:t>
        <w:br/>
        <w:br/>
        <w:t>理論株価（DCF）= ¥1,460.7億 ÷ 2,060万株</w:t>
        <w:br/>
        <w:t xml:space="preserve">              = **¥7,090/株（基本シナリオ）**</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DCF（基本シナリオ）</w:t>
            </w:r>
          </w:p>
        </w:tc>
        <w:tc>
          <w:tcPr>
            <w:tcW w:type="dxa" w:w="3135"/>
          </w:tcPr>
          <w:p>
            <w:r>
              <w:rPr>
                <w:rFonts w:ascii="Meiryo UI" w:hAnsi="Meiryo UI"/>
                <w:sz w:val="18"/>
              </w:rPr>
              <w:t>¥7,090</w:t>
            </w:r>
          </w:p>
        </w:tc>
        <w:tc>
          <w:tcPr>
            <w:tcW w:type="dxa" w:w="3135"/>
          </w:tcPr>
          <w:p>
            <w:r>
              <w:rPr>
                <w:rFonts w:ascii="Meiryo UI" w:hAnsi="Meiryo UI"/>
                <w:sz w:val="18"/>
              </w:rPr>
              <w:t>WACC6.73%/g=2.0%</w:t>
            </w:r>
          </w:p>
        </w:tc>
      </w:tr>
      <w:tr>
        <w:tc>
          <w:tcPr>
            <w:tcW w:type="dxa" w:w="3135"/>
            <w:shd w:val="clear" w:color="auto" w:fill="DDEBF7"/>
          </w:tcPr>
          <w:p>
            <w:r>
              <w:rPr>
                <w:rFonts w:ascii="Meiryo UI" w:hAnsi="Meiryo UI"/>
                <w:sz w:val="18"/>
              </w:rPr>
              <w:t>DCF（保守シナリオ）</w:t>
            </w:r>
          </w:p>
        </w:tc>
        <w:tc>
          <w:tcPr>
            <w:tcW w:type="dxa" w:w="3135"/>
            <w:shd w:val="clear" w:color="auto" w:fill="DDEBF7"/>
          </w:tcPr>
          <w:p>
            <w:r>
              <w:rPr>
                <w:rFonts w:ascii="Meiryo UI" w:hAnsi="Meiryo UI"/>
                <w:sz w:val="18"/>
              </w:rPr>
              <w:t>¥4,850</w:t>
            </w:r>
          </w:p>
        </w:tc>
        <w:tc>
          <w:tcPr>
            <w:tcW w:type="dxa" w:w="3135"/>
            <w:shd w:val="clear" w:color="auto" w:fill="DDEBF7"/>
          </w:tcPr>
          <w:p>
            <w:r>
              <w:rPr>
                <w:rFonts w:ascii="Meiryo UI" w:hAnsi="Meiryo UI"/>
                <w:sz w:val="18"/>
              </w:rPr>
              <w:t>WACC8.0%/g=1.5%</w:t>
            </w:r>
          </w:p>
        </w:tc>
      </w:tr>
      <w:tr>
        <w:tc>
          <w:tcPr>
            <w:tcW w:type="dxa" w:w="3135"/>
          </w:tcPr>
          <w:p>
            <w:r>
              <w:rPr>
                <w:rFonts w:ascii="Meiryo UI" w:hAnsi="Meiryo UI"/>
                <w:sz w:val="18"/>
              </w:rPr>
              <w:t>PBR理論値（ROE/Re/g）</w:t>
            </w:r>
          </w:p>
        </w:tc>
        <w:tc>
          <w:tcPr>
            <w:tcW w:type="dxa" w:w="3135"/>
          </w:tcPr>
          <w:p>
            <w:r>
              <w:rPr>
                <w:rFonts w:ascii="Meiryo UI" w:hAnsi="Meiryo UI"/>
                <w:sz w:val="18"/>
              </w:rPr>
              <w:t>¥5,637</w:t>
            </w:r>
          </w:p>
        </w:tc>
        <w:tc>
          <w:tcPr>
            <w:tcW w:type="dxa" w:w="3135"/>
          </w:tcPr>
          <w:p>
            <w:r>
              <w:rPr>
                <w:rFonts w:ascii="Meiryo UI" w:hAnsi="Meiryo UI"/>
                <w:sz w:val="18"/>
              </w:rPr>
              <w:t>理論PBR2.32×BPS¥2,430</w:t>
            </w:r>
          </w:p>
        </w:tc>
      </w:tr>
      <w:tr>
        <w:tc>
          <w:tcPr>
            <w:tcW w:type="dxa" w:w="3135"/>
            <w:shd w:val="clear" w:color="auto" w:fill="DDEBF7"/>
          </w:tcPr>
          <w:p>
            <w:r>
              <w:rPr>
                <w:rFonts w:ascii="Meiryo UI" w:hAnsi="Meiryo UI"/>
                <w:sz w:val="18"/>
              </w:rPr>
              <w:t>PER比較法</w:t>
            </w:r>
          </w:p>
        </w:tc>
        <w:tc>
          <w:tcPr>
            <w:tcW w:type="dxa" w:w="3135"/>
            <w:shd w:val="clear" w:color="auto" w:fill="DDEBF7"/>
          </w:tcPr>
          <w:p>
            <w:r>
              <w:rPr>
                <w:rFonts w:ascii="Meiryo UI" w:hAnsi="Meiryo UI"/>
                <w:sz w:val="18"/>
              </w:rPr>
              <w:t>¥3,050〜3,820</w:t>
            </w:r>
          </w:p>
        </w:tc>
        <w:tc>
          <w:tcPr>
            <w:tcW w:type="dxa" w:w="3135"/>
            <w:shd w:val="clear" w:color="auto" w:fill="DDEBF7"/>
          </w:tcPr>
          <w:p>
            <w:r>
              <w:rPr>
                <w:rFonts w:ascii="Meiryo UI" w:hAnsi="Meiryo UI"/>
                <w:sz w:val="18"/>
              </w:rPr>
              <w:t>同業PER8〜10倍×EPS¥381.5</w:t>
            </w:r>
          </w:p>
        </w:tc>
      </w:tr>
      <w:tr>
        <w:tc>
          <w:tcPr>
            <w:tcW w:type="dxa" w:w="3135"/>
          </w:tcPr>
          <w:p>
            <w:r>
              <w:rPr>
                <w:rFonts w:ascii="Meiryo UI" w:hAnsi="Meiryo UI"/>
                <w:sz w:val="18"/>
              </w:rPr>
              <w:t>総合理論株価（加重平均）</w:t>
            </w:r>
          </w:p>
        </w:tc>
        <w:tc>
          <w:tcPr>
            <w:tcW w:type="dxa" w:w="3135"/>
          </w:tcPr>
          <w:p>
            <w:r>
              <w:rPr>
                <w:rFonts w:ascii="Meiryo UI" w:hAnsi="Meiryo UI"/>
                <w:sz w:val="18"/>
              </w:rPr>
              <w:t>¥4,500〜5,500</w:t>
            </w:r>
          </w:p>
        </w:tc>
        <w:tc>
          <w:tcPr>
            <w:tcW w:type="dxa" w:w="3135"/>
          </w:tcPr>
          <w:p>
            <w:r>
              <w:rPr>
                <w:rFonts w:ascii="Meiryo UI" w:hAnsi="Meiryo UI"/>
                <w:sz w:val="18"/>
              </w:rPr>
              <w:t>複数手法の収束レンジ</w:t>
            </w:r>
          </w:p>
        </w:tc>
      </w:tr>
    </w:tbl>
    <w:p/>
    <w:p>
      <w:r>
        <w:rPr>
          <w:rFonts w:ascii="Meiryo UI" w:hAnsi="Meiryo UI"/>
          <w:sz w:val="20"/>
        </w:rPr>
        <w:t>保守的バッファ（安全域）の適用：</w:t>
      </w:r>
    </w:p>
    <w:p>
      <w:pPr>
        <w:shd w:val="clear" w:color="auto" w:fill="F2F2F2"/>
      </w:pPr>
      <w:r>
        <w:rPr>
          <w:rFonts w:ascii="Courier New" w:hAnsi="Courier New"/>
          <w:sz w:val="16"/>
        </w:rPr>
        <w:t>総合理論株価中央値：¥5,000</w:t>
        <w:br/>
        <w:t>安全域バッファ：▲20%（鉄鋼景気敏感・コスト変動リスク考慮）</w:t>
        <w:br/>
        <w:t>安全域適用後：¥5,000 × 0.80 = ¥4,000</w:t>
        <w:br/>
        <w:br/>
        <w:t>現在株価：¥1,999</w:t>
        <w:br/>
        <w:t>理論株価中央値：¥5,000</w:t>
        <w:br/>
        <w:t>上昇余地：+¥3,001（+150.1%）</w:t>
        <w:br/>
        <w:t>安全域適用後理論値：¥4,000 → 上昇余地+¥2,001（+100.1%）</w:t>
      </w:r>
    </w:p>
    <w:p/>
    <w:p>
      <w:r>
        <w:rPr>
          <w:rFonts w:ascii="Meiryo UI" w:hAnsi="Meiryo UI"/>
          <w:sz w:val="20"/>
        </w:rPr>
        <w:t>&gt; ⚠️ 重要注記： DCF理論株価¥7,090は現在株価¥1,999の約3.5倍を示唆している。これはBloomberg確定値のROE15.7%という高収益性と、電炉モデルの安定FCF創出能力を反映したものである。ただし鉄鋼セクターの景気敏感性・コスト変動リスクを考慮し、実用的な投資判断では保守的レンジ¥4,500〜5,500を採用する。</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投資判断：BUY（買い）                      │</w:t>
        <w:br/>
        <w:t>│  現在株価：¥1,999                           │</w:t>
        <w:br/>
        <w:t>│  理論株価レンジ：¥4,500〜5,500             │</w:t>
        <w:br/>
        <w:t>│  DCF中央値：¥7,090                         │</w:t>
        <w:br/>
        <w:t>│  安全域適用後目標株価：¥4,000（保守的）     │</w:t>
        <w:br/>
        <w:t>│  上昇余地：+100〜+175%                     │</w:t>
        <w:br/>
        <w:t>│  PBR現状：0.82倍（適度割安〜適正水準）      │</w:t>
        <w:br/>
        <w:t>└─────────────────────────────────────────┘</w:t>
      </w:r>
    </w:p>
    <w:p/>
    <w:p>
      <w:r>
        <w:rPr>
          <w:rFonts w:ascii="Meiryo UI" w:hAnsi="Meiryo UI"/>
          <w:sz w:val="20"/>
        </w:rPr>
        <w:t>投資判断の根拠（PBR0.82の正しい解釈）：</w:t>
      </w:r>
    </w:p>
    <w:p>
      <w:pPr>
        <w:pStyle w:val="ListBullet"/>
      </w:pPr>
      <w:r>
        <w:rPr>
          <w:rFonts w:ascii="Meiryo UI" w:hAnsi="Meiryo UI"/>
          <w:sz w:val="20"/>
        </w:rPr>
        <w:t>PBR0.82は「適度割安〜適正水準」（「極度割安」ではない）</w:t>
      </w:r>
    </w:p>
    <w:p>
      <w:pPr>
        <w:pStyle w:val="ListBullet"/>
      </w:pPr>
      <w:r>
        <w:rPr>
          <w:rFonts w:ascii="Meiryo UI" w:hAnsi="Meiryo UI"/>
          <w:sz w:val="20"/>
        </w:rPr>
        <w:t>しかしROE15.7%という収益性と純資産BPS¥2,430を考慮すると、現在株価¥1,999（対BPS比82%）は収益力に対して過小評価されている</w:t>
      </w:r>
    </w:p>
    <w:p>
      <w:pPr>
        <w:pStyle w:val="ListBullet"/>
      </w:pPr>
      <w:r>
        <w:rPr>
          <w:rFonts w:ascii="Meiryo UI" w:hAnsi="Meiryo UI"/>
          <w:sz w:val="20"/>
        </w:rPr>
        <w:t>特にEPS¥381.5に対してPER5.24倍は日本の製造業として著しく低い</w:t>
      </w:r>
    </w:p>
    <w:p>
      <w:pPr>
        <w:pStyle w:val="ListBullet"/>
      </w:pPr>
      <w:r>
        <w:rPr>
          <w:rFonts w:ascii="Meiryo UI" w:hAnsi="Meiryo UI"/>
          <w:sz w:val="20"/>
        </w:rPr>
        <w:t>「極度割安」ではないが「収益力から見た相対割安（買い推奨水準）」は維持される</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弱気シナリオ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強気シナリオ</w:t>
            </w:r>
          </w:p>
        </w:tc>
      </w:tr>
      <w:tr>
        <w:tc>
          <w:tcPr>
            <w:tcW w:type="dxa" w:w="2351"/>
          </w:tcPr>
          <w:p>
            <w:r>
              <w:rPr>
                <w:rFonts w:ascii="Meiryo UI" w:hAnsi="Meiryo UI"/>
                <w:sz w:val="18"/>
              </w:rPr>
              <w:t>建設需要</w:t>
            </w:r>
          </w:p>
        </w:tc>
        <w:tc>
          <w:tcPr>
            <w:tcW w:type="dxa" w:w="2351"/>
          </w:tcPr>
          <w:p>
            <w:r>
              <w:rPr>
                <w:rFonts w:ascii="Meiryo UI" w:hAnsi="Meiryo UI"/>
                <w:sz w:val="18"/>
              </w:rPr>
              <w:t>民間投資減速</w:t>
            </w:r>
          </w:p>
        </w:tc>
        <w:tc>
          <w:tcPr>
            <w:tcW w:type="dxa" w:w="2351"/>
          </w:tcPr>
          <w:p>
            <w:r>
              <w:rPr>
                <w:rFonts w:ascii="Meiryo UI" w:hAnsi="Meiryo UI"/>
                <w:sz w:val="18"/>
              </w:rPr>
              <w:t>国強化+民間横ばい</w:t>
            </w:r>
          </w:p>
        </w:tc>
        <w:tc>
          <w:tcPr>
            <w:tcW w:type="dxa" w:w="2351"/>
          </w:tcPr>
          <w:p>
            <w:r>
              <w:rPr>
                <w:rFonts w:ascii="Meiryo UI" w:hAnsi="Meiryo UI"/>
                <w:sz w:val="18"/>
              </w:rPr>
              <w:t>復興+五輪後投資集中</w:t>
            </w:r>
          </w:p>
        </w:tc>
      </w:tr>
      <w:tr>
        <w:tc>
          <w:tcPr>
            <w:tcW w:type="dxa" w:w="2351"/>
            <w:shd w:val="clear" w:color="auto" w:fill="DDEBF7"/>
          </w:tcPr>
          <w:p>
            <w:r>
              <w:rPr>
                <w:rFonts w:ascii="Meiryo UI" w:hAnsi="Meiryo UI"/>
                <w:sz w:val="18"/>
              </w:rPr>
              <w:t>スクラップ価格</w:t>
            </w:r>
          </w:p>
        </w:tc>
        <w:tc>
          <w:tcPr>
            <w:tcW w:type="dxa" w:w="2351"/>
            <w:shd w:val="clear" w:color="auto" w:fill="DDEBF7"/>
          </w:tcPr>
          <w:p>
            <w:r>
              <w:rPr>
                <w:rFonts w:ascii="Meiryo UI" w:hAnsi="Meiryo UI"/>
                <w:sz w:val="18"/>
              </w:rPr>
              <w:t>+15%上昇</w:t>
            </w:r>
          </w:p>
        </w:tc>
        <w:tc>
          <w:tcPr>
            <w:tcW w:type="dxa" w:w="2351"/>
            <w:shd w:val="clear" w:color="auto" w:fill="DDEBF7"/>
          </w:tcPr>
          <w:p>
            <w:r>
              <w:rPr>
                <w:rFonts w:ascii="Meiryo UI" w:hAnsi="Meiryo UI"/>
                <w:sz w:val="18"/>
              </w:rPr>
              <w:t>現状維持</w:t>
            </w:r>
          </w:p>
        </w:tc>
        <w:tc>
          <w:tcPr>
            <w:tcW w:type="dxa" w:w="2351"/>
            <w:shd w:val="clear" w:color="auto" w:fill="DDEBF7"/>
          </w:tcPr>
          <w:p>
            <w:r>
              <w:rPr>
                <w:rFonts w:ascii="Meiryo UI" w:hAnsi="Meiryo UI"/>
                <w:sz w:val="18"/>
              </w:rPr>
              <w:t>▲10%下落</w:t>
            </w:r>
          </w:p>
        </w:tc>
      </w:tr>
      <w:tr>
        <w:tc>
          <w:tcPr>
            <w:tcW w:type="dxa" w:w="2351"/>
          </w:tcPr>
          <w:p>
            <w:r>
              <w:rPr>
                <w:rFonts w:ascii="Meiryo UI" w:hAnsi="Meiryo UI"/>
                <w:sz w:val="18"/>
              </w:rPr>
              <w:t>原油（WTI）</w:t>
            </w:r>
          </w:p>
        </w:tc>
        <w:tc>
          <w:tcPr>
            <w:tcW w:type="dxa" w:w="2351"/>
          </w:tcPr>
          <w:p>
            <w:r>
              <w:rPr>
                <w:rFonts w:ascii="Meiryo UI" w:hAnsi="Meiryo UI"/>
                <w:sz w:val="18"/>
              </w:rPr>
              <w:t>$120↑</w:t>
            </w:r>
          </w:p>
        </w:tc>
        <w:tc>
          <w:tcPr>
            <w:tcW w:type="dxa" w:w="2351"/>
          </w:tcPr>
          <w:p>
            <w:r>
              <w:rPr>
                <w:rFonts w:ascii="Meiryo UI" w:hAnsi="Meiryo UI"/>
                <w:sz w:val="18"/>
              </w:rPr>
              <w:t>$111.91</w:t>
            </w:r>
          </w:p>
        </w:tc>
        <w:tc>
          <w:tcPr>
            <w:tcW w:type="dxa" w:w="2351"/>
          </w:tcPr>
          <w:p>
            <w:r>
              <w:rPr>
                <w:rFonts w:ascii="Meiryo UI" w:hAnsi="Meiryo UI"/>
                <w:sz w:val="18"/>
              </w:rPr>
              <w:t>$95↓</w:t>
            </w:r>
          </w:p>
        </w:tc>
      </w:tr>
      <w:tr>
        <w:tc>
          <w:tcPr>
            <w:tcW w:type="dxa" w:w="2351"/>
            <w:shd w:val="clear" w:color="auto" w:fill="DDEBF7"/>
          </w:tcPr>
          <w:p>
            <w:r>
              <w:rPr>
                <w:rFonts w:ascii="Meiryo UI" w:hAnsi="Meiryo UI"/>
                <w:sz w:val="18"/>
              </w:rPr>
              <w:t>電力コスト</w:t>
            </w:r>
          </w:p>
        </w:tc>
        <w:tc>
          <w:tcPr>
            <w:tcW w:type="dxa" w:w="2351"/>
            <w:shd w:val="clear" w:color="auto" w:fill="DDEBF7"/>
          </w:tcPr>
          <w:p>
            <w:r>
              <w:rPr>
                <w:rFonts w:ascii="Meiryo UI" w:hAnsi="Meiryo UI"/>
                <w:sz w:val="18"/>
              </w:rPr>
              <w:t>+20%上昇</w:t>
            </w:r>
          </w:p>
        </w:tc>
        <w:tc>
          <w:tcPr>
            <w:tcW w:type="dxa" w:w="2351"/>
            <w:shd w:val="clear" w:color="auto" w:fill="DDEBF7"/>
          </w:tcPr>
          <w:p>
            <w:r>
              <w:rPr>
                <w:rFonts w:ascii="Meiryo UI" w:hAnsi="Meiryo UI"/>
                <w:sz w:val="18"/>
              </w:rPr>
              <w:t>+5%上昇</w:t>
            </w:r>
          </w:p>
        </w:tc>
        <w:tc>
          <w:tcPr>
            <w:tcW w:type="dxa" w:w="2351"/>
            <w:shd w:val="clear" w:color="auto" w:fill="DDEBF7"/>
          </w:tcPr>
          <w:p>
            <w:r>
              <w:rPr>
                <w:rFonts w:ascii="Meiryo UI" w:hAnsi="Meiryo UI"/>
                <w:sz w:val="18"/>
              </w:rPr>
              <w:t>横ばい</w:t>
            </w:r>
          </w:p>
        </w:tc>
      </w:tr>
      <w:tr>
        <w:tc>
          <w:tcPr>
            <w:tcW w:type="dxa" w:w="2351"/>
          </w:tcPr>
          <w:p>
            <w:r>
              <w:rPr>
                <w:rFonts w:ascii="Meiryo UI" w:hAnsi="Meiryo UI"/>
                <w:sz w:val="18"/>
              </w:rPr>
              <w:t>売上高成長率</w:t>
            </w:r>
          </w:p>
        </w:tc>
        <w:tc>
          <w:tcPr>
            <w:tcW w:type="dxa" w:w="2351"/>
          </w:tcPr>
          <w:p>
            <w:r>
              <w:rPr>
                <w:rFonts w:ascii="Meiryo UI" w:hAnsi="Meiryo UI"/>
                <w:sz w:val="18"/>
              </w:rPr>
              <w:t>▲5%</w:t>
            </w:r>
          </w:p>
        </w:tc>
        <w:tc>
          <w:tcPr>
            <w:tcW w:type="dxa" w:w="2351"/>
          </w:tcPr>
          <w:p>
            <w:r>
              <w:rPr>
                <w:rFonts w:ascii="Meiryo UI" w:hAnsi="Meiryo UI"/>
                <w:sz w:val="18"/>
              </w:rPr>
              <w:t>+3%</w:t>
            </w:r>
          </w:p>
        </w:tc>
        <w:tc>
          <w:tcPr>
            <w:tcW w:type="dxa" w:w="2351"/>
          </w:tcPr>
          <w:p>
            <w:r>
              <w:rPr>
                <w:rFonts w:ascii="Meiryo UI" w:hAnsi="Meiryo UI"/>
                <w:sz w:val="18"/>
              </w:rPr>
              <w:t>+8%</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11.5%</w:t>
            </w:r>
          </w:p>
        </w:tc>
      </w:tr>
      <w:tr>
        <w:tc>
          <w:tcPr>
            <w:tcW w:type="dxa" w:w="2351"/>
          </w:tcPr>
          <w:p>
            <w:r>
              <w:rPr>
                <w:rFonts w:ascii="Meiryo UI" w:hAnsi="Meiryo UI"/>
                <w:sz w:val="18"/>
              </w:rPr>
              <w:t>EPS（推計）</w:t>
            </w:r>
          </w:p>
        </w:tc>
        <w:tc>
          <w:tcPr>
            <w:tcW w:type="dxa" w:w="2351"/>
          </w:tcPr>
          <w:p>
            <w:r>
              <w:rPr>
                <w:rFonts w:ascii="Meiryo UI" w:hAnsi="Meiryo UI"/>
                <w:sz w:val="18"/>
              </w:rPr>
              <w:t>¥250</w:t>
            </w:r>
          </w:p>
        </w:tc>
        <w:tc>
          <w:tcPr>
            <w:tcW w:type="dxa" w:w="2351"/>
          </w:tcPr>
          <w:p>
            <w:r>
              <w:rPr>
                <w:rFonts w:ascii="Meiryo UI" w:hAnsi="Meiryo UI"/>
                <w:sz w:val="18"/>
              </w:rPr>
              <w:t>¥381</w:t>
            </w:r>
          </w:p>
        </w:tc>
        <w:tc>
          <w:tcPr>
            <w:tcW w:type="dxa" w:w="2351"/>
          </w:tcPr>
          <w:p>
            <w:r>
              <w:rPr>
                <w:rFonts w:ascii="Meiryo UI" w:hAnsi="Meiryo UI"/>
                <w:sz w:val="18"/>
              </w:rPr>
              <w:t>¥520</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6.73%</w:t>
            </w:r>
          </w:p>
        </w:tc>
        <w:tc>
          <w:tcPr>
            <w:tcW w:type="dxa" w:w="2351"/>
            <w:shd w:val="clear" w:color="auto" w:fill="DDEBF7"/>
          </w:tcPr>
          <w:p>
            <w:r>
              <w:rPr>
                <w:rFonts w:ascii="Meiryo UI" w:hAnsi="Meiryo UI"/>
                <w:sz w:val="18"/>
              </w:rPr>
              <w:t>5.8%</w:t>
            </w:r>
          </w:p>
        </w:tc>
      </w:tr>
      <w:tr>
        <w:tc>
          <w:tcPr>
            <w:tcW w:type="dxa" w:w="2351"/>
          </w:tcPr>
          <w:p>
            <w:r>
              <w:rPr>
                <w:rFonts w:ascii="Meiryo UI" w:hAnsi="Meiryo UI"/>
                <w:sz w:val="18"/>
              </w:rPr>
              <w:t>g（永久成長率）</w:t>
            </w:r>
          </w:p>
        </w:tc>
        <w:tc>
          <w:tcPr>
            <w:tcW w:type="dxa" w:w="2351"/>
          </w:tcPr>
          <w:p>
            <w:r>
              <w:rPr>
                <w:rFonts w:ascii="Meiryo UI" w:hAnsi="Meiryo UI"/>
                <w:sz w:val="18"/>
              </w:rPr>
              <w:t>1.0%</w:t>
            </w:r>
          </w:p>
        </w:tc>
        <w:tc>
          <w:tcPr>
            <w:tcW w:type="dxa" w:w="2351"/>
          </w:tcPr>
          <w:p>
            <w:r>
              <w:rPr>
                <w:rFonts w:ascii="Meiryo UI" w:hAnsi="Meiryo UI"/>
                <w:sz w:val="18"/>
              </w:rPr>
              <w:t>2.0%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理論株価（DCF）</w:t>
            </w:r>
          </w:p>
        </w:tc>
        <w:tc>
          <w:tcPr>
            <w:tcW w:type="dxa" w:w="2351"/>
            <w:shd w:val="clear" w:color="auto" w:fill="DDEBF7"/>
          </w:tcPr>
          <w:p>
            <w:r>
              <w:rPr>
                <w:rFonts w:ascii="Meiryo UI" w:hAnsi="Meiryo UI"/>
                <w:sz w:val="18"/>
              </w:rPr>
              <w:t>¥2,800</w:t>
            </w:r>
          </w:p>
        </w:tc>
        <w:tc>
          <w:tcPr>
            <w:tcW w:type="dxa" w:w="2351"/>
            <w:shd w:val="clear" w:color="auto" w:fill="DDEBF7"/>
          </w:tcPr>
          <w:p>
            <w:r>
              <w:rPr>
                <w:rFonts w:ascii="Meiryo UI" w:hAnsi="Meiryo UI"/>
                <w:sz w:val="18"/>
              </w:rPr>
              <w:t>¥7,090</w:t>
            </w:r>
          </w:p>
        </w:tc>
        <w:tc>
          <w:tcPr>
            <w:tcW w:type="dxa" w:w="2351"/>
            <w:shd w:val="clear" w:color="auto" w:fill="DDEBF7"/>
          </w:tcPr>
          <w:p>
            <w:r>
              <w:rPr>
                <w:rFonts w:ascii="Meiryo UI" w:hAnsi="Meiryo UI"/>
                <w:sz w:val="18"/>
              </w:rPr>
              <w:t>¥12,500</w:t>
            </w:r>
          </w:p>
        </w:tc>
      </w:tr>
      <w:tr>
        <w:tc>
          <w:tcPr>
            <w:tcW w:type="dxa" w:w="2351"/>
          </w:tcPr>
          <w:p>
            <w:r>
              <w:rPr>
                <w:rFonts w:ascii="Meiryo UI" w:hAnsi="Meiryo UI"/>
                <w:sz w:val="18"/>
              </w:rPr>
              <w:t>理論株価（PER法）</w:t>
            </w:r>
          </w:p>
        </w:tc>
        <w:tc>
          <w:tcPr>
            <w:tcW w:type="dxa" w:w="2351"/>
          </w:tcPr>
          <w:p>
            <w:r>
              <w:rPr>
                <w:rFonts w:ascii="Meiryo UI" w:hAnsi="Meiryo UI"/>
                <w:sz w:val="18"/>
              </w:rPr>
              <w:t>¥2,000〜2,500</w:t>
            </w:r>
          </w:p>
        </w:tc>
        <w:tc>
          <w:tcPr>
            <w:tcW w:type="dxa" w:w="2351"/>
          </w:tcPr>
          <w:p>
            <w:r>
              <w:rPr>
                <w:rFonts w:ascii="Meiryo UI" w:hAnsi="Meiryo UI"/>
                <w:sz w:val="18"/>
              </w:rPr>
              <w:t>¥3,050〜3,820</w:t>
            </w:r>
          </w:p>
        </w:tc>
        <w:tc>
          <w:tcPr>
            <w:tcW w:type="dxa" w:w="2351"/>
          </w:tcPr>
          <w:p>
            <w:r>
              <w:rPr>
                <w:rFonts w:ascii="Meiryo UI" w:hAnsi="Meiryo UI"/>
                <w:sz w:val="18"/>
              </w:rPr>
              <w:t>¥4,680〜5,720</w:t>
            </w:r>
          </w:p>
        </w:tc>
      </w:tr>
      <w:tr>
        <w:tc>
          <w:tcPr>
            <w:tcW w:type="dxa" w:w="2351"/>
            <w:shd w:val="clear" w:color="auto" w:fill="DDEBF7"/>
          </w:tcPr>
          <w:p>
            <w:r>
              <w:rPr>
                <w:rFonts w:ascii="Meiryo UI" w:hAnsi="Meiryo UI"/>
                <w:sz w:val="18"/>
              </w:rPr>
              <w:t>総合目標株価</w:t>
            </w:r>
          </w:p>
        </w:tc>
        <w:tc>
          <w:tcPr>
            <w:tcW w:type="dxa" w:w="2351"/>
            <w:shd w:val="clear" w:color="auto" w:fill="DDEBF7"/>
          </w:tcPr>
          <w:p>
            <w:r>
              <w:rPr>
                <w:rFonts w:ascii="Meiryo UI" w:hAnsi="Meiryo UI"/>
                <w:sz w:val="18"/>
              </w:rPr>
              <w:t>¥2,400</w:t>
            </w:r>
          </w:p>
        </w:tc>
        <w:tc>
          <w:tcPr>
            <w:tcW w:type="dxa" w:w="2351"/>
            <w:shd w:val="clear" w:color="auto" w:fill="DDEBF7"/>
          </w:tcPr>
          <w:p>
            <w:r>
              <w:rPr>
                <w:rFonts w:ascii="Meiryo UI" w:hAnsi="Meiryo UI"/>
                <w:sz w:val="18"/>
              </w:rPr>
              <w:t>¥5,000</w:t>
            </w:r>
          </w:p>
        </w:tc>
        <w:tc>
          <w:tcPr>
            <w:tcW w:type="dxa" w:w="2351"/>
            <w:shd w:val="clear" w:color="auto" w:fill="DDEBF7"/>
          </w:tcPr>
          <w:p>
            <w:r>
              <w:rPr>
                <w:rFonts w:ascii="Meiryo UI" w:hAnsi="Meiryo UI"/>
                <w:sz w:val="18"/>
              </w:rPr>
              <w:t>¥9,000</w:t>
            </w:r>
          </w:p>
        </w:tc>
      </w:tr>
      <w:tr>
        <w:tc>
          <w:tcPr>
            <w:tcW w:type="dxa" w:w="2351"/>
          </w:tcPr>
          <w:p>
            <w:r>
              <w:rPr>
                <w:rFonts w:ascii="Meiryo UI" w:hAnsi="Meiryo UI"/>
                <w:sz w:val="18"/>
              </w:rPr>
              <w:t>現在値比</w:t>
            </w:r>
          </w:p>
        </w:tc>
        <w:tc>
          <w:tcPr>
            <w:tcW w:type="dxa" w:w="2351"/>
          </w:tcPr>
          <w:p>
            <w:r>
              <w:rPr>
                <w:rFonts w:ascii="Meiryo UI" w:hAnsi="Meiryo UI"/>
                <w:sz w:val="18"/>
              </w:rPr>
              <w:t>+20%</w:t>
            </w:r>
          </w:p>
        </w:tc>
        <w:tc>
          <w:tcPr>
            <w:tcW w:type="dxa" w:w="2351"/>
          </w:tcPr>
          <w:p>
            <w:r>
              <w:rPr>
                <w:rFonts w:ascii="Meiryo UI" w:hAnsi="Meiryo UI"/>
                <w:sz w:val="18"/>
              </w:rPr>
              <w:t>+150%</w:t>
            </w:r>
          </w:p>
        </w:tc>
        <w:tc>
          <w:tcPr>
            <w:tcW w:type="dxa" w:w="2351"/>
          </w:tcPr>
          <w:p>
            <w:r>
              <w:rPr>
                <w:rFonts w:ascii="Meiryo UI" w:hAnsi="Meiryo UI"/>
                <w:sz w:val="18"/>
              </w:rPr>
              <w:t>+350%</w:t>
            </w:r>
          </w:p>
        </w:tc>
      </w:tr>
    </w:tbl>
    <w:p/>
    <w:p>
      <w:pPr>
        <w:pStyle w:val="Heading3"/>
      </w:pPr>
      <w:r>
        <w:rPr>
          <w:rFonts w:ascii="Meiryo UI" w:hAnsi="Meiryo UI"/>
          <w:color w:val="2E74B5"/>
        </w:rPr>
        <w:t>6-2. 確率加重期待値</w:t>
      </w:r>
    </w:p>
    <w:p/>
    <w:p>
      <w:pPr>
        <w:shd w:val="clear" w:color="auto" w:fill="F2F2F2"/>
      </w:pPr>
      <w:r>
        <w:rPr>
          <w:rFonts w:ascii="Courier New" w:hAnsi="Courier New"/>
          <w:sz w:val="16"/>
        </w:rPr>
        <w:t>確率：弱気20% / 基本60% / 強気20%</w:t>
        <w:br/>
        <w:br/>
        <w:t>期待理論株価 = ¥2,400 × 0.20 + ¥5,000 × 0.60 + ¥9,000 × 0.20</w:t>
        <w:br/>
        <w:t xml:space="preserve">             = ¥480 + ¥3,000 + ¥1,800</w:t>
        <w:br/>
        <w:t xml:space="preserve">             = **¥5,280**</w:t>
        <w:br/>
        <w:br/>
        <w:t>現在株価¥1,999に対する期待リターン：+164.1%</w:t>
      </w:r>
    </w:p>
    <w:p/>
    <w:p>
      <w:pPr>
        <w:pStyle w:val="Heading3"/>
      </w:pPr>
      <w:r>
        <w:rPr>
          <w:rFonts w:ascii="Meiryo UI" w:hAnsi="Meiryo UI"/>
          <w:color w:val="2E74B5"/>
        </w:rPr>
        <w:t>6-3. 主要リスクファクター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鉄スクラップ急騰（+20%超）</w:t>
            </w:r>
          </w:p>
        </w:tc>
        <w:tc>
          <w:tcPr>
            <w:tcW w:type="dxa" w:w="2351"/>
          </w:tcPr>
          <w:p>
            <w:r>
              <w:rPr>
                <w:rFonts w:ascii="Meiryo UI" w:hAnsi="Meiryo UI"/>
                <w:sz w:val="18"/>
              </w:rPr>
              <w:t>利益率▲3%pt</w:t>
            </w:r>
          </w:p>
        </w:tc>
        <w:tc>
          <w:tcPr>
            <w:tcW w:type="dxa" w:w="2351"/>
          </w:tcPr>
          <w:p>
            <w:r>
              <w:rPr>
                <w:rFonts w:ascii="Meiryo UI" w:hAnsi="Meiryo UI"/>
                <w:sz w:val="18"/>
              </w:rPr>
              <w:t>25%</w:t>
            </w:r>
          </w:p>
        </w:tc>
        <w:tc>
          <w:tcPr>
            <w:tcW w:type="dxa" w:w="2351"/>
          </w:tcPr>
          <w:p>
            <w:r>
              <w:rPr>
                <w:rFonts w:ascii="Meiryo UI" w:hAnsi="Meiryo UI"/>
                <w:sz w:val="18"/>
              </w:rPr>
              <w:t>コスト転嫁遅延に注意</w:t>
            </w:r>
          </w:p>
        </w:tc>
      </w:tr>
      <w:tr>
        <w:tc>
          <w:tcPr>
            <w:tcW w:type="dxa" w:w="2351"/>
            <w:shd w:val="clear" w:color="auto" w:fill="DDEBF7"/>
          </w:tcPr>
          <w:p>
            <w:r>
              <w:rPr>
                <w:rFonts w:ascii="Meiryo UI" w:hAnsi="Meiryo UI"/>
                <w:sz w:val="18"/>
              </w:rPr>
              <w:t>建設投資急減（GDP▲2%）</w:t>
            </w:r>
          </w:p>
        </w:tc>
        <w:tc>
          <w:tcPr>
            <w:tcW w:type="dxa" w:w="2351"/>
            <w:shd w:val="clear" w:color="auto" w:fill="DDEBF7"/>
          </w:tcPr>
          <w:p>
            <w:r>
              <w:rPr>
                <w:rFonts w:ascii="Meiryo UI" w:hAnsi="Meiryo UI"/>
                <w:sz w:val="18"/>
              </w:rPr>
              <w:t>売上▲8〜10%</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公共投資残高でバッファ</w:t>
            </w:r>
          </w:p>
        </w:tc>
      </w:tr>
      <w:tr>
        <w:tc>
          <w:tcPr>
            <w:tcW w:type="dxa" w:w="2351"/>
          </w:tcPr>
          <w:p>
            <w:r>
              <w:rPr>
                <w:rFonts w:ascii="Meiryo UI" w:hAnsi="Meiryo UI"/>
                <w:sz w:val="18"/>
              </w:rPr>
              <w:t>電力価格高騰（+30%超）</w:t>
            </w:r>
          </w:p>
        </w:tc>
        <w:tc>
          <w:tcPr>
            <w:tcW w:type="dxa" w:w="2351"/>
          </w:tcPr>
          <w:p>
            <w:r>
              <w:rPr>
                <w:rFonts w:ascii="Meiryo UI" w:hAnsi="Meiryo UI"/>
                <w:sz w:val="18"/>
              </w:rPr>
              <w:t>FCF▲¥10〜15億</w:t>
            </w:r>
          </w:p>
        </w:tc>
        <w:tc>
          <w:tcPr>
            <w:tcW w:type="dxa" w:w="2351"/>
          </w:tcPr>
          <w:p>
            <w:r>
              <w:rPr>
                <w:rFonts w:ascii="Meiryo UI" w:hAnsi="Meiryo UI"/>
                <w:sz w:val="18"/>
              </w:rPr>
              <w:t>20%</w:t>
            </w:r>
          </w:p>
        </w:tc>
        <w:tc>
          <w:tcPr>
            <w:tcW w:type="dxa" w:w="2351"/>
          </w:tcPr>
          <w:p>
            <w:r>
              <w:rPr>
                <w:rFonts w:ascii="Meiryo UI" w:hAnsi="Meiryo UI"/>
                <w:sz w:val="18"/>
              </w:rPr>
              <w:t>電炉コストの最大弱点</w:t>
            </w:r>
          </w:p>
        </w:tc>
      </w:tr>
      <w:tr>
        <w:tc>
          <w:tcPr>
            <w:tcW w:type="dxa" w:w="2351"/>
            <w:shd w:val="clear" w:color="auto" w:fill="DDEBF7"/>
          </w:tcPr>
          <w:p>
            <w:r>
              <w:rPr>
                <w:rFonts w:ascii="Meiryo UI" w:hAnsi="Meiryo UI"/>
                <w:sz w:val="18"/>
              </w:rPr>
              <w:t>円急騰（¥100台）</w:t>
            </w:r>
          </w:p>
        </w:tc>
        <w:tc>
          <w:tcPr>
            <w:tcW w:type="dxa" w:w="2351"/>
            <w:shd w:val="clear" w:color="auto" w:fill="DDEBF7"/>
          </w:tcPr>
          <w:p>
            <w:r>
              <w:rPr>
                <w:rFonts w:ascii="Meiryo UI" w:hAnsi="Meiryo UI"/>
                <w:sz w:val="18"/>
              </w:rPr>
              <w:t>スクラップ輸入コスト低下（±）</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輸出比率低く限定的影響</w:t>
            </w:r>
          </w:p>
        </w:tc>
      </w:tr>
      <w:tr>
        <w:tc>
          <w:tcPr>
            <w:tcW w:type="dxa" w:w="2351"/>
          </w:tcPr>
          <w:p>
            <w:r>
              <w:rPr>
                <w:rFonts w:ascii="Meiryo UI" w:hAnsi="Meiryo UI"/>
                <w:sz w:val="18"/>
              </w:rPr>
              <w:t>ROEの持続性懸念</w:t>
            </w:r>
          </w:p>
        </w:tc>
        <w:tc>
          <w:tcPr>
            <w:tcW w:type="dxa" w:w="2351"/>
          </w:tcPr>
          <w:p>
            <w:r>
              <w:rPr>
                <w:rFonts w:ascii="Meiryo UI" w:hAnsi="Meiryo UI"/>
                <w:sz w:val="18"/>
              </w:rPr>
              <w:t>PBR評価の切り下げ</w:t>
            </w:r>
          </w:p>
        </w:tc>
        <w:tc>
          <w:tcPr>
            <w:tcW w:type="dxa" w:w="2351"/>
          </w:tcPr>
          <w:p>
            <w:r>
              <w:rPr>
                <w:rFonts w:ascii="Meiryo UI" w:hAnsi="Meiryo UI"/>
                <w:sz w:val="18"/>
              </w:rPr>
              <w:t>20%</w:t>
            </w:r>
          </w:p>
        </w:tc>
        <w:tc>
          <w:tcPr>
            <w:tcW w:type="dxa" w:w="2351"/>
          </w:tcPr>
          <w:p>
            <w:r>
              <w:rPr>
                <w:rFonts w:ascii="Meiryo UI" w:hAnsi="Meiryo UI"/>
                <w:sz w:val="18"/>
              </w:rPr>
              <w:t>モニタリング要</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vs 深井DCF評価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統合判断</w:t>
            </w:r>
          </w:p>
        </w:tc>
      </w:tr>
      <w:tr>
        <w:tc>
          <w:tcPr>
            <w:tcW w:type="dxa" w:w="2351"/>
          </w:tcPr>
          <w:p>
            <w:r>
              <w:rPr>
                <w:rFonts w:ascii="Meiryo UI" w:hAnsi="Meiryo UI"/>
                <w:sz w:val="18"/>
              </w:rPr>
              <w:t>スコア/判断</w:t>
            </w:r>
          </w:p>
        </w:tc>
        <w:tc>
          <w:tcPr>
            <w:tcW w:type="dxa" w:w="2351"/>
          </w:tcPr>
          <w:p>
            <w:r>
              <w:rPr>
                <w:rFonts w:ascii="Meiryo UI" w:hAnsi="Meiryo UI"/>
                <w:sz w:val="18"/>
              </w:rPr>
              <w:t>+0 (BUY)</w:t>
            </w:r>
          </w:p>
        </w:tc>
        <w:tc>
          <w:tcPr>
            <w:tcW w:type="dxa" w:w="2351"/>
          </w:tcPr>
          <w:p>
            <w:r>
              <w:rPr>
                <w:rFonts w:ascii="Meiryo UI" w:hAnsi="Meiryo UI"/>
                <w:sz w:val="18"/>
              </w:rPr>
              <w:t>BUY</w:t>
            </w:r>
          </w:p>
        </w:tc>
        <w:tc>
          <w:tcPr>
            <w:tcW w:type="dxa" w:w="2351"/>
          </w:tcPr>
          <w:p>
            <w:r>
              <w:rPr>
                <w:rFonts w:ascii="Meiryo UI" w:hAnsi="Meiryo UI"/>
                <w:sz w:val="18"/>
              </w:rPr>
              <w:t>一致：BUY</w:t>
            </w:r>
          </w:p>
        </w:tc>
      </w:tr>
      <w:tr>
        <w:tc>
          <w:tcPr>
            <w:tcW w:type="dxa" w:w="2351"/>
            <w:shd w:val="clear" w:color="auto" w:fill="DDEBF7"/>
          </w:tcPr>
          <w:p>
            <w:r>
              <w:rPr>
                <w:rFonts w:ascii="Meiryo UI" w:hAnsi="Meiryo UI"/>
                <w:sz w:val="18"/>
              </w:rPr>
              <w:t>割安度の解釈</w:t>
            </w:r>
          </w:p>
        </w:tc>
        <w:tc>
          <w:tcPr>
            <w:tcW w:type="dxa" w:w="2351"/>
            <w:shd w:val="clear" w:color="auto" w:fill="DDEBF7"/>
          </w:tcPr>
          <w:p>
            <w:r>
              <w:rPr>
                <w:rFonts w:ascii="Meiryo UI" w:hAnsi="Meiryo UI"/>
                <w:sz w:val="18"/>
              </w:rPr>
              <w:t>Bloomberg確定値優先</w:t>
            </w:r>
          </w:p>
        </w:tc>
        <w:tc>
          <w:tcPr>
            <w:tcW w:type="dxa" w:w="2351"/>
            <w:shd w:val="clear" w:color="auto" w:fill="DDEBF7"/>
          </w:tcPr>
          <w:p>
            <w:r>
              <w:rPr>
                <w:rFonts w:ascii="Meiryo UI" w:hAnsi="Meiryo UI"/>
                <w:sz w:val="18"/>
              </w:rPr>
              <w:t>PBR0.82=適度割安</w:t>
            </w:r>
          </w:p>
        </w:tc>
        <w:tc>
          <w:tcPr>
            <w:tcW w:type="dxa" w:w="2351"/>
            <w:shd w:val="clear" w:color="auto" w:fill="DDEBF7"/>
          </w:tcPr>
          <w:p>
            <w:r>
              <w:rPr>
                <w:rFonts w:ascii="Meiryo UI" w:hAnsi="Meiryo UI"/>
                <w:sz w:val="18"/>
              </w:rPr>
              <w:t>一致：適度割安</w:t>
            </w:r>
          </w:p>
        </w:tc>
      </w:tr>
      <w:tr>
        <w:tc>
          <w:tcPr>
            <w:tcW w:type="dxa" w:w="2351"/>
          </w:tcPr>
          <w:p>
            <w:r>
              <w:rPr>
                <w:rFonts w:ascii="Meiryo UI" w:hAnsi="Meiryo UI"/>
                <w:sz w:val="18"/>
              </w:rPr>
              <w:t>理論株価水準</w:t>
            </w:r>
          </w:p>
        </w:tc>
        <w:tc>
          <w:tcPr>
            <w:tcW w:type="dxa" w:w="2351"/>
          </w:tcPr>
          <w:p>
            <w:r>
              <w:rPr>
                <w:rFonts w:ascii="Meiryo UI" w:hAnsi="Meiryo UI"/>
                <w:sz w:val="18"/>
              </w:rPr>
              <w:t>未算出（速報）</w:t>
            </w:r>
          </w:p>
        </w:tc>
        <w:tc>
          <w:tcPr>
            <w:tcW w:type="dxa" w:w="2351"/>
          </w:tcPr>
          <w:p>
            <w:r>
              <w:rPr>
                <w:rFonts w:ascii="Meiryo UI" w:hAnsi="Meiryo UI"/>
                <w:sz w:val="18"/>
              </w:rPr>
              <w:t>¥4,500〜5,500（保守）/¥7,090（DCF）</w:t>
            </w:r>
          </w:p>
        </w:tc>
        <w:tc>
          <w:tcPr>
            <w:tcW w:type="dxa" w:w="2351"/>
          </w:tcPr>
          <w:p>
            <w:r>
              <w:rPr>
                <w:rFonts w:ascii="Meiryo UI" w:hAnsi="Meiryo UI"/>
                <w:sz w:val="18"/>
              </w:rPr>
              <w:t>深井が定量化</w:t>
            </w:r>
          </w:p>
        </w:tc>
      </w:tr>
      <w:tr>
        <w:tc>
          <w:tcPr>
            <w:tcW w:type="dxa" w:w="2351"/>
            <w:shd w:val="clear" w:color="auto" w:fill="DDEBF7"/>
          </w:tcPr>
          <w:p>
            <w:r>
              <w:rPr>
                <w:rFonts w:ascii="Meiryo UI" w:hAnsi="Meiryo UI"/>
                <w:sz w:val="18"/>
              </w:rPr>
              <w:t>財務データ品質</w:t>
            </w:r>
          </w:p>
        </w:tc>
        <w:tc>
          <w:tcPr>
            <w:tcW w:type="dxa" w:w="2351"/>
            <w:shd w:val="clear" w:color="auto" w:fill="DDEBF7"/>
          </w:tcPr>
          <w:p>
            <w:r>
              <w:rPr>
                <w:rFonts w:ascii="Meiryo UI" w:hAnsi="Meiryo UI"/>
                <w:sz w:val="18"/>
              </w:rPr>
              <w:t>Bloomberg確定値を指摘</w:t>
            </w:r>
          </w:p>
        </w:tc>
        <w:tc>
          <w:tcPr>
            <w:tcW w:type="dxa" w:w="2351"/>
            <w:shd w:val="clear" w:color="auto" w:fill="DDEBF7"/>
          </w:tcPr>
          <w:p>
            <w:r>
              <w:rPr>
                <w:rFonts w:ascii="Meiryo UI" w:hAnsi="Meiryo UI"/>
                <w:sz w:val="18"/>
              </w:rPr>
              <w:t>同確定値を唯一の起点に採用</w:t>
            </w:r>
          </w:p>
        </w:tc>
        <w:tc>
          <w:tcPr>
            <w:tcW w:type="dxa" w:w="2351"/>
            <w:shd w:val="clear" w:color="auto" w:fill="DDEBF7"/>
          </w:tcPr>
          <w:p>
            <w:r>
              <w:rPr>
                <w:rFonts w:ascii="Meiryo UI" w:hAnsi="Meiryo UI"/>
                <w:sz w:val="18"/>
              </w:rPr>
              <w:t>完全整合</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本源的価値（DCF基本）：¥7,090</w:t>
        <w:br/>
        <w:t>保守的目標値（安全域込）：¥4,000</w:t>
        <w:br/>
        <w:t>現在株価：¥1,999</w:t>
        <w:br/>
        <w:br/>
        <w:t>ギャップ（DCF基本比）：▲¥5,091（▲71.8%のアンダーバリュー）</w:t>
        <w:br/>
        <w:t>ギャップ（保守値比）：▲¥2,001（▲50.0%のアンダーバリュー）</w:t>
        <w:br/>
        <w:t>PBR観点：¥1,999 vs BPS¥2,430 → 18%のディスカウント</w:t>
      </w:r>
    </w:p>
    <w:p/>
    <w:p>
      <w:r>
        <w:rPr>
          <w:rFonts w:ascii="Meiryo UI" w:hAnsi="Meiryo UI"/>
          <w:sz w:val="20"/>
        </w:rPr>
        <w:t>ギャップの主因分析：</w:t>
      </w:r>
    </w:p>
    <w:p>
      <w:pPr>
        <w:pStyle w:val="ListNumber"/>
      </w:pPr>
      <w:r>
        <w:rPr>
          <w:rFonts w:ascii="Meiryo UI" w:hAnsi="Meiryo UI"/>
          <w:sz w:val="20"/>
        </w:rPr>
        <w:t>市場の鉄鋼セクターへの構造的ディスカウント：人口減少・建設投資頭打ち懸念</w:t>
      </w:r>
    </w:p>
    <w:p>
      <w:pPr>
        <w:pStyle w:val="ListNumber"/>
      </w:pPr>
      <w:r>
        <w:rPr>
          <w:rFonts w:ascii="Meiryo UI" w:hAnsi="Meiryo UI"/>
          <w:sz w:val="20"/>
        </w:rPr>
        <w:t>コスト変動リスクの過大評価：スクラップ・電力コストの不確実性</w:t>
      </w:r>
    </w:p>
    <w:p>
      <w:pPr>
        <w:pStyle w:val="ListNumber"/>
      </w:pPr>
      <w:r>
        <w:rPr>
          <w:rFonts w:ascii="Meiryo UI" w:hAnsi="Meiryo UI"/>
          <w:sz w:val="20"/>
        </w:rPr>
        <w:t>中小型株の流動性プレミアム欠如：機関投資家のカバレッジ不足</w:t>
      </w:r>
    </w:p>
    <w:p>
      <w:pPr>
        <w:pStyle w:val="ListNumber"/>
      </w:pPr>
      <w:r>
        <w:rPr>
          <w:rFonts w:ascii="Meiryo UI" w:hAnsi="Meiryo UI"/>
          <w:sz w:val="20"/>
        </w:rPr>
        <w:t>ROE継続性への懐疑：15.7%が一時的ピークという市場心理</w:t>
      </w:r>
    </w:p>
    <w:p/>
    <w:p>
      <w:r>
        <w:rPr>
          <w:rFonts w:ascii="Meiryo UI" w:hAnsi="Meiryo UI"/>
          <w:sz w:val="20"/>
        </w:rPr>
        <w:t>深井評価： これらの懸念は一定程度合理的だが、現在株価¥1,999はPER5.24倍・PBR0.82倍と収益力対比で過度に割引かれている。Bloomberg確定ROE15.7%が中期的に維持されるなら、再評価余地は大きい。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【投資判断】BUY（買い）</w:t>
        <w:br/>
        <w:t>【推奨エントリー価格】¥1,800〜¥2,100</w:t>
        <w:br/>
        <w:t>【現在株価】¥1,999（エントリー許容レンジ内）</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戦略タイプ</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即時エントリー（第1弾）</w:t>
            </w:r>
          </w:p>
        </w:tc>
        <w:tc>
          <w:tcPr>
            <w:tcW w:type="dxa" w:w="4703"/>
          </w:tcPr>
          <w:p>
            <w:r>
              <w:rPr>
                <w:rFonts w:ascii="Meiryo UI" w:hAnsi="Meiryo UI"/>
                <w:sz w:val="18"/>
              </w:rPr>
              <w:t>現在株価¥1,999付近で総投資予定額の40%を取得</w:t>
            </w:r>
          </w:p>
        </w:tc>
      </w:tr>
      <w:tr>
        <w:tc>
          <w:tcPr>
            <w:tcW w:type="dxa" w:w="4703"/>
            <w:shd w:val="clear" w:color="auto" w:fill="DDEBF7"/>
          </w:tcPr>
          <w:p>
            <w:r>
              <w:rPr>
                <w:rFonts w:ascii="Meiryo UI" w:hAnsi="Meiryo UI"/>
                <w:sz w:val="18"/>
              </w:rPr>
              <w:t>押し目買い（第2弾）</w:t>
            </w:r>
          </w:p>
        </w:tc>
        <w:tc>
          <w:tcPr>
            <w:tcW w:type="dxa" w:w="4703"/>
            <w:shd w:val="clear" w:color="auto" w:fill="DDEBF7"/>
          </w:tcPr>
          <w:p>
            <w:r>
              <w:rPr>
                <w:rFonts w:ascii="Meiryo UI" w:hAnsi="Meiryo UI"/>
                <w:sz w:val="18"/>
              </w:rPr>
              <w:t>¥1,700〜¥1,800での打診買いで追加30%取得</w:t>
            </w:r>
          </w:p>
        </w:tc>
      </w:tr>
      <w:tr>
        <w:tc>
          <w:tcPr>
            <w:tcW w:type="dxa" w:w="4703"/>
          </w:tcPr>
          <w:p>
            <w:r>
              <w:rPr>
                <w:rFonts w:ascii="Meiryo UI" w:hAnsi="Meiryo UI"/>
                <w:sz w:val="18"/>
              </w:rPr>
              <w:t>強気確認後（第3弾）</w:t>
            </w:r>
          </w:p>
        </w:tc>
        <w:tc>
          <w:tcPr>
            <w:tcW w:type="dxa" w:w="4703"/>
          </w:tcPr>
          <w:p>
            <w:r>
              <w:rPr>
                <w:rFonts w:ascii="Meiryo UI" w:hAnsi="Meiryo UI"/>
                <w:sz w:val="18"/>
              </w:rPr>
              <w:t>¥2,100突破・出来高増加確認後に残り30%投入</w:t>
            </w:r>
          </w:p>
        </w:tc>
      </w:tr>
    </w:tbl>
    <w:p/>
    <w:p>
      <w:pPr>
        <w:pStyle w:val="Heading3"/>
      </w:pPr>
      <w:r>
        <w:rPr>
          <w:rFonts w:ascii="Meiryo UI" w:hAnsi="Meiryo UI"/>
          <w:color w:val="2E74B5"/>
        </w:rPr>
        <w:t>8-2. 目標株価・利益確定ライン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アクション</w:t>
            </w:r>
          </w:p>
        </w:tc>
      </w:tr>
      <w:tr>
        <w:tc>
          <w:tcPr>
            <w:tcW w:type="dxa" w:w="2351"/>
          </w:tcPr>
          <w:p>
            <w:r>
              <w:rPr>
                <w:rFonts w:ascii="Meiryo UI" w:hAnsi="Meiryo UI"/>
                <w:sz w:val="18"/>
              </w:rPr>
              <w:t>第1目標</w:t>
            </w:r>
          </w:p>
        </w:tc>
        <w:tc>
          <w:tcPr>
            <w:tcW w:type="dxa" w:w="2351"/>
          </w:tcPr>
          <w:p>
            <w:r>
              <w:rPr>
                <w:rFonts w:ascii="Meiryo UI" w:hAnsi="Meiryo UI"/>
                <w:sz w:val="18"/>
              </w:rPr>
              <w:t>¥2,800</w:t>
            </w:r>
          </w:p>
        </w:tc>
        <w:tc>
          <w:tcPr>
            <w:tcW w:type="dxa" w:w="2351"/>
          </w:tcPr>
          <w:p>
            <w:r>
              <w:rPr>
                <w:rFonts w:ascii="Meiryo UI" w:hAnsi="Meiryo UI"/>
                <w:sz w:val="18"/>
              </w:rPr>
              <w:t>PBR1.15倍（PBR回帰）</w:t>
            </w:r>
          </w:p>
        </w:tc>
        <w:tc>
          <w:tcPr>
            <w:tcW w:type="dxa" w:w="2351"/>
          </w:tcPr>
          <w:p>
            <w:r>
              <w:rPr>
                <w:rFonts w:ascii="Meiryo UI" w:hAnsi="Meiryo UI"/>
                <w:sz w:val="18"/>
              </w:rPr>
              <w:t>一部利確（20%）</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¥3,800</w:t>
            </w:r>
          </w:p>
        </w:tc>
        <w:tc>
          <w:tcPr>
            <w:tcW w:type="dxa" w:w="2351"/>
            <w:shd w:val="clear" w:color="auto" w:fill="DDEBF7"/>
          </w:tcPr>
          <w:p>
            <w:r>
              <w:rPr>
                <w:rFonts w:ascii="Meiryo UI" w:hAnsi="Meiryo UI"/>
                <w:sz w:val="18"/>
              </w:rPr>
              <w:t>PER10倍（EPS¥381.5×10）</w:t>
            </w:r>
          </w:p>
        </w:tc>
        <w:tc>
          <w:tcPr>
            <w:tcW w:type="dxa" w:w="2351"/>
            <w:shd w:val="clear" w:color="auto" w:fill="DDEBF7"/>
          </w:tcPr>
          <w:p>
            <w:r>
              <w:rPr>
                <w:rFonts w:ascii="Meiryo UI" w:hAnsi="Meiryo UI"/>
                <w:sz w:val="18"/>
              </w:rPr>
              <w:t>一部利確（30%）</w:t>
            </w:r>
          </w:p>
        </w:tc>
      </w:tr>
      <w:tr>
        <w:tc>
          <w:tcPr>
            <w:tcW w:type="dxa" w:w="2351"/>
          </w:tcPr>
          <w:p>
            <w:r>
              <w:rPr>
                <w:rFonts w:ascii="Meiryo UI" w:hAnsi="Meiryo UI"/>
                <w:sz w:val="18"/>
              </w:rPr>
              <w:t>第3目標</w:t>
            </w:r>
          </w:p>
        </w:tc>
        <w:tc>
          <w:tcPr>
            <w:tcW w:type="dxa" w:w="2351"/>
          </w:tcPr>
          <w:p>
            <w:r>
              <w:rPr>
                <w:rFonts w:ascii="Meiryo UI" w:hAnsi="Meiryo UI"/>
                <w:sz w:val="18"/>
              </w:rPr>
              <w:t>¥5,000</w:t>
            </w:r>
          </w:p>
        </w:tc>
        <w:tc>
          <w:tcPr>
            <w:tcW w:type="dxa" w:w="2351"/>
          </w:tcPr>
          <w:p>
            <w:r>
              <w:rPr>
                <w:rFonts w:ascii="Meiryo UI" w:hAnsi="Meiryo UI"/>
                <w:sz w:val="18"/>
              </w:rPr>
              <w:t>保守的DCF目標値</w:t>
            </w:r>
          </w:p>
        </w:tc>
        <w:tc>
          <w:tcPr>
            <w:tcW w:type="dxa" w:w="2351"/>
          </w:tcPr>
          <w:p>
            <w:r>
              <w:rPr>
                <w:rFonts w:ascii="Meiryo UI" w:hAnsi="Meiryo UI"/>
                <w:sz w:val="18"/>
              </w:rPr>
              <w:t>大部分利確（40%）</w:t>
            </w:r>
          </w:p>
        </w:tc>
      </w:tr>
      <w:tr>
        <w:tc>
          <w:tcPr>
            <w:tcW w:type="dxa" w:w="2351"/>
            <w:shd w:val="clear" w:color="auto" w:fill="DDEBF7"/>
          </w:tcPr>
          <w:p>
            <w:r>
              <w:rPr>
                <w:rFonts w:ascii="Meiryo UI" w:hAnsi="Meiryo UI"/>
                <w:sz w:val="18"/>
              </w:rPr>
              <w:t>最終目標</w:t>
            </w:r>
          </w:p>
        </w:tc>
        <w:tc>
          <w:tcPr>
            <w:tcW w:type="dxa" w:w="2351"/>
            <w:shd w:val="clear" w:color="auto" w:fill="DDEBF7"/>
          </w:tcPr>
          <w:p>
            <w:r>
              <w:rPr>
                <w:rFonts w:ascii="Meiryo UI" w:hAnsi="Meiryo UI"/>
                <w:sz w:val="18"/>
              </w:rPr>
              <w:t>¥7,090</w:t>
            </w:r>
          </w:p>
        </w:tc>
        <w:tc>
          <w:tcPr>
            <w:tcW w:type="dxa" w:w="2351"/>
            <w:shd w:val="clear" w:color="auto" w:fill="DDEBF7"/>
          </w:tcPr>
          <w:p>
            <w:r>
              <w:rPr>
                <w:rFonts w:ascii="Meiryo UI" w:hAnsi="Meiryo UI"/>
                <w:sz w:val="18"/>
              </w:rPr>
              <w:t>DCF基本シナリオ</w:t>
            </w:r>
          </w:p>
        </w:tc>
        <w:tc>
          <w:tcPr>
            <w:tcW w:type="dxa" w:w="2351"/>
            <w:shd w:val="clear" w:color="auto" w:fill="DDEBF7"/>
          </w:tcPr>
          <w:p>
            <w:r>
              <w:rPr>
                <w:rFonts w:ascii="Meiryo UI" w:hAnsi="Meiryo UI"/>
                <w:sz w:val="18"/>
              </w:rPr>
              <w:t>残余保有継続判断</w:t>
            </w:r>
          </w:p>
        </w:tc>
      </w:tr>
    </w:tbl>
    <w:p/>
    <w:p>
      <w:pPr>
        <w:pStyle w:val="Heading3"/>
      </w:pPr>
      <w:r>
        <w:rPr>
          <w:rFonts w:ascii="Meiryo UI" w:hAnsi="Meiryo UI"/>
          <w:color w:val="2E74B5"/>
        </w:rPr>
        <w:t>8-3. 損切りライン</w:t>
      </w:r>
    </w:p>
    <w:p/>
    <w:p>
      <w:pPr>
        <w:shd w:val="clear" w:color="auto" w:fill="F2F2F2"/>
      </w:pPr>
      <w:r>
        <w:rPr>
          <w:rFonts w:ascii="Courier New" w:hAnsi="Courier New"/>
          <w:sz w:val="16"/>
        </w:rPr>
        <w:t>損切りライン：¥1,600（現在値比▲20.0%）</w:t>
        <w:br/>
        <w:t>根拠：</w:t>
        <w:br/>
        <w:t xml:space="preserve">  ・BPS¥2,430に対するPBR0.66水準</w:t>
        <w:br/>
        <w:t xml:space="preserve">  ・弱気DCF理論株価¥2,800との乖離が拡大する前の撤退</w:t>
        <w:br/>
        <w:t xml:space="preserve">  ・技術的サポートライン割れ（推定¥1,650〜1,700の下方）</w:t>
        <w:br/>
        <w:t xml:space="preserve">  ・損切り発動条件：¥1,600終値割れ or ROE継続低下（12%割れ）</w:t>
      </w:r>
    </w:p>
    <w:p/>
    <w:p>
      <w:pPr>
        <w:pStyle w:val="Heading3"/>
      </w:pPr>
      <w:r>
        <w:rPr>
          <w:rFonts w:ascii="Meiryo UI" w:hAnsi="Meiryo UI"/>
          <w:color w:val="2E74B5"/>
        </w:rPr>
        <w:t>8-4. モニタリング指標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閾値（上方改訂）</w:t>
            </w:r>
          </w:p>
        </w:tc>
        <w:tc>
          <w:tcPr>
            <w:tcW w:type="dxa" w:w="2351"/>
            <w:shd w:val="clear" w:color="auto" w:fill="2E74B5"/>
          </w:tcPr>
          <w:p>
            <w:r>
              <w:rPr>
                <w:rFonts w:ascii="Meiryo UI" w:hAnsi="Meiryo UI"/>
                <w:b/>
                <w:color w:val="FFFFFF"/>
                <w:sz w:val="18"/>
              </w:rPr>
              <w:t>閾値（下方見直し）</w:t>
            </w:r>
          </w:p>
        </w:tc>
        <w:tc>
          <w:tcPr>
            <w:tcW w:type="dxa" w:w="2351"/>
            <w:shd w:val="clear" w:color="auto" w:fill="2E74B5"/>
          </w:tcPr>
          <w:p>
            <w:r>
              <w:rPr>
                <w:rFonts w:ascii="Meiryo UI" w:hAnsi="Meiryo UI"/>
                <w:b/>
                <w:color w:val="FFFFFF"/>
                <w:sz w:val="18"/>
              </w:rPr>
              <w:t>頻度</w:t>
            </w:r>
          </w:p>
        </w:tc>
      </w:tr>
      <w:tr>
        <w:tc>
          <w:tcPr>
            <w:tcW w:type="dxa" w:w="2351"/>
          </w:tcPr>
          <w:p>
            <w:r>
              <w:rPr>
                <w:rFonts w:ascii="Meiryo UI" w:hAnsi="Meiryo UI"/>
                <w:sz w:val="18"/>
              </w:rPr>
              <w:t>ROE</w:t>
            </w:r>
          </w:p>
        </w:tc>
        <w:tc>
          <w:tcPr>
            <w:tcW w:type="dxa" w:w="2351"/>
          </w:tcPr>
          <w:p>
            <w:r>
              <w:rPr>
                <w:rFonts w:ascii="Meiryo UI" w:hAnsi="Meiryo UI"/>
                <w:sz w:val="18"/>
              </w:rPr>
              <w:t>17%超→目標株価引上げ</w:t>
            </w:r>
          </w:p>
        </w:tc>
        <w:tc>
          <w:tcPr>
            <w:tcW w:type="dxa" w:w="2351"/>
          </w:tcPr>
          <w:p>
            <w:r>
              <w:rPr>
                <w:rFonts w:ascii="Meiryo UI" w:hAnsi="Meiryo UI"/>
                <w:sz w:val="18"/>
              </w:rPr>
              <w:t>12%割れ→Buy撤回検討</w:t>
            </w:r>
          </w:p>
        </w:tc>
        <w:tc>
          <w:tcPr>
            <w:tcW w:type="dxa" w:w="2351"/>
          </w:tcPr>
          <w:p>
            <w:r>
              <w:rPr>
                <w:rFonts w:ascii="Meiryo UI" w:hAnsi="Meiryo UI"/>
                <w:sz w:val="18"/>
              </w:rPr>
              <w:t>四半期</w:t>
            </w:r>
          </w:p>
        </w:tc>
      </w:tr>
      <w:tr>
        <w:tc>
          <w:tcPr>
            <w:tcW w:type="dxa" w:w="2351"/>
            <w:shd w:val="clear" w:color="auto" w:fill="DDEBF7"/>
          </w:tcPr>
          <w:p>
            <w:r>
              <w:rPr>
                <w:rFonts w:ascii="Meiryo UI" w:hAnsi="Meiryo UI"/>
                <w:sz w:val="18"/>
              </w:rPr>
              <w:t>スクラップ価格</w:t>
            </w:r>
          </w:p>
        </w:tc>
        <w:tc>
          <w:tcPr>
            <w:tcW w:type="dxa" w:w="2351"/>
            <w:shd w:val="clear" w:color="auto" w:fill="DDEBF7"/>
          </w:tcPr>
          <w:p>
            <w:r>
              <w:rPr>
                <w:rFonts w:ascii="Meiryo UI" w:hAnsi="Meiryo UI"/>
                <w:sz w:val="18"/>
              </w:rPr>
              <w:t>▲15%以下→利益率改善</w:t>
            </w:r>
          </w:p>
        </w:tc>
        <w:tc>
          <w:tcPr>
            <w:tcW w:type="dxa" w:w="2351"/>
            <w:shd w:val="clear" w:color="auto" w:fill="DDEBF7"/>
          </w:tcPr>
          <w:p>
            <w:r>
              <w:rPr>
                <w:rFonts w:ascii="Meiryo UI" w:hAnsi="Meiryo UI"/>
                <w:sz w:val="18"/>
              </w:rPr>
              <w:t>+20%超→EPS下方修正</w:t>
            </w:r>
          </w:p>
        </w:tc>
        <w:tc>
          <w:tcPr>
            <w:tcW w:type="dxa" w:w="2351"/>
            <w:shd w:val="clear" w:color="auto" w:fill="DDEBF7"/>
          </w:tcPr>
          <w:p>
            <w:r>
              <w:rPr>
                <w:rFonts w:ascii="Meiryo UI" w:hAnsi="Meiryo UI"/>
                <w:sz w:val="18"/>
              </w:rPr>
              <w:t>月次</w:t>
            </w:r>
          </w:p>
        </w:tc>
      </w:tr>
      <w:tr>
        <w:tc>
          <w:tcPr>
            <w:tcW w:type="dxa" w:w="2351"/>
          </w:tcPr>
          <w:p>
            <w:r>
              <w:rPr>
                <w:rFonts w:ascii="Meiryo UI" w:hAnsi="Meiryo UI"/>
                <w:sz w:val="18"/>
              </w:rPr>
              <w:t>WTI原油</w:t>
            </w:r>
          </w:p>
        </w:tc>
        <w:tc>
          <w:tcPr>
            <w:tcW w:type="dxa" w:w="2351"/>
          </w:tcPr>
          <w:p>
            <w:r>
              <w:rPr>
                <w:rFonts w:ascii="Meiryo UI" w:hAnsi="Meiryo UI"/>
                <w:sz w:val="18"/>
              </w:rPr>
              <w:t>$95以下→コスト軽減</w:t>
            </w:r>
          </w:p>
        </w:tc>
        <w:tc>
          <w:tcPr>
            <w:tcW w:type="dxa" w:w="2351"/>
          </w:tcPr>
          <w:p>
            <w:r>
              <w:rPr>
                <w:rFonts w:ascii="Meiryo UI" w:hAnsi="Meiryo UI"/>
                <w:sz w:val="18"/>
              </w:rPr>
              <w:t>$130超→弱気転換</w:t>
            </w:r>
          </w:p>
        </w:tc>
        <w:tc>
          <w:tcPr>
            <w:tcW w:type="dxa" w:w="2351"/>
          </w:tcPr>
          <w:p>
            <w:r>
              <w:rPr>
                <w:rFonts w:ascii="Meiryo UI" w:hAnsi="Meiryo UI"/>
                <w:sz w:val="18"/>
              </w:rPr>
              <w:t>週次</w:t>
            </w:r>
          </w:p>
        </w:tc>
      </w:tr>
      <w:tr>
        <w:tc>
          <w:tcPr>
            <w:tcW w:type="dxa" w:w="2351"/>
            <w:shd w:val="clear" w:color="auto" w:fill="DDEBF7"/>
          </w:tcPr>
          <w:p>
            <w:r>
              <w:rPr>
                <w:rFonts w:ascii="Meiryo UI" w:hAnsi="Meiryo UI"/>
                <w:sz w:val="18"/>
              </w:rPr>
              <w:t>公共工事受注統計</w:t>
            </w:r>
          </w:p>
        </w:tc>
        <w:tc>
          <w:tcPr>
            <w:tcW w:type="dxa" w:w="2351"/>
            <w:shd w:val="clear" w:color="auto" w:fill="DDEBF7"/>
          </w:tcPr>
          <w:p>
            <w:r>
              <w:rPr>
                <w:rFonts w:ascii="Meiryo UI" w:hAnsi="Meiryo UI"/>
                <w:sz w:val="18"/>
              </w:rPr>
              <w:t>前年比+5%超</w:t>
            </w:r>
          </w:p>
        </w:tc>
        <w:tc>
          <w:tcPr>
            <w:tcW w:type="dxa" w:w="2351"/>
            <w:shd w:val="clear" w:color="auto" w:fill="DDEBF7"/>
          </w:tcPr>
          <w:p>
            <w:r>
              <w:rPr>
                <w:rFonts w:ascii="Meiryo UI" w:hAnsi="Meiryo UI"/>
                <w:sz w:val="18"/>
              </w:rPr>
              <w:t>前年比▲10%以下</w:t>
            </w:r>
          </w:p>
        </w:tc>
        <w:tc>
          <w:tcPr>
            <w:tcW w:type="dxa" w:w="2351"/>
            <w:shd w:val="clear" w:color="auto" w:fill="DDEBF7"/>
          </w:tcPr>
          <w:p>
            <w:r>
              <w:rPr>
                <w:rFonts w:ascii="Meiryo UI" w:hAnsi="Meiryo UI"/>
                <w:sz w:val="18"/>
              </w:rPr>
              <w:t>月次</w:t>
            </w:r>
          </w:p>
        </w:tc>
      </w:tr>
      <w:tr>
        <w:tc>
          <w:tcPr>
            <w:tcW w:type="dxa" w:w="2351"/>
          </w:tcPr>
          <w:p>
            <w:r>
              <w:rPr>
                <w:rFonts w:ascii="Meiryo UI" w:hAnsi="Meiryo UI"/>
                <w:sz w:val="18"/>
              </w:rPr>
              <w:t>PBR動向</w:t>
            </w:r>
          </w:p>
        </w:tc>
        <w:tc>
          <w:tcPr>
            <w:tcW w:type="dxa" w:w="2351"/>
          </w:tcPr>
          <w:p>
            <w:r>
              <w:rPr>
                <w:rFonts w:ascii="Meiryo UI" w:hAnsi="Meiryo UI"/>
                <w:sz w:val="18"/>
              </w:rPr>
              <w:t>1.0倍超え→強気維持</w:t>
            </w:r>
          </w:p>
        </w:tc>
        <w:tc>
          <w:tcPr>
            <w:tcW w:type="dxa" w:w="2351"/>
          </w:tcPr>
          <w:p>
            <w:r>
              <w:rPr>
                <w:rFonts w:ascii="Meiryo UI" w:hAnsi="Meiryo UI"/>
                <w:sz w:val="18"/>
              </w:rPr>
              <w:t>0.7倍割れ→再評価</w:t>
            </w:r>
          </w:p>
        </w:tc>
        <w:tc>
          <w:tcPr>
            <w:tcW w:type="dxa" w:w="2351"/>
          </w:tcPr>
          <w:p>
            <w:r>
              <w:rPr>
                <w:rFonts w:ascii="Meiryo UI" w:hAnsi="Meiryo UI"/>
                <w:sz w:val="18"/>
              </w:rPr>
              <w:t>週次</w:t>
            </w:r>
          </w:p>
        </w:tc>
      </w:tr>
    </w:tbl>
    <w:p/>
    <w:p>
      <w:pPr>
        <w:pStyle w:val="Heading3"/>
      </w:pPr>
      <w:r>
        <w:rPr>
          <w:rFonts w:ascii="Meiryo UI" w:hAnsi="Meiryo UI"/>
          <w:color w:val="2E74B5"/>
        </w:rPr>
        <w:t>8-5. 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想定イベント</w:t>
            </w:r>
          </w:p>
        </w:tc>
        <w:tc>
          <w:tcPr>
            <w:tcW w:type="dxa" w:w="3135"/>
            <w:shd w:val="clear" w:color="auto" w:fill="2E74B5"/>
          </w:tcPr>
          <w:p>
            <w:r>
              <w:rPr>
                <w:rFonts w:ascii="Meiryo UI" w:hAnsi="Meiryo UI"/>
                <w:b/>
                <w:color w:val="FFFFFF"/>
                <w:sz w:val="18"/>
              </w:rPr>
              <w:t>期待値</w:t>
            </w:r>
          </w:p>
        </w:tc>
      </w:tr>
      <w:tr>
        <w:tc>
          <w:tcPr>
            <w:tcW w:type="dxa" w:w="3135"/>
          </w:tcPr>
          <w:p>
            <w:r>
              <w:rPr>
                <w:rFonts w:ascii="Meiryo UI" w:hAnsi="Meiryo UI"/>
                <w:sz w:val="18"/>
              </w:rPr>
              <w:t>短期（3〜6ヶ月）</w:t>
            </w:r>
          </w:p>
        </w:tc>
        <w:tc>
          <w:tcPr>
            <w:tcW w:type="dxa" w:w="3135"/>
          </w:tcPr>
          <w:p>
            <w:r>
              <w:rPr>
                <w:rFonts w:ascii="Meiryo UI" w:hAnsi="Meiryo UI"/>
                <w:sz w:val="18"/>
              </w:rPr>
              <w:t>FY2025本決算発表、スクラップ価格動向</w:t>
            </w:r>
          </w:p>
        </w:tc>
        <w:tc>
          <w:tcPr>
            <w:tcW w:type="dxa" w:w="3135"/>
          </w:tcPr>
          <w:p>
            <w:r>
              <w:rPr>
                <w:rFonts w:ascii="Meiryo UI" w:hAnsi="Meiryo UI"/>
                <w:sz w:val="18"/>
              </w:rPr>
              <w:t>¥2,200〜2,800（+10〜40%）</w:t>
            </w:r>
          </w:p>
        </w:tc>
      </w:tr>
      <w:tr>
        <w:tc>
          <w:tcPr>
            <w:tcW w:type="dxa" w:w="3135"/>
            <w:shd w:val="clear" w:color="auto" w:fill="DDEBF7"/>
          </w:tcPr>
          <w:p>
            <w:r>
              <w:rPr>
                <w:rFonts w:ascii="Meiryo UI" w:hAnsi="Meiryo UI"/>
                <w:sz w:val="18"/>
              </w:rPr>
              <w:t>中期（6〜18ヶ月）</w:t>
            </w:r>
          </w:p>
        </w:tc>
        <w:tc>
          <w:tcPr>
            <w:tcW w:type="dxa" w:w="3135"/>
            <w:shd w:val="clear" w:color="auto" w:fill="DDEBF7"/>
          </w:tcPr>
          <w:p>
            <w:r>
              <w:rPr>
                <w:rFonts w:ascii="Meiryo UI" w:hAnsi="Meiryo UI"/>
                <w:sz w:val="18"/>
              </w:rPr>
              <w:t>国土強靱化予算執行加速、電炉ESG認証</w:t>
            </w:r>
          </w:p>
        </w:tc>
        <w:tc>
          <w:tcPr>
            <w:tcW w:type="dxa" w:w="3135"/>
            <w:shd w:val="clear" w:color="auto" w:fill="DDEBF7"/>
          </w:tcPr>
          <w:p>
            <w:r>
              <w:rPr>
                <w:rFonts w:ascii="Meiryo UI" w:hAnsi="Meiryo UI"/>
                <w:sz w:val="18"/>
              </w:rPr>
              <w:t>¥3,000〜4,000（+50〜100%）</w:t>
            </w:r>
          </w:p>
        </w:tc>
      </w:tr>
      <w:tr>
        <w:tc>
          <w:tcPr>
            <w:tcW w:type="dxa" w:w="3135"/>
          </w:tcPr>
          <w:p>
            <w:r>
              <w:rPr>
                <w:rFonts w:ascii="Meiryo UI" w:hAnsi="Meiryo UI"/>
                <w:sz w:val="18"/>
              </w:rPr>
              <w:t>長期（2〜4年）</w:t>
            </w:r>
          </w:p>
        </w:tc>
        <w:tc>
          <w:tcPr>
            <w:tcW w:type="dxa" w:w="3135"/>
          </w:tcPr>
          <w:p>
            <w:r>
              <w:rPr>
                <w:rFonts w:ascii="Meiryo UI" w:hAnsi="Meiryo UI"/>
                <w:sz w:val="18"/>
              </w:rPr>
              <w:t>DCF価値収束・PBR正常化</w:t>
            </w:r>
          </w:p>
        </w:tc>
        <w:tc>
          <w:tcPr>
            <w:tcW w:type="dxa" w:w="3135"/>
          </w:tcPr>
          <w:p>
            <w:r>
              <w:rPr>
                <w:rFonts w:ascii="Meiryo UI" w:hAnsi="Meiryo UI"/>
                <w:sz w:val="18"/>
              </w:rPr>
              <w:t>¥4,500〜7,000（+125〜250%）</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前提固定値：β=1.05 / ERP=5.50% / g=2.0% / D/(D+E)=20% / Rd=1.5% / Tc=30% / FCF₀=¥67億</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TV(億円)</w:t>
            </w:r>
          </w:p>
        </w:tc>
        <w:tc>
          <w:tcPr>
            <w:tcW w:type="dxa" w:w="1344"/>
            <w:shd w:val="clear" w:color="auto" w:fill="2E74B5"/>
          </w:tcPr>
          <w:p>
            <w:r>
              <w:rPr>
                <w:rFonts w:ascii="Meiryo UI" w:hAnsi="Meiryo UI"/>
                <w:b/>
                <w:color w:val="FFFFFF"/>
                <w:sz w:val="18"/>
              </w:rPr>
              <w:t>理論株価(JPY)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1.380%</w:t>
            </w:r>
          </w:p>
        </w:tc>
        <w:tc>
          <w:tcPr>
            <w:tcW w:type="dxa" w:w="1344"/>
          </w:tcPr>
          <w:p>
            <w:r>
              <w:rPr>
                <w:rFonts w:ascii="Meiryo UI" w:hAnsi="Meiryo UI"/>
                <w:sz w:val="18"/>
              </w:rPr>
              <w:t>7.155%</w:t>
            </w:r>
          </w:p>
        </w:tc>
        <w:tc>
          <w:tcPr>
            <w:tcW w:type="dxa" w:w="1344"/>
          </w:tcPr>
          <w:p>
            <w:r>
              <w:rPr>
                <w:rFonts w:ascii="Meiryo UI" w:hAnsi="Meiryo UI"/>
                <w:sz w:val="18"/>
              </w:rPr>
              <w:t>5.730%</w:t>
            </w:r>
          </w:p>
        </w:tc>
        <w:tc>
          <w:tcPr>
            <w:tcW w:type="dxa" w:w="1344"/>
          </w:tcPr>
          <w:p>
            <w:r>
              <w:rPr>
                <w:rFonts w:ascii="Meiryo UI" w:hAnsi="Meiryo UI"/>
                <w:sz w:val="18"/>
              </w:rPr>
              <w:t>¥2,108</w:t>
            </w:r>
          </w:p>
        </w:tc>
        <w:tc>
          <w:tcPr>
            <w:tcW w:type="dxa" w:w="1344"/>
          </w:tcPr>
          <w:p>
            <w:r>
              <w:rPr>
                <w:rFonts w:ascii="Meiryo UI" w:hAnsi="Meiryo UI"/>
                <w:sz w:val="18"/>
              </w:rPr>
              <w:t>¥9,680</w:t>
            </w:r>
          </w:p>
        </w:tc>
        <w:tc>
          <w:tcPr>
            <w:tcW w:type="dxa" w:w="1344"/>
          </w:tcPr>
          <w:p>
            <w:r>
              <w:rPr>
                <w:rFonts w:ascii="Meiryo UI" w:hAnsi="Meiryo UI"/>
                <w:sz w:val="18"/>
              </w:rPr>
              <w:t>+384.2%</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7.655%</w:t>
            </w:r>
          </w:p>
        </w:tc>
        <w:tc>
          <w:tcPr>
            <w:tcW w:type="dxa" w:w="1344"/>
            <w:shd w:val="clear" w:color="auto" w:fill="DDEBF7"/>
          </w:tcPr>
          <w:p>
            <w:r>
              <w:rPr>
                <w:rFonts w:ascii="Meiryo UI" w:hAnsi="Meiryo UI"/>
                <w:sz w:val="18"/>
              </w:rPr>
              <w:t>6.230%</w:t>
            </w:r>
          </w:p>
        </w:tc>
        <w:tc>
          <w:tcPr>
            <w:tcW w:type="dxa" w:w="1344"/>
            <w:shd w:val="clear" w:color="auto" w:fill="DDEBF7"/>
          </w:tcPr>
          <w:p>
            <w:r>
              <w:rPr>
                <w:rFonts w:ascii="Meiryo UI" w:hAnsi="Meiryo UI"/>
                <w:sz w:val="18"/>
              </w:rPr>
              <w:t>¥1,875</w:t>
            </w:r>
          </w:p>
        </w:tc>
        <w:tc>
          <w:tcPr>
            <w:tcW w:type="dxa" w:w="1344"/>
            <w:shd w:val="clear" w:color="auto" w:fill="DDEBF7"/>
          </w:tcPr>
          <w:p>
            <w:r>
              <w:rPr>
                <w:rFonts w:ascii="Meiryo UI" w:hAnsi="Meiryo UI"/>
                <w:sz w:val="18"/>
              </w:rPr>
              <w:t>¥8,340</w:t>
            </w:r>
          </w:p>
        </w:tc>
        <w:tc>
          <w:tcPr>
            <w:tcW w:type="dxa" w:w="1344"/>
            <w:shd w:val="clear" w:color="auto" w:fill="DDEBF7"/>
          </w:tcPr>
          <w:p>
            <w:r>
              <w:rPr>
                <w:rFonts w:ascii="Meiryo UI" w:hAnsi="Meiryo UI"/>
                <w:sz w:val="18"/>
              </w:rPr>
              <w:t>+317.2%</w:t>
            </w:r>
          </w:p>
        </w:tc>
      </w:tr>
      <w:tr>
        <w:tc>
          <w:tcPr>
            <w:tcW w:type="dxa" w:w="1344"/>
          </w:tcPr>
          <w:p>
            <w:r>
              <w:rPr>
                <w:rFonts w:ascii="Meiryo UI" w:hAnsi="Meiryo UI"/>
                <w:sz w:val="18"/>
              </w:rPr>
              <w:t>Rf ▲0.25%</w:t>
            </w:r>
          </w:p>
        </w:tc>
        <w:tc>
          <w:tcPr>
            <w:tcW w:type="dxa" w:w="1344"/>
          </w:tcPr>
          <w:p>
            <w:r>
              <w:rPr>
                <w:rFonts w:ascii="Meiryo UI" w:hAnsi="Meiryo UI"/>
                <w:sz w:val="18"/>
              </w:rPr>
              <w:t>2.130%</w:t>
            </w:r>
          </w:p>
        </w:tc>
        <w:tc>
          <w:tcPr>
            <w:tcW w:type="dxa" w:w="1344"/>
          </w:tcPr>
          <w:p>
            <w:r>
              <w:rPr>
                <w:rFonts w:ascii="Meiryo UI" w:hAnsi="Meiryo UI"/>
                <w:sz w:val="18"/>
              </w:rPr>
              <w:t>7.905%</w:t>
            </w:r>
          </w:p>
        </w:tc>
        <w:tc>
          <w:tcPr>
            <w:tcW w:type="dxa" w:w="1344"/>
          </w:tcPr>
          <w:p>
            <w:r>
              <w:rPr>
                <w:rFonts w:ascii="Meiryo UI" w:hAnsi="Meiryo UI"/>
                <w:sz w:val="18"/>
              </w:rPr>
              <w:t>6.480%</w:t>
            </w:r>
          </w:p>
        </w:tc>
        <w:tc>
          <w:tcPr>
            <w:tcW w:type="dxa" w:w="1344"/>
          </w:tcPr>
          <w:p>
            <w:r>
              <w:rPr>
                <w:rFonts w:ascii="Meiryo UI" w:hAnsi="Meiryo UI"/>
                <w:sz w:val="18"/>
              </w:rPr>
              <w:t>¥1,779</w:t>
            </w:r>
          </w:p>
        </w:tc>
        <w:tc>
          <w:tcPr>
            <w:tcW w:type="dxa" w:w="1344"/>
          </w:tcPr>
          <w:p>
            <w:r>
              <w:rPr>
                <w:rFonts w:ascii="Meiryo UI" w:hAnsi="Meiryo UI"/>
                <w:sz w:val="18"/>
              </w:rPr>
              <w:t>¥7,700</w:t>
            </w:r>
          </w:p>
        </w:tc>
        <w:tc>
          <w:tcPr>
            <w:tcW w:type="dxa" w:w="1344"/>
          </w:tcPr>
          <w:p>
            <w:r>
              <w:rPr>
                <w:rFonts w:ascii="Meiryo UI" w:hAnsi="Meiryo UI"/>
                <w:sz w:val="18"/>
              </w:rPr>
              <w:t>+285.2%</w:t>
            </w:r>
          </w:p>
        </w:tc>
      </w:tr>
      <w:tr>
        <w:tc>
          <w:tcPr>
            <w:tcW w:type="dxa" w:w="1344"/>
            <w:shd w:val="clear" w:color="auto" w:fill="DDEBF7"/>
          </w:tcPr>
          <w:p>
            <w:r>
              <w:rPr>
                <w:rFonts w:ascii="Meiryo UI" w:hAnsi="Meiryo UI"/>
                <w:sz w:val="18"/>
              </w:rPr>
              <w:t>基準（現状）</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8.155%</w:t>
            </w:r>
          </w:p>
        </w:tc>
        <w:tc>
          <w:tcPr>
            <w:tcW w:type="dxa" w:w="1344"/>
            <w:shd w:val="clear" w:color="auto" w:fill="DDEBF7"/>
          </w:tcPr>
          <w:p>
            <w:r>
              <w:rPr>
                <w:rFonts w:ascii="Meiryo UI" w:hAnsi="Meiryo UI"/>
                <w:sz w:val="18"/>
              </w:rPr>
              <w:t>6.730%</w:t>
            </w:r>
          </w:p>
        </w:tc>
        <w:tc>
          <w:tcPr>
            <w:tcW w:type="dxa" w:w="1344"/>
            <w:shd w:val="clear" w:color="auto" w:fill="DDEBF7"/>
          </w:tcPr>
          <w:p>
            <w:r>
              <w:rPr>
                <w:rFonts w:ascii="Meiryo UI" w:hAnsi="Meiryo UI"/>
                <w:sz w:val="18"/>
              </w:rPr>
              <w:t>¥1,700</w:t>
            </w:r>
          </w:p>
        </w:tc>
        <w:tc>
          <w:tcPr>
            <w:tcW w:type="dxa" w:w="1344"/>
            <w:shd w:val="clear" w:color="auto" w:fill="DDEBF7"/>
          </w:tcPr>
          <w:p>
            <w:r>
              <w:rPr>
                <w:rFonts w:ascii="Meiryo UI" w:hAnsi="Meiryo UI"/>
                <w:sz w:val="18"/>
              </w:rPr>
              <w:t>¥7,090</w:t>
            </w:r>
          </w:p>
        </w:tc>
        <w:tc>
          <w:tcPr>
            <w:tcW w:type="dxa" w:w="1344"/>
            <w:shd w:val="clear" w:color="auto" w:fill="DDEBF7"/>
          </w:tcPr>
          <w:p>
            <w:r>
              <w:rPr>
                <w:rFonts w:ascii="Meiryo UI" w:hAnsi="Meiryo UI"/>
                <w:sz w:val="18"/>
              </w:rPr>
              <w:t>+254.7%</w:t>
            </w:r>
          </w:p>
        </w:tc>
      </w:tr>
      <w:tr>
        <w:tc>
          <w:tcPr>
            <w:tcW w:type="dxa" w:w="1344"/>
          </w:tcPr>
          <w:p>
            <w:r>
              <w:rPr>
                <w:rFonts w:ascii="Meiryo UI" w:hAnsi="Meiryo UI"/>
                <w:sz w:val="18"/>
              </w:rPr>
              <w:t>Rf +0.25%</w:t>
            </w:r>
          </w:p>
        </w:tc>
        <w:tc>
          <w:tcPr>
            <w:tcW w:type="dxa" w:w="1344"/>
          </w:tcPr>
          <w:p>
            <w:r>
              <w:rPr>
                <w:rFonts w:ascii="Meiryo UI" w:hAnsi="Meiryo UI"/>
                <w:sz w:val="18"/>
              </w:rPr>
              <w:t>2.630%</w:t>
            </w:r>
          </w:p>
        </w:tc>
        <w:tc>
          <w:tcPr>
            <w:tcW w:type="dxa" w:w="1344"/>
          </w:tcPr>
          <w:p>
            <w:r>
              <w:rPr>
                <w:rFonts w:ascii="Meiryo UI" w:hAnsi="Meiryo UI"/>
                <w:sz w:val="18"/>
              </w:rPr>
              <w:t>8.405%</w:t>
            </w:r>
          </w:p>
        </w:tc>
        <w:tc>
          <w:tcPr>
            <w:tcW w:type="dxa" w:w="1344"/>
          </w:tcPr>
          <w:p>
            <w:r>
              <w:rPr>
                <w:rFonts w:ascii="Meiryo UI" w:hAnsi="Meiryo UI"/>
                <w:sz w:val="18"/>
              </w:rPr>
              <w:t>6.980%</w:t>
            </w:r>
          </w:p>
        </w:tc>
        <w:tc>
          <w:tcPr>
            <w:tcW w:type="dxa" w:w="1344"/>
          </w:tcPr>
          <w:p>
            <w:r>
              <w:rPr>
                <w:rFonts w:ascii="Meiryo UI" w:hAnsi="Meiryo UI"/>
                <w:sz w:val="18"/>
              </w:rPr>
              <w:t>¥1,625</w:t>
            </w:r>
          </w:p>
        </w:tc>
        <w:tc>
          <w:tcPr>
            <w:tcW w:type="dxa" w:w="1344"/>
          </w:tcPr>
          <w:p>
            <w:r>
              <w:rPr>
                <w:rFonts w:ascii="Meiryo UI" w:hAnsi="Meiryo UI"/>
                <w:sz w:val="18"/>
              </w:rPr>
              <w:t>¥6,520</w:t>
            </w:r>
          </w:p>
        </w:tc>
        <w:tc>
          <w:tcPr>
            <w:tcW w:type="dxa" w:w="1344"/>
          </w:tcPr>
          <w:p>
            <w:r>
              <w:rPr>
                <w:rFonts w:ascii="Meiryo UI" w:hAnsi="Meiryo UI"/>
                <w:sz w:val="18"/>
              </w:rPr>
              <w:t>+226.1%</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2.880%</w:t>
            </w:r>
          </w:p>
        </w:tc>
        <w:tc>
          <w:tcPr>
            <w:tcW w:type="dxa" w:w="1344"/>
            <w:shd w:val="clear" w:color="auto" w:fill="DDEBF7"/>
          </w:tcPr>
          <w:p>
            <w:r>
              <w:rPr>
                <w:rFonts w:ascii="Meiryo UI" w:hAnsi="Meiryo UI"/>
                <w:sz w:val="18"/>
              </w:rPr>
              <w:t>8.655%</w:t>
            </w:r>
          </w:p>
        </w:tc>
        <w:tc>
          <w:tcPr>
            <w:tcW w:type="dxa" w:w="1344"/>
            <w:shd w:val="clear" w:color="auto" w:fill="DDEBF7"/>
          </w:tcPr>
          <w:p>
            <w:r>
              <w:rPr>
                <w:rFonts w:ascii="Meiryo UI" w:hAnsi="Meiryo UI"/>
                <w:sz w:val="18"/>
              </w:rPr>
              <w:t>7.230%</w:t>
            </w:r>
          </w:p>
        </w:tc>
        <w:tc>
          <w:tcPr>
            <w:tcW w:type="dxa" w:w="1344"/>
            <w:shd w:val="clear" w:color="auto" w:fill="DDEBF7"/>
          </w:tcPr>
          <w:p>
            <w:r>
              <w:rPr>
                <w:rFonts w:ascii="Meiryo UI" w:hAnsi="Meiryo UI"/>
                <w:sz w:val="18"/>
              </w:rPr>
              <w:t>¥1,555</w:t>
            </w:r>
          </w:p>
        </w:tc>
        <w:tc>
          <w:tcPr>
            <w:tcW w:type="dxa" w:w="1344"/>
            <w:shd w:val="clear" w:color="auto" w:fill="DDEBF7"/>
          </w:tcPr>
          <w:p>
            <w:r>
              <w:rPr>
                <w:rFonts w:ascii="Meiryo UI" w:hAnsi="Meiryo UI"/>
                <w:sz w:val="18"/>
              </w:rPr>
              <w:t>¥6,000</w:t>
            </w:r>
          </w:p>
        </w:tc>
        <w:tc>
          <w:tcPr>
            <w:tcW w:type="dxa" w:w="1344"/>
            <w:shd w:val="clear" w:color="auto" w:fill="DDEBF7"/>
          </w:tcPr>
          <w:p>
            <w:r>
              <w:rPr>
                <w:rFonts w:ascii="Meiryo UI" w:hAnsi="Meiryo UI"/>
                <w:sz w:val="18"/>
              </w:rPr>
              <w:t>+200.2%</w:t>
            </w:r>
          </w:p>
        </w:tc>
      </w:tr>
      <w:tr>
        <w:tc>
          <w:tcPr>
            <w:tcW w:type="dxa" w:w="1344"/>
          </w:tcPr>
          <w:p>
            <w:r>
              <w:rPr>
                <w:rFonts w:ascii="Meiryo UI" w:hAnsi="Meiryo UI"/>
                <w:sz w:val="18"/>
              </w:rPr>
              <w:t>Rf +1.00%</w:t>
            </w:r>
          </w:p>
        </w:tc>
        <w:tc>
          <w:tcPr>
            <w:tcW w:type="dxa" w:w="1344"/>
          </w:tcPr>
          <w:p>
            <w:r>
              <w:rPr>
                <w:rFonts w:ascii="Meiryo UI" w:hAnsi="Meiryo UI"/>
                <w:sz w:val="18"/>
              </w:rPr>
              <w:t>3.380%</w:t>
            </w:r>
          </w:p>
        </w:tc>
        <w:tc>
          <w:tcPr>
            <w:tcW w:type="dxa" w:w="1344"/>
          </w:tcPr>
          <w:p>
            <w:r>
              <w:rPr>
                <w:rFonts w:ascii="Meiryo UI" w:hAnsi="Meiryo UI"/>
                <w:sz w:val="18"/>
              </w:rPr>
              <w:t>9.155%</w:t>
            </w:r>
          </w:p>
        </w:tc>
        <w:tc>
          <w:tcPr>
            <w:tcW w:type="dxa" w:w="1344"/>
          </w:tcPr>
          <w:p>
            <w:r>
              <w:rPr>
                <w:rFonts w:ascii="Meiryo UI" w:hAnsi="Meiryo UI"/>
                <w:sz w:val="18"/>
              </w:rPr>
              <w:t>7.730%</w:t>
            </w:r>
          </w:p>
        </w:tc>
        <w:tc>
          <w:tcPr>
            <w:tcW w:type="dxa" w:w="1344"/>
          </w:tcPr>
          <w:p>
            <w:r>
              <w:rPr>
                <w:rFonts w:ascii="Meiryo UI" w:hAnsi="Meiryo UI"/>
                <w:sz w:val="18"/>
              </w:rPr>
              <w:t>¥1,428</w:t>
            </w:r>
          </w:p>
        </w:tc>
        <w:tc>
          <w:tcPr>
            <w:tcW w:type="dxa" w:w="1344"/>
          </w:tcPr>
          <w:p>
            <w:r>
              <w:rPr>
                <w:rFonts w:ascii="Meiryo UI" w:hAnsi="Meiryo UI"/>
                <w:sz w:val="18"/>
              </w:rPr>
              <w:t>¥5,120</w:t>
            </w:r>
          </w:p>
        </w:tc>
        <w:tc>
          <w:tcPr>
            <w:tcW w:type="dxa" w:w="1344"/>
          </w:tcPr>
          <w:p>
            <w:r>
              <w:rPr>
                <w:rFonts w:ascii="Meiryo UI" w:hAnsi="Meiryo UI"/>
                <w:sz w:val="18"/>
              </w:rPr>
              <w:t>+156.1%</w:t>
            </w:r>
          </w:p>
        </w:tc>
      </w:tr>
    </w:tbl>
    <w:p/>
    <w:p>
      <w:r>
        <w:rPr>
          <w:rFonts w:ascii="Meiryo UI" w:hAnsi="Meiryo UI"/>
          <w:sz w:val="20"/>
        </w:rPr>
        <w:t>&gt; 計算式（各Rfシナリオ共通）：</w:t>
      </w:r>
    </w:p>
    <w:p>
      <w:r>
        <w:rPr>
          <w:rFonts w:ascii="Meiryo UI" w:hAnsi="Meiryo UI"/>
          <w:sz w:val="20"/>
        </w:rPr>
        <w:t>&gt; `</w:t>
      </w:r>
    </w:p>
    <w:p>
      <w:r>
        <w:rPr>
          <w:rFonts w:ascii="Meiryo UI" w:hAnsi="Meiryo UI"/>
          <w:sz w:val="20"/>
        </w:rPr>
        <w:t>&gt; Re = Rf + 1.05 × 5.50%</w:t>
      </w:r>
    </w:p>
    <w:p>
      <w:r>
        <w:rPr>
          <w:rFonts w:ascii="Meiryo UI" w:hAnsi="Meiryo UI"/>
          <w:sz w:val="20"/>
        </w:rPr>
        <w:t>&gt; WACC = 0.80 × Re + 0.20 × 1.5% × (1-30%)</w:t>
      </w:r>
    </w:p>
    <w:p>
      <w:r>
        <w:rPr>
          <w:rFonts w:ascii="Meiryo UI" w:hAnsi="Meiryo UI"/>
          <w:sz w:val="20"/>
        </w:rPr>
        <w:t>&gt; TV = FCF₀×(1+g)^5×(1+g) ÷ (WACC-g) × 割引係数</w:t>
      </w:r>
    </w:p>
    <w:p>
      <w:r>
        <w:rPr>
          <w:rFonts w:ascii="Meiryo UI" w:hAnsi="Meiryo UI"/>
          <w:sz w:val="20"/>
        </w:rPr>
        <w:t>&gt; 理論株価 = (PV予測FCF + PV of TV - D + 現預金) ÷ 株式数</w:t>
      </w:r>
    </w:p>
    <w:p>
      <w:r>
        <w:rPr>
          <w:rFonts w:ascii="Meiryo UI" w:hAnsi="Meiryo UI"/>
          <w:sz w:val="20"/>
        </w:rPr>
        <w:t>&gt; `</w:t>
      </w:r>
    </w:p>
    <w:p/>
    <w:p>
      <w:pPr>
        <w:pStyle w:val="Heading3"/>
      </w:pPr>
      <w:r>
        <w:rPr>
          <w:rFonts w:ascii="Meiryo UI" w:hAnsi="Meiryo UI"/>
          <w:color w:val="2E74B5"/>
        </w:rPr>
        <w:t>9-2. WACC×g クロス感応度テーブル（理論株価・億円）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r>
      <w:tr>
        <w:tc>
          <w:tcPr>
            <w:tcW w:type="dxa" w:w="1568"/>
          </w:tcPr>
          <w:p>
            <w:r>
              <w:rPr>
                <w:rFonts w:ascii="Meiryo UI" w:hAnsi="Meiryo UI"/>
                <w:sz w:val="18"/>
              </w:rPr>
              <w:t>WACC=5.5%</w:t>
            </w:r>
          </w:p>
        </w:tc>
        <w:tc>
          <w:tcPr>
            <w:tcW w:type="dxa" w:w="1568"/>
          </w:tcPr>
          <w:p>
            <w:r>
              <w:rPr>
                <w:rFonts w:ascii="Meiryo UI" w:hAnsi="Meiryo UI"/>
                <w:sz w:val="18"/>
              </w:rPr>
              <w:t>¥8,100</w:t>
            </w:r>
          </w:p>
        </w:tc>
        <w:tc>
          <w:tcPr>
            <w:tcW w:type="dxa" w:w="1568"/>
          </w:tcPr>
          <w:p>
            <w:r>
              <w:rPr>
                <w:rFonts w:ascii="Meiryo UI" w:hAnsi="Meiryo UI"/>
                <w:sz w:val="18"/>
              </w:rPr>
              <w:t>¥9,200</w:t>
            </w:r>
          </w:p>
        </w:tc>
        <w:tc>
          <w:tcPr>
            <w:tcW w:type="dxa" w:w="1568"/>
          </w:tcPr>
          <w:p>
            <w:r>
              <w:rPr>
                <w:rFonts w:ascii="Meiryo UI" w:hAnsi="Meiryo UI"/>
                <w:sz w:val="18"/>
              </w:rPr>
              <w:t>¥10,700</w:t>
            </w:r>
          </w:p>
        </w:tc>
        <w:tc>
          <w:tcPr>
            <w:tcW w:type="dxa" w:w="1568"/>
          </w:tcPr>
          <w:p>
            <w:r>
              <w:rPr>
                <w:rFonts w:ascii="Meiryo UI" w:hAnsi="Meiryo UI"/>
                <w:sz w:val="18"/>
              </w:rPr>
              <w:t>¥12,900</w:t>
            </w:r>
          </w:p>
        </w:tc>
        <w:tc>
          <w:tcPr>
            <w:tcW w:type="dxa" w:w="1568"/>
          </w:tcPr>
          <w:p>
            <w:r>
              <w:rPr>
                <w:rFonts w:ascii="Meiryo UI" w:hAnsi="Meiryo UI"/>
                <w:sz w:val="18"/>
              </w:rPr>
              <w:t>¥16,500</w:t>
            </w:r>
          </w:p>
        </w:tc>
      </w:tr>
      <w:tr>
        <w:tc>
          <w:tcPr>
            <w:tcW w:type="dxa" w:w="1568"/>
            <w:shd w:val="clear" w:color="auto" w:fill="DDEBF7"/>
          </w:tcPr>
          <w:p>
            <w:r>
              <w:rPr>
                <w:rFonts w:ascii="Meiryo UI" w:hAnsi="Meiryo UI"/>
                <w:sz w:val="18"/>
              </w:rPr>
              <w:t>WACC=6.0%</w:t>
            </w:r>
          </w:p>
        </w:tc>
        <w:tc>
          <w:tcPr>
            <w:tcW w:type="dxa" w:w="1568"/>
            <w:shd w:val="clear" w:color="auto" w:fill="DDEBF7"/>
          </w:tcPr>
          <w:p>
            <w:r>
              <w:rPr>
                <w:rFonts w:ascii="Meiryo UI" w:hAnsi="Meiryo UI"/>
                <w:sz w:val="18"/>
              </w:rPr>
              <w:t>¥6,500</w:t>
            </w:r>
          </w:p>
        </w:tc>
        <w:tc>
          <w:tcPr>
            <w:tcW w:type="dxa" w:w="1568"/>
            <w:shd w:val="clear" w:color="auto" w:fill="DDEBF7"/>
          </w:tcPr>
          <w:p>
            <w:r>
              <w:rPr>
                <w:rFonts w:ascii="Meiryo UI" w:hAnsi="Meiryo UI"/>
                <w:sz w:val="18"/>
              </w:rPr>
              <w:t>¥7,200</w:t>
            </w:r>
          </w:p>
        </w:tc>
        <w:tc>
          <w:tcPr>
            <w:tcW w:type="dxa" w:w="1568"/>
            <w:shd w:val="clear" w:color="auto" w:fill="DDEBF7"/>
          </w:tcPr>
          <w:p>
            <w:r>
              <w:rPr>
                <w:rFonts w:ascii="Meiryo UI" w:hAnsi="Meiryo UI"/>
                <w:sz w:val="18"/>
              </w:rPr>
              <w:t>¥8,100</w:t>
            </w:r>
          </w:p>
        </w:tc>
        <w:tc>
          <w:tcPr>
            <w:tcW w:type="dxa" w:w="1568"/>
            <w:shd w:val="clear" w:color="auto" w:fill="DDEBF7"/>
          </w:tcPr>
          <w:p>
            <w:r>
              <w:rPr>
                <w:rFonts w:ascii="Meiryo UI" w:hAnsi="Meiryo UI"/>
                <w:sz w:val="18"/>
              </w:rPr>
              <w:t>¥9,400</w:t>
            </w:r>
          </w:p>
        </w:tc>
        <w:tc>
          <w:tcPr>
            <w:tcW w:type="dxa" w:w="1568"/>
            <w:shd w:val="clear" w:color="auto" w:fill="DDEBF7"/>
          </w:tcPr>
          <w:p>
            <w:r>
              <w:rPr>
                <w:rFonts w:ascii="Meiryo UI" w:hAnsi="Meiryo UI"/>
                <w:sz w:val="18"/>
              </w:rPr>
              <w:t>¥11,300</w:t>
            </w:r>
          </w:p>
        </w:tc>
      </w:tr>
      <w:tr>
        <w:tc>
          <w:tcPr>
            <w:tcW w:type="dxa" w:w="1568"/>
          </w:tcPr>
          <w:p>
            <w:r>
              <w:rPr>
                <w:rFonts w:ascii="Meiryo UI" w:hAnsi="Meiryo UI"/>
                <w:sz w:val="18"/>
              </w:rPr>
              <w:t>WACC=6.73%</w:t>
            </w:r>
          </w:p>
        </w:tc>
        <w:tc>
          <w:tcPr>
            <w:tcW w:type="dxa" w:w="1568"/>
          </w:tcPr>
          <w:p>
            <w:r>
              <w:rPr>
                <w:rFonts w:ascii="Meiryo UI" w:hAnsi="Meiryo UI"/>
                <w:sz w:val="18"/>
              </w:rPr>
              <w:t>¥5,100</w:t>
            </w:r>
          </w:p>
        </w:tc>
        <w:tc>
          <w:tcPr>
            <w:tcW w:type="dxa" w:w="1568"/>
          </w:tcPr>
          <w:p>
            <w:r>
              <w:rPr>
                <w:rFonts w:ascii="Meiryo UI" w:hAnsi="Meiryo UI"/>
                <w:sz w:val="18"/>
              </w:rPr>
              <w:t>¥5,900</w:t>
            </w:r>
          </w:p>
        </w:tc>
        <w:tc>
          <w:tcPr>
            <w:tcW w:type="dxa" w:w="1568"/>
          </w:tcPr>
          <w:p>
            <w:r>
              <w:rPr>
                <w:rFonts w:ascii="Meiryo UI" w:hAnsi="Meiryo UI"/>
                <w:sz w:val="18"/>
              </w:rPr>
              <w:t>¥7,090</w:t>
            </w:r>
          </w:p>
        </w:tc>
        <w:tc>
          <w:tcPr>
            <w:tcW w:type="dxa" w:w="1568"/>
          </w:tcPr>
          <w:p>
            <w:r>
              <w:rPr>
                <w:rFonts w:ascii="Meiryo UI" w:hAnsi="Meiryo UI"/>
                <w:sz w:val="18"/>
              </w:rPr>
              <w:t>¥8,500</w:t>
            </w:r>
          </w:p>
        </w:tc>
        <w:tc>
          <w:tcPr>
            <w:tcW w:type="dxa" w:w="1568"/>
          </w:tcPr>
          <w:p>
            <w:r>
              <w:rPr>
                <w:rFonts w:ascii="Meiryo UI" w:hAnsi="Meiryo UI"/>
                <w:sz w:val="18"/>
              </w:rPr>
              <w:t>¥10,600</w:t>
            </w:r>
          </w:p>
        </w:tc>
      </w:tr>
      <w:tr>
        <w:tc>
          <w:tcPr>
            <w:tcW w:type="dxa" w:w="1568"/>
            <w:shd w:val="clear" w:color="auto" w:fill="DDEBF7"/>
          </w:tcPr>
          <w:p>
            <w:r>
              <w:rPr>
                <w:rFonts w:ascii="Meiryo UI" w:hAnsi="Meiryo UI"/>
                <w:sz w:val="18"/>
              </w:rPr>
              <w:t>WACC=7.5%</w:t>
            </w:r>
          </w:p>
        </w:tc>
        <w:tc>
          <w:tcPr>
            <w:tcW w:type="dxa" w:w="1568"/>
            <w:shd w:val="clear" w:color="auto" w:fill="DDEBF7"/>
          </w:tcPr>
          <w:p>
            <w:r>
              <w:rPr>
                <w:rFonts w:ascii="Meiryo UI" w:hAnsi="Meiryo UI"/>
                <w:sz w:val="18"/>
              </w:rPr>
              <w:t>¥3,900</w:t>
            </w:r>
          </w:p>
        </w:tc>
        <w:tc>
          <w:tcPr>
            <w:tcW w:type="dxa" w:w="1568"/>
            <w:shd w:val="clear" w:color="auto" w:fill="DDEBF7"/>
          </w:tcPr>
          <w:p>
            <w:r>
              <w:rPr>
                <w:rFonts w:ascii="Meiryo UI" w:hAnsi="Meiryo UI"/>
                <w:sz w:val="18"/>
              </w:rPr>
              <w:t>¥4,400</w:t>
            </w:r>
          </w:p>
        </w:tc>
        <w:tc>
          <w:tcPr>
            <w:tcW w:type="dxa" w:w="1568"/>
            <w:shd w:val="clear" w:color="auto" w:fill="DDEBF7"/>
          </w:tcPr>
          <w:p>
            <w:r>
              <w:rPr>
                <w:rFonts w:ascii="Meiryo UI" w:hAnsi="Meiryo UI"/>
                <w:sz w:val="18"/>
              </w:rPr>
              <w:t>¥5,100</w:t>
            </w:r>
          </w:p>
        </w:tc>
        <w:tc>
          <w:tcPr>
            <w:tcW w:type="dxa" w:w="1568"/>
            <w:shd w:val="clear" w:color="auto" w:fill="DDEBF7"/>
          </w:tcPr>
          <w:p>
            <w:r>
              <w:rPr>
                <w:rFonts w:ascii="Meiryo UI" w:hAnsi="Meiryo UI"/>
                <w:sz w:val="18"/>
              </w:rPr>
              <w:t>¥5,900</w:t>
            </w:r>
          </w:p>
        </w:tc>
        <w:tc>
          <w:tcPr>
            <w:tcW w:type="dxa" w:w="1568"/>
            <w:shd w:val="clear" w:color="auto" w:fill="DDEBF7"/>
          </w:tcPr>
          <w:p>
            <w:r>
              <w:rPr>
                <w:rFonts w:ascii="Meiryo UI" w:hAnsi="Meiryo UI"/>
                <w:sz w:val="18"/>
              </w:rPr>
              <w:t>¥7,100</w:t>
            </w:r>
          </w:p>
        </w:tc>
      </w:tr>
      <w:tr>
        <w:tc>
          <w:tcPr>
            <w:tcW w:type="dxa" w:w="1568"/>
          </w:tcPr>
          <w:p>
            <w:r>
              <w:rPr>
                <w:rFonts w:ascii="Meiryo UI" w:hAnsi="Meiryo UI"/>
                <w:sz w:val="18"/>
              </w:rPr>
              <w:t>WACC=8.0%</w:t>
            </w:r>
          </w:p>
        </w:tc>
        <w:tc>
          <w:tcPr>
            <w:tcW w:type="dxa" w:w="1568"/>
          </w:tcPr>
          <w:p>
            <w:r>
              <w:rPr>
                <w:rFonts w:ascii="Meiryo UI" w:hAnsi="Meiryo UI"/>
                <w:sz w:val="18"/>
              </w:rPr>
              <w:t>¥3,300</w:t>
            </w:r>
          </w:p>
        </w:tc>
        <w:tc>
          <w:tcPr>
            <w:tcW w:type="dxa" w:w="1568"/>
          </w:tcPr>
          <w:p>
            <w:r>
              <w:rPr>
                <w:rFonts w:ascii="Meiryo UI" w:hAnsi="Meiryo UI"/>
                <w:sz w:val="18"/>
              </w:rPr>
              <w:t>¥3,700</w:t>
            </w:r>
          </w:p>
        </w:tc>
        <w:tc>
          <w:tcPr>
            <w:tcW w:type="dxa" w:w="1568"/>
          </w:tcPr>
          <w:p>
            <w:r>
              <w:rPr>
                <w:rFonts w:ascii="Meiryo UI" w:hAnsi="Meiryo UI"/>
                <w:sz w:val="18"/>
              </w:rPr>
              <w:t>¥4,200</w:t>
            </w:r>
          </w:p>
        </w:tc>
        <w:tc>
          <w:tcPr>
            <w:tcW w:type="dxa" w:w="1568"/>
          </w:tcPr>
          <w:p>
            <w:r>
              <w:rPr>
                <w:rFonts w:ascii="Meiryo UI" w:hAnsi="Meiryo UI"/>
                <w:sz w:val="18"/>
              </w:rPr>
              <w:t>¥4,850</w:t>
            </w:r>
          </w:p>
        </w:tc>
        <w:tc>
          <w:tcPr>
            <w:tcW w:type="dxa" w:w="1568"/>
          </w:tcPr>
          <w:p>
            <w:r>
              <w:rPr>
                <w:rFonts w:ascii="Meiryo UI" w:hAnsi="Meiryo UI"/>
                <w:sz w:val="18"/>
              </w:rPr>
              <w:t>¥5,700</w:t>
            </w:r>
          </w:p>
        </w:tc>
      </w:tr>
      <w:tr>
        <w:tc>
          <w:tcPr>
            <w:tcW w:type="dxa" w:w="1568"/>
            <w:shd w:val="clear" w:color="auto" w:fill="DDEBF7"/>
          </w:tcPr>
          <w:p>
            <w:r>
              <w:rPr>
                <w:rFonts w:ascii="Meiryo UI" w:hAnsi="Meiryo UI"/>
                <w:sz w:val="18"/>
              </w:rPr>
              <w:t>WACC=8.5%</w:t>
            </w:r>
          </w:p>
        </w:tc>
        <w:tc>
          <w:tcPr>
            <w:tcW w:type="dxa" w:w="1568"/>
            <w:shd w:val="clear" w:color="auto" w:fill="DDEBF7"/>
          </w:tcPr>
          <w:p>
            <w:r>
              <w:rPr>
                <w:rFonts w:ascii="Meiryo UI" w:hAnsi="Meiryo UI"/>
                <w:sz w:val="18"/>
              </w:rPr>
              <w:t>¥2,900</w:t>
            </w:r>
          </w:p>
        </w:tc>
        <w:tc>
          <w:tcPr>
            <w:tcW w:type="dxa" w:w="1568"/>
            <w:shd w:val="clear" w:color="auto" w:fill="DDEBF7"/>
          </w:tcPr>
          <w:p>
            <w:r>
              <w:rPr>
                <w:rFonts w:ascii="Meiryo UI" w:hAnsi="Meiryo UI"/>
                <w:sz w:val="18"/>
              </w:rPr>
              <w:t>¥3,200</w:t>
            </w:r>
          </w:p>
        </w:tc>
        <w:tc>
          <w:tcPr>
            <w:tcW w:type="dxa" w:w="1568"/>
            <w:shd w:val="clear" w:color="auto" w:fill="DDEBF7"/>
          </w:tcPr>
          <w:p>
            <w:r>
              <w:rPr>
                <w:rFonts w:ascii="Meiryo UI" w:hAnsi="Meiryo UI"/>
                <w:sz w:val="18"/>
              </w:rPr>
              <w:t>¥3,600</w:t>
            </w:r>
          </w:p>
        </w:tc>
        <w:tc>
          <w:tcPr>
            <w:tcW w:type="dxa" w:w="1568"/>
            <w:shd w:val="clear" w:color="auto" w:fill="DDEBF7"/>
          </w:tcPr>
          <w:p>
            <w:r>
              <w:rPr>
                <w:rFonts w:ascii="Meiryo UI" w:hAnsi="Meiryo UI"/>
                <w:sz w:val="18"/>
              </w:rPr>
              <w:t>¥4,100</w:t>
            </w:r>
          </w:p>
        </w:tc>
        <w:tc>
          <w:tcPr>
            <w:tcW w:type="dxa" w:w="1568"/>
            <w:shd w:val="clear" w:color="auto" w:fill="DDEBF7"/>
          </w:tcPr>
          <w:p>
            <w:r>
              <w:rPr>
                <w:rFonts w:ascii="Meiryo UI" w:hAnsi="Meiryo UI"/>
                <w:sz w:val="18"/>
              </w:rPr>
              <w:t>¥4,800</w:t>
            </w:r>
          </w:p>
        </w:tc>
      </w:tr>
    </w:tbl>
    <w:p/>
    <w:p>
      <w:r>
        <w:rPr>
          <w:rFonts w:ascii="Meiryo UI" w:hAnsi="Meiryo UI"/>
          <w:sz w:val="20"/>
        </w:rPr>
        <w:t>&gt; ハイライト：現在株価¥1,999を下回るシナリオ（WACC9.5%超/g=1.0%未満の極端ケース）は現実的でない</w:t>
      </w:r>
    </w:p>
    <w:p>
      <w:r>
        <w:rPr>
          <w:rFonts w:ascii="Meiryo UI" w:hAnsi="Meiryo UI"/>
          <w:sz w:val="20"/>
        </w:rPr>
        <w:t>&gt; 最も保守的な試算（WACC=8.5%/g=1.0%）でも理論株価は¥2,900と現在値比+45%</w:t>
      </w:r>
    </w:p>
    <w:p/>
    <w:p>
      <w:pPr>
        <w:pStyle w:val="Heading3"/>
      </w:pPr>
      <w:r>
        <w:rPr>
          <w:rFonts w:ascii="Meiryo UI" w:hAnsi="Meiryo UI"/>
          <w:color w:val="2E74B5"/>
        </w:rPr>
        <w:t>9-3. 感応度分析の示唆</w:t>
      </w:r>
    </w:p>
    <w:p/>
    <w:p>
      <w:pPr>
        <w:shd w:val="clear" w:color="auto" w:fill="F2F2F2"/>
      </w:pPr>
      <w:r>
        <w:rPr>
          <w:rFonts w:ascii="Courier New" w:hAnsi="Courier New"/>
          <w:sz w:val="16"/>
        </w:rPr>
        <w:t>金利感応度の結論：</w:t>
        <w:br/>
        <w:t>1. Rfが±1.00%変動しても理論株価レンジは¥5,120〜¥9,680</w:t>
        <w:br/>
        <w:t>2. いずれのシナリオでも現在株価¥1,999を大幅に上回る</w:t>
        <w:br/>
        <w:t>3. 金利上昇リスク（Rf+1.00%）でも+156%の上昇余地が存在</w:t>
        <w:br/>
        <w:t>4. 最大リスクシナリオ（WACC=8.5%/g=1.0%）でも¥2,900（+45%）</w:t>
        <w:br/>
        <w:t>5. 現在株価¥1,999は金利上昇シナリオを含む全ケースで「割安」</w:t>
      </w:r>
    </w:p>
    <w:p/>
    <w:p>
      <w:r>
        <w:t>──────────────────────────────────────────────────</w:t>
      </w:r>
    </w:p>
    <w:p/>
    <w:p>
      <w:pPr>
        <w:pStyle w:val="Heading2"/>
      </w:pPr>
      <w:r>
        <w:rPr>
          <w:rFonts w:ascii="Meiryo UI" w:hAnsi="Meiryo UI"/>
          <w:color w:val="2E74B5"/>
        </w:rPr>
        <w:t>補論：前回誤謬の発生メカニズムと再発防止</w:t>
      </w:r>
    </w:p>
    <w:p/>
    <w:p>
      <w:pPr>
        <w:pStyle w:val="Heading3"/>
      </w:pPr>
      <w:r>
        <w:rPr>
          <w:rFonts w:ascii="Meiryo UI" w:hAnsi="Meiryo UI"/>
          <w:color w:val="2E74B5"/>
        </w:rPr>
        <w:t>誤謬の構造分析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工程</w:t>
            </w:r>
          </w:p>
        </w:tc>
        <w:tc>
          <w:tcPr>
            <w:tcW w:type="dxa" w:w="3135"/>
            <w:shd w:val="clear" w:color="auto" w:fill="2E74B5"/>
          </w:tcPr>
          <w:p>
            <w:r>
              <w:rPr>
                <w:rFonts w:ascii="Meiryo UI" w:hAnsi="Meiryo UI"/>
                <w:b/>
                <w:color w:val="FFFFFF"/>
                <w:sz w:val="18"/>
              </w:rPr>
              <w:t>問題</w:t>
            </w:r>
          </w:p>
        </w:tc>
        <w:tc>
          <w:tcPr>
            <w:tcW w:type="dxa" w:w="3135"/>
            <w:shd w:val="clear" w:color="auto" w:fill="2E74B5"/>
          </w:tcPr>
          <w:p>
            <w:r>
              <w:rPr>
                <w:rFonts w:ascii="Meiryo UI" w:hAnsi="Meiryo UI"/>
                <w:b/>
                <w:color w:val="FFFFFF"/>
                <w:sz w:val="18"/>
              </w:rPr>
              <w:t>教訓</w:t>
            </w:r>
          </w:p>
        </w:tc>
      </w:tr>
      <w:tr>
        <w:tc>
          <w:tcPr>
            <w:tcW w:type="dxa" w:w="3135"/>
          </w:tcPr>
          <w:p>
            <w:r>
              <w:rPr>
                <w:rFonts w:ascii="Meiryo UI" w:hAnsi="Meiryo UI"/>
                <w:sz w:val="18"/>
              </w:rPr>
              <w:t>データソース</w:t>
            </w:r>
          </w:p>
        </w:tc>
        <w:tc>
          <w:tcPr>
            <w:tcW w:type="dxa" w:w="3135"/>
          </w:tcPr>
          <w:p>
            <w:r>
              <w:rPr>
                <w:rFonts w:ascii="Meiryo UI" w:hAnsi="Meiryo UI"/>
                <w:sz w:val="18"/>
              </w:rPr>
              <w:t>学習データの古い財務情報を使用</w:t>
            </w:r>
          </w:p>
        </w:tc>
        <w:tc>
          <w:tcPr>
            <w:tcW w:type="dxa" w:w="3135"/>
          </w:tcPr>
          <w:p>
            <w:r>
              <w:rPr>
                <w:rFonts w:ascii="Meiryo UI" w:hAnsi="Meiryo UI"/>
                <w:sz w:val="18"/>
              </w:rPr>
              <w:t>必ずBloomberg確定値を第一次ソースとすること</w:t>
            </w:r>
          </w:p>
        </w:tc>
      </w:tr>
      <w:tr>
        <w:tc>
          <w:tcPr>
            <w:tcW w:type="dxa" w:w="3135"/>
            <w:shd w:val="clear" w:color="auto" w:fill="DDEBF7"/>
          </w:tcPr>
          <w:p>
            <w:r>
              <w:rPr>
                <w:rFonts w:ascii="Meiryo UI" w:hAnsi="Meiryo UI"/>
                <w:sz w:val="18"/>
              </w:rPr>
              <w:t>BPS算出</w:t>
            </w:r>
          </w:p>
        </w:tc>
        <w:tc>
          <w:tcPr>
            <w:tcW w:type="dxa" w:w="3135"/>
            <w:shd w:val="clear" w:color="auto" w:fill="DDEBF7"/>
          </w:tcPr>
          <w:p>
            <w:r>
              <w:rPr>
                <w:rFonts w:ascii="Meiryo UI" w:hAnsi="Meiryo UI"/>
                <w:sz w:val="18"/>
              </w:rPr>
              <w:t>株式数誤認（旧データ使用）→¥5,714</w:t>
            </w:r>
          </w:p>
        </w:tc>
        <w:tc>
          <w:tcPr>
            <w:tcW w:type="dxa" w:w="3135"/>
            <w:shd w:val="clear" w:color="auto" w:fill="DDEBF7"/>
          </w:tcPr>
          <w:p>
            <w:r>
              <w:rPr>
                <w:rFonts w:ascii="Meiryo UI" w:hAnsi="Meiryo UI"/>
                <w:sz w:val="18"/>
              </w:rPr>
              <w:t>BPS = Bloomberg直読値を使用。逆算禁止</w:t>
            </w:r>
          </w:p>
        </w:tc>
      </w:tr>
      <w:tr>
        <w:tc>
          <w:tcPr>
            <w:tcW w:type="dxa" w:w="3135"/>
          </w:tcPr>
          <w:p>
            <w:r>
              <w:rPr>
                <w:rFonts w:ascii="Meiryo UI" w:hAnsi="Meiryo UI"/>
                <w:sz w:val="18"/>
              </w:rPr>
              <w:t>PBR解釈</w:t>
            </w:r>
          </w:p>
        </w:tc>
        <w:tc>
          <w:tcPr>
            <w:tcW w:type="dxa" w:w="3135"/>
          </w:tcPr>
          <w:p>
            <w:r>
              <w:rPr>
                <w:rFonts w:ascii="Meiryo UI" w:hAnsi="Meiryo UI"/>
                <w:sz w:val="18"/>
              </w:rPr>
              <w:t>BPS水増し→PBR0.35という誤り → 「極度割安」の誤謬</w:t>
            </w:r>
          </w:p>
        </w:tc>
        <w:tc>
          <w:tcPr>
            <w:tcW w:type="dxa" w:w="3135"/>
          </w:tcPr>
          <w:p>
            <w:r>
              <w:rPr>
                <w:rFonts w:ascii="Meiryo UI" w:hAnsi="Meiryo UI"/>
                <w:sz w:val="18"/>
              </w:rPr>
              <w:t>PBR = 株価÷BPS(Bloomberg)で再計算確認</w:t>
            </w:r>
          </w:p>
        </w:tc>
      </w:tr>
      <w:tr>
        <w:tc>
          <w:tcPr>
            <w:tcW w:type="dxa" w:w="3135"/>
            <w:shd w:val="clear" w:color="auto" w:fill="DDEBF7"/>
          </w:tcPr>
          <w:p>
            <w:r>
              <w:rPr>
                <w:rFonts w:ascii="Meiryo UI" w:hAnsi="Meiryo UI"/>
                <w:sz w:val="18"/>
              </w:rPr>
              <w:t>純資産規模</w:t>
            </w:r>
          </w:p>
        </w:tc>
        <w:tc>
          <w:tcPr>
            <w:tcW w:type="dxa" w:w="3135"/>
            <w:shd w:val="clear" w:color="auto" w:fill="DDEBF7"/>
          </w:tcPr>
          <w:p>
            <w:r>
              <w:rPr>
                <w:rFonts w:ascii="Meiryo UI" w:hAnsi="Meiryo UI"/>
                <w:sz w:val="18"/>
              </w:rPr>
              <w:t>¥1,180億（架空）→財務規模全体の歪み</w:t>
            </w:r>
          </w:p>
        </w:tc>
        <w:tc>
          <w:tcPr>
            <w:tcW w:type="dxa" w:w="3135"/>
            <w:shd w:val="clear" w:color="auto" w:fill="DDEBF7"/>
          </w:tcPr>
          <w:p>
            <w:r>
              <w:rPr>
                <w:rFonts w:ascii="Meiryo UI" w:hAnsi="Meiryo UI"/>
                <w:sz w:val="18"/>
              </w:rPr>
              <w:t>純資産 = BPS × 株式数（公開情報）で確認</w:t>
            </w:r>
          </w:p>
        </w:tc>
      </w:tr>
    </w:tbl>
    <w:p/>
    <w:p>
      <w:pPr>
        <w:pStyle w:val="Heading3"/>
      </w:pPr>
      <w:r>
        <w:rPr>
          <w:rFonts w:ascii="Meiryo UI" w:hAnsi="Meiryo UI"/>
          <w:color w:val="2E74B5"/>
        </w:rPr>
        <w:t>再発防止プロセス</w:t>
      </w:r>
    </w:p>
    <w:p/>
    <w:p>
      <w:pPr>
        <w:shd w:val="clear" w:color="auto" w:fill="F2F2F2"/>
      </w:pPr>
      <w:r>
        <w:rPr>
          <w:rFonts w:ascii="Courier New" w:hAnsi="Courier New"/>
          <w:sz w:val="16"/>
        </w:rPr>
        <w:t>【深井チェックリスト（改訂版）】</w:t>
        <w:br/>
        <w:t>✅ Step1: Bloomberg確定値（BPS/PBR/ROE）を最初に固定</w:t>
        <w:br/>
        <w:t>✅ Step2: 株価 ÷ BPS = PBR で整合性チェック</w:t>
        <w:br/>
        <w:t>✅ Step3: BPS × 株式数 = 純資産 で規模感確認</w:t>
        <w:br/>
        <w:t>✅ Step4: 純資産 × ROE = 純利益 で収益性確認</w:t>
        <w:br/>
        <w:t>✅ Step5: 全数値の相互整合性を確認してからDCF実施</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w:t>
            </w:r>
          </w:p>
        </w:tc>
        <w:tc>
          <w:tcPr>
            <w:tcW w:type="dxa" w:w="4703"/>
          </w:tcPr>
          <w:p>
            <w:r>
              <w:rPr>
                <w:rFonts w:ascii="Meiryo UI" w:hAnsi="Meiryo UI"/>
                <w:sz w:val="18"/>
              </w:rPr>
              <w:t>東京鉄鋼（5445.T）</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¥1,999（2026/04/06）</w:t>
            </w:r>
          </w:p>
        </w:tc>
      </w:tr>
      <w:tr>
        <w:tc>
          <w:tcPr>
            <w:tcW w:type="dxa" w:w="4703"/>
          </w:tcPr>
          <w:p>
            <w:r>
              <w:rPr>
                <w:rFonts w:ascii="Meiryo UI" w:hAnsi="Meiryo UI"/>
                <w:sz w:val="18"/>
              </w:rPr>
              <w:t>Bloomberg確定BPS</w:t>
            </w:r>
          </w:p>
        </w:tc>
        <w:tc>
          <w:tcPr>
            <w:tcW w:type="dxa" w:w="4703"/>
          </w:tcPr>
          <w:p>
            <w:r>
              <w:rPr>
                <w:rFonts w:ascii="Meiryo UI" w:hAnsi="Meiryo UI"/>
                <w:sz w:val="18"/>
              </w:rPr>
              <w:t>¥2,430</w:t>
            </w:r>
          </w:p>
        </w:tc>
      </w:tr>
      <w:tr>
        <w:tc>
          <w:tcPr>
            <w:tcW w:type="dxa" w:w="4703"/>
            <w:shd w:val="clear" w:color="auto" w:fill="DDEBF7"/>
          </w:tcPr>
          <w:p>
            <w:r>
              <w:rPr>
                <w:rFonts w:ascii="Meiryo UI" w:hAnsi="Meiryo UI"/>
                <w:sz w:val="18"/>
              </w:rPr>
              <w:t>Bloomberg確定PBR</w:t>
            </w:r>
          </w:p>
        </w:tc>
        <w:tc>
          <w:tcPr>
            <w:tcW w:type="dxa" w:w="4703"/>
            <w:shd w:val="clear" w:color="auto" w:fill="DDEBF7"/>
          </w:tcPr>
          <w:p>
            <w:r>
              <w:rPr>
                <w:rFonts w:ascii="Meiryo UI" w:hAnsi="Meiryo UI"/>
                <w:sz w:val="18"/>
              </w:rPr>
              <w:t>0.82倍（適度割安〜適正水準）</w:t>
            </w:r>
          </w:p>
        </w:tc>
      </w:tr>
      <w:tr>
        <w:tc>
          <w:tcPr>
            <w:tcW w:type="dxa" w:w="4703"/>
          </w:tcPr>
          <w:p>
            <w:r>
              <w:rPr>
                <w:rFonts w:ascii="Meiryo UI" w:hAnsi="Meiryo UI"/>
                <w:sz w:val="18"/>
              </w:rPr>
              <w:t>Bloomberg確定ROE</w:t>
            </w:r>
          </w:p>
        </w:tc>
        <w:tc>
          <w:tcPr>
            <w:tcW w:type="dxa" w:w="4703"/>
          </w:tcPr>
          <w:p>
            <w:r>
              <w:rPr>
                <w:rFonts w:ascii="Meiryo UI" w:hAnsi="Meiryo UI"/>
                <w:sz w:val="18"/>
              </w:rPr>
              <w:t>15.7%</w:t>
            </w:r>
          </w:p>
        </w:tc>
      </w:tr>
      <w:tr>
        <w:tc>
          <w:tcPr>
            <w:tcW w:type="dxa" w:w="4703"/>
            <w:shd w:val="clear" w:color="auto" w:fill="DDEBF7"/>
          </w:tcPr>
          <w:p>
            <w:r>
              <w:rPr>
                <w:rFonts w:ascii="Meiryo UI" w:hAnsi="Meiryo UI"/>
                <w:sz w:val="18"/>
              </w:rPr>
              <w:t>DCF理論株価（基本）</w:t>
            </w:r>
          </w:p>
        </w:tc>
        <w:tc>
          <w:tcPr>
            <w:tcW w:type="dxa" w:w="4703"/>
            <w:shd w:val="clear" w:color="auto" w:fill="DDEBF7"/>
          </w:tcPr>
          <w:p>
            <w:r>
              <w:rPr>
                <w:rFonts w:ascii="Meiryo UI" w:hAnsi="Meiryo UI"/>
                <w:sz w:val="18"/>
              </w:rPr>
              <w:t>¥7,090</w:t>
            </w:r>
          </w:p>
        </w:tc>
      </w:tr>
      <w:tr>
        <w:tc>
          <w:tcPr>
            <w:tcW w:type="dxa" w:w="4703"/>
          </w:tcPr>
          <w:p>
            <w:r>
              <w:rPr>
                <w:rFonts w:ascii="Meiryo UI" w:hAnsi="Meiryo UI"/>
                <w:sz w:val="18"/>
              </w:rPr>
              <w:t>保守的目標株価</w:t>
            </w:r>
          </w:p>
        </w:tc>
        <w:tc>
          <w:tcPr>
            <w:tcW w:type="dxa" w:w="4703"/>
          </w:tcPr>
          <w:p>
            <w:r>
              <w:rPr>
                <w:rFonts w:ascii="Meiryo UI" w:hAnsi="Meiryo UI"/>
                <w:sz w:val="18"/>
              </w:rPr>
              <w:t>¥4,000〜¥5,000</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6.73%（Rf=2.380%/β=1.05/ERP=5.50%）</w:t>
            </w:r>
          </w:p>
        </w:tc>
      </w:tr>
      <w:tr>
        <w:tc>
          <w:tcPr>
            <w:tcW w:type="dxa" w:w="4703"/>
          </w:tcPr>
          <w:p>
            <w:r>
              <w:rPr>
                <w:rFonts w:ascii="Meiryo UI" w:hAnsi="Meiryo UI"/>
                <w:sz w:val="18"/>
              </w:rPr>
              <w:t>投資判断</w:t>
            </w:r>
          </w:p>
        </w:tc>
        <w:tc>
          <w:tcPr>
            <w:tcW w:type="dxa" w:w="4703"/>
          </w:tcPr>
          <w:p>
            <w:r>
              <w:rPr>
                <w:rFonts w:ascii="Meiryo UI" w:hAnsi="Meiryo UI"/>
                <w:sz w:val="18"/>
              </w:rPr>
              <w:t>BUY（買い）</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¥1,600（▲20.0%）</w:t>
            </w:r>
          </w:p>
        </w:tc>
      </w:tr>
      <w:tr>
        <w:tc>
          <w:tcPr>
            <w:tcW w:type="dxa" w:w="4703"/>
          </w:tcPr>
          <w:p>
            <w:r>
              <w:rPr>
                <w:rFonts w:ascii="Meiryo UI" w:hAnsi="Meiryo UI"/>
                <w:sz w:val="18"/>
              </w:rPr>
              <w:t>時間軸</w:t>
            </w:r>
          </w:p>
        </w:tc>
        <w:tc>
          <w:tcPr>
            <w:tcW w:type="dxa" w:w="4703"/>
          </w:tcPr>
          <w:p>
            <w:r>
              <w:rPr>
                <w:rFonts w:ascii="Meiryo UI" w:hAnsi="Meiryo UI"/>
                <w:sz w:val="18"/>
              </w:rPr>
              <w:t>中長期（12〜36ヶ月）</w:t>
            </w:r>
          </w:p>
        </w:tc>
      </w:tr>
      <w:tr>
        <w:tc>
          <w:tcPr>
            <w:tcW w:type="dxa" w:w="4703"/>
            <w:shd w:val="clear" w:color="auto" w:fill="DDEBF7"/>
          </w:tcPr>
          <w:p>
            <w:r>
              <w:rPr>
                <w:rFonts w:ascii="Meiryo UI" w:hAnsi="Meiryo UI"/>
                <w:sz w:val="18"/>
              </w:rPr>
              <w:t>上昇余地（DCF中央値）</w:t>
            </w:r>
          </w:p>
        </w:tc>
        <w:tc>
          <w:tcPr>
            <w:tcW w:type="dxa" w:w="4703"/>
            <w:shd w:val="clear" w:color="auto" w:fill="DDEBF7"/>
          </w:tcPr>
          <w:p>
            <w:r>
              <w:rPr>
                <w:rFonts w:ascii="Meiryo UI" w:hAnsi="Meiryo UI"/>
                <w:sz w:val="18"/>
              </w:rPr>
              <w:t>+150〜+254%</w:t>
            </w:r>
          </w:p>
        </w:tc>
      </w:tr>
    </w:tbl>
    <w:p/>
    <w:p>
      <w:r>
        <w:rPr>
          <w:rFonts w:ascii="Meiryo UI" w:hAnsi="Meiryo UI"/>
          <w:sz w:val="20"/>
        </w:rPr>
        <w:t>&gt; 深井コメント：</w:t>
      </w:r>
    </w:p>
    <w:p>
      <w:r>
        <w:rPr>
          <w:rFonts w:ascii="Meiryo UI" w:hAnsi="Meiryo UI"/>
          <w:sz w:val="20"/>
        </w:rPr>
        <w:t>&gt; Bloomberg確定値PBR=0.82・BPS=¥2,430・ROE=15.7%を唯一の起点として全面再計算を完了した。PBR0.82は「極度割安」ではなく「適度割安〜適正水準」であるが、ROE15.7%という高い収益力と純利益ベースPER5.24倍という低バリュエーションを考慮すると、現在株価¥1,999は収益力対比で明確にアンダーバリューであり、BUY判断を維持する。ただし鉄鋼セクターの景気敏感性・スクラップ/電力コストの変動リスクを考慮し、損切りライン¥1,600を厳守した規律あるポジション管理を推奨する。</w:t>
      </w:r>
    </w:p>
    <w:p/>
    <w:p>
      <w:r>
        <w:t>──────────────────────────────────────────────────</w:t>
      </w:r>
    </w:p>
    <w:p/>
    <w:p>
      <w:r>
        <w:rPr>
          <w:rFonts w:ascii="Meiryo UI" w:hAnsi="Meiryo UI"/>
          <w:sz w:val="20"/>
        </w:rPr>
        <w:t>本レポートは竹村トレードカンパニー内部使用目的で作成された分析資料です。投資判断は各自の責任において行ってください。Bloomberg確定値（2026/04/06）・JGB10Y 2.380%・WTI $111.91・ブレント $110.62・天然ガス $2.85を前提条件として使用。</w:t>
      </w:r>
    </w:p>
    <w:p/>
    <w:p>
      <w:r>
        <w:rPr>
          <w:rFonts w:ascii="Meiryo UI" w:hAnsi="Meiryo UI"/>
          <w:sz w:val="20"/>
        </w:rPr>
        <w:t>アナリスト：深井 | 作成日：2026年4月6日 | 次回レビュー：FY2025本決算発表後</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10:56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5445_東京鉄鋼【Blo_BUY_DeepResearch_20260406.md を出力しました。</w:t>
      </w:r>
    </w:p>
    <w:p>
      <w:r>
        <w:rPr>
          <w:rFonts w:ascii="Meiryo UI" w:hAnsi="Meiryo UI"/>
          <w:sz w:val="20"/>
        </w:rPr>
        <w:t>浅井スコア +0 の銘柄 [5445]東京鉄鋼【Bloomberg確定値全面再計算・PBR0.82・BPS¥2,430・ROE15.7%】 についてDeepResearch完了。</w:t>
      </w:r>
    </w:p>
    <w:p>
      <w:r>
        <w:rPr>
          <w:rFonts w:ascii="Meiryo UI" w:hAnsi="Meiryo UI"/>
          <w:sz w:val="20"/>
        </w:rPr>
        <w:t>使用Rf: 2.380%（取得: 2026-04-06 10:56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