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[5801] 古河電工</w:t>
      </w:r>
    </w:p>
    <w:p/>
    <w:p/>
    <w:p>
      <w:pPr>
        <w:jc w:val="center"/>
      </w:pPr>
      <w:r>
        <w:rPr>
          <w:rFonts w:ascii="Meiryo UI" w:hAnsi="Meiryo UI"/>
          <w:sz w:val="24"/>
        </w:rPr>
        <w:t>アナリスト：深井</w:t>
      </w:r>
    </w:p>
    <w:p>
      <w:pPr>
        <w:jc w:val="center"/>
      </w:pPr>
      <w:r>
        <w:rPr>
          <w:rFonts w:ascii="Meiryo UI" w:hAnsi="Meiryo UI"/>
          <w:sz w:val="24"/>
        </w:rPr>
        <w:t>分析日：2026-04-05</w:t>
      </w:r>
    </w:p>
    <w:p>
      <w:r>
        <w:br w:type="page"/>
      </w:r>
    </w:p>
    <w:p>
      <w:pPr>
        <w:pStyle w:val="Heading1"/>
      </w:pPr>
      <w:r>
        <w:rPr>
          <w:rFonts w:ascii="Meiryo UI" w:hAnsi="Meiryo UI"/>
          <w:color w:val="1F3864"/>
        </w:rPr>
        <w:t>深井 DeepResearchレポート — [5801] 古河電工</w:t>
      </w:r>
    </w:p>
    <w:p>
      <w:r>
        <w:rPr>
          <w:rFonts w:ascii="Meiryo UI" w:hAnsi="Meiryo UI"/>
          <w:sz w:val="20"/>
        </w:rPr>
        <w:t>作成日: 2026-04-05  |  アナリスト: 深井  |  分類: BUY</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古河電工（5801）DeepResearchレポート</w:t>
      </w:r>
    </w:p>
    <w:p>
      <w:pPr>
        <w:pStyle w:val="Heading2"/>
      </w:pPr>
      <w:r>
        <w:rPr>
          <w:rFonts w:ascii="Meiryo UI" w:hAnsi="Meiryo UI"/>
          <w:color w:val="2E74B5"/>
        </w:rPr>
        <w:t>竹村トレードカンパニー / アナリスト：深井</w:t>
      </w:r>
    </w:p>
    <w:p>
      <w:pPr>
        <w:pStyle w:val="Heading3"/>
      </w:pPr>
      <w:r>
        <w:rPr>
          <w:rFonts w:ascii="Meiryo UI" w:hAnsi="Meiryo UI"/>
          <w:color w:val="2E74B5"/>
        </w:rPr>
        <w:t>分析日：2026年4月5日 | 不労ハント#1本命</w:t>
      </w:r>
    </w:p>
    <w:p/>
    <w:p>
      <w:r>
        <w:t>──────────────────────────────────────────────────</w:t>
      </w:r>
    </w:p>
    <w:p/>
    <w:p>
      <w:r>
        <w:rPr>
          <w:rFonts w:ascii="Meiryo UI" w:hAnsi="Meiryo UI"/>
          <w:sz w:val="20"/>
        </w:rPr>
        <w:t>&gt; ⚠️ 重要前提確認</w:t>
      </w:r>
    </w:p>
    <w:p>
      <w:r>
        <w:rPr>
          <w:rFonts w:ascii="Meiryo UI" w:hAnsi="Meiryo UI"/>
          <w:sz w:val="20"/>
        </w:rPr>
        <w:t>&gt; Rf = 2.380%（JGB10Y、2026-04-05 17:34 JST 社長確認値）</w:t>
      </w:r>
    </w:p>
    <w:p>
      <w:r>
        <w:rPr>
          <w:rFonts w:ascii="Meiryo UI" w:hAnsi="Meiryo UI"/>
          <w:sz w:val="20"/>
        </w:rPr>
        <w:t>&gt; 本レポートの全バリュエーション計算は当該レートを絶対基準として使用する。</w:t>
      </w:r>
    </w:p>
    <w:p/>
    <w:p>
      <w:r>
        <w:t>──────────────────────────────────────────────────</w:t>
      </w:r>
    </w:p>
    <w:p/>
    <w:p>
      <w:pPr>
        <w:pStyle w:val="Heading2"/>
      </w:pPr>
      <w:r>
        <w:rPr>
          <w:rFonts w:ascii="Meiryo UI" w:hAnsi="Meiryo UI"/>
          <w:color w:val="2E74B5"/>
        </w:rPr>
        <w:t>目次</w:t>
      </w:r>
    </w:p>
    <w:p>
      <w:pPr>
        <w:pStyle w:val="ListNumber"/>
      </w:pPr>
      <w:r>
        <w:rPr>
          <w:rFonts w:ascii="Meiryo UI" w:hAnsi="Meiryo UI"/>
          <w:sz w:val="20"/>
        </w:rPr>
        <w:t>企業概要・事業分析</w:t>
      </w:r>
    </w:p>
    <w:p>
      <w:pPr>
        <w:pStyle w:val="ListNumber"/>
      </w:pPr>
      <w:r>
        <w:rPr>
          <w:rFonts w:ascii="Meiryo UI" w:hAnsi="Meiryo UI"/>
          <w:sz w:val="20"/>
        </w:rPr>
        <w:t>【最重点】社長指示：PBR割れの本質的要因と触媒分析</w:t>
      </w:r>
    </w:p>
    <w:p>
      <w:pPr>
        <w:pStyle w:val="ListNumber"/>
      </w:pPr>
      <w:r>
        <w:rPr>
          <w:rFonts w:ascii="Meiryo UI" w:hAnsi="Meiryo UI"/>
          <w:sz w:val="20"/>
        </w:rPr>
        <w:t>財務ハイライト</w:t>
      </w:r>
    </w:p>
    <w:p>
      <w:pPr>
        <w:pStyle w:val="ListNumber"/>
      </w:pPr>
      <w:r>
        <w:rPr>
          <w:rFonts w:ascii="Meiryo UI" w:hAnsi="Meiryo UI"/>
          <w:sz w:val="20"/>
        </w:rPr>
        <w:t>DCFバリュエーション（前提全明記）</w:t>
      </w:r>
    </w:p>
    <w:p>
      <w:pPr>
        <w:pStyle w:val="ListNumber"/>
      </w:pPr>
      <w:r>
        <w:rPr>
          <w:rFonts w:ascii="Meiryo UI" w:hAnsi="Meiryo UI"/>
          <w:sz w:val="20"/>
        </w:rPr>
        <w:t>理論株価と投資判断</w:t>
      </w:r>
    </w:p>
    <w:p>
      <w:pPr>
        <w:pStyle w:val="ListNumber"/>
      </w:pPr>
      <w:r>
        <w:rPr>
          <w:rFonts w:ascii="Meiryo UI" w:hAnsi="Meiryo UI"/>
          <w:sz w:val="20"/>
        </w:rPr>
        <w:t>メインシナリオ vs リスクシナリオ（3ケース）</w:t>
      </w:r>
    </w:p>
    <w:p>
      <w:pPr>
        <w:pStyle w:val="ListNumber"/>
      </w:pPr>
      <w:r>
        <w:rPr>
          <w:rFonts w:ascii="Meiryo UI" w:hAnsi="Meiryo UI"/>
          <w:sz w:val="20"/>
        </w:rPr>
        <w:t>浅井速報との統合評価</w:t>
      </w:r>
    </w:p>
    <w:p>
      <w:pPr>
        <w:pStyle w:val="ListNumber"/>
      </w:pPr>
      <w:r>
        <w:rPr>
          <w:rFonts w:ascii="Meiryo UI" w:hAnsi="Meiryo UI"/>
          <w:sz w:val="20"/>
        </w:rPr>
        <w:t>社長への推奨アクション</w:t>
      </w:r>
    </w:p>
    <w:p>
      <w:pPr>
        <w:pStyle w:val="ListNumber"/>
      </w:pPr>
      <w:r>
        <w:rPr>
          <w:rFonts w:ascii="Meiryo UI" w:hAnsi="Meiryo UI"/>
          <w:sz w:val="20"/>
        </w:rPr>
        <w:t>金利感応度分析（Sensitivity Analysis）</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会社プロフィール</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銘柄名</w:t>
            </w:r>
          </w:p>
        </w:tc>
        <w:tc>
          <w:tcPr>
            <w:tcW w:type="dxa" w:w="4703"/>
          </w:tcPr>
          <w:p>
            <w:r>
              <w:rPr>
                <w:rFonts w:ascii="Meiryo UI" w:hAnsi="Meiryo UI"/>
                <w:sz w:val="18"/>
              </w:rPr>
              <w:t>古河電気工業株式会社</w:t>
            </w:r>
          </w:p>
        </w:tc>
      </w:tr>
      <w:tr>
        <w:tc>
          <w:tcPr>
            <w:tcW w:type="dxa" w:w="4703"/>
            <w:shd w:val="clear" w:color="auto" w:fill="DDEBF7"/>
          </w:tcPr>
          <w:p>
            <w:r>
              <w:rPr>
                <w:rFonts w:ascii="Meiryo UI" w:hAnsi="Meiryo UI"/>
                <w:sz w:val="18"/>
              </w:rPr>
              <w:t>ティッカー</w:t>
            </w:r>
          </w:p>
        </w:tc>
        <w:tc>
          <w:tcPr>
            <w:tcW w:type="dxa" w:w="4703"/>
            <w:shd w:val="clear" w:color="auto" w:fill="DDEBF7"/>
          </w:tcPr>
          <w:p>
            <w:r>
              <w:rPr>
                <w:rFonts w:ascii="Meiryo UI" w:hAnsi="Meiryo UI"/>
                <w:sz w:val="18"/>
              </w:rPr>
              <w:t>5801（東証プライム）</w:t>
            </w:r>
          </w:p>
        </w:tc>
      </w:tr>
      <w:tr>
        <w:tc>
          <w:tcPr>
            <w:tcW w:type="dxa" w:w="4703"/>
          </w:tcPr>
          <w:p>
            <w:r>
              <w:rPr>
                <w:rFonts w:ascii="Meiryo UI" w:hAnsi="Meiryo UI"/>
                <w:sz w:val="18"/>
              </w:rPr>
              <w:t>設立</w:t>
            </w:r>
          </w:p>
        </w:tc>
        <w:tc>
          <w:tcPr>
            <w:tcW w:type="dxa" w:w="4703"/>
          </w:tcPr>
          <w:p>
            <w:r>
              <w:rPr>
                <w:rFonts w:ascii="Meiryo UI" w:hAnsi="Meiryo UI"/>
                <w:sz w:val="18"/>
              </w:rPr>
              <w:t>1884年（創業140年超）</w:t>
            </w:r>
          </w:p>
        </w:tc>
      </w:tr>
      <w:tr>
        <w:tc>
          <w:tcPr>
            <w:tcW w:type="dxa" w:w="4703"/>
            <w:shd w:val="clear" w:color="auto" w:fill="DDEBF7"/>
          </w:tcPr>
          <w:p>
            <w:r>
              <w:rPr>
                <w:rFonts w:ascii="Meiryo UI" w:hAnsi="Meiryo UI"/>
                <w:sz w:val="18"/>
              </w:rPr>
              <w:t>時価総額（概算）</w:t>
            </w:r>
          </w:p>
        </w:tc>
        <w:tc>
          <w:tcPr>
            <w:tcW w:type="dxa" w:w="4703"/>
            <w:shd w:val="clear" w:color="auto" w:fill="DDEBF7"/>
          </w:tcPr>
          <w:p>
            <w:r>
              <w:rPr>
                <w:rFonts w:ascii="Meiryo UI" w:hAnsi="Meiryo UI"/>
                <w:sz w:val="18"/>
              </w:rPr>
              <w:t>約4,500〜5,000億円</w:t>
            </w:r>
          </w:p>
        </w:tc>
      </w:tr>
      <w:tr>
        <w:tc>
          <w:tcPr>
            <w:tcW w:type="dxa" w:w="4703"/>
          </w:tcPr>
          <w:p>
            <w:r>
              <w:rPr>
                <w:rFonts w:ascii="Meiryo UI" w:hAnsi="Meiryo UI"/>
                <w:sz w:val="18"/>
              </w:rPr>
              <w:t>従業員数</w:t>
            </w:r>
          </w:p>
        </w:tc>
        <w:tc>
          <w:tcPr>
            <w:tcW w:type="dxa" w:w="4703"/>
          </w:tcPr>
          <w:p>
            <w:r>
              <w:rPr>
                <w:rFonts w:ascii="Meiryo UI" w:hAnsi="Meiryo UI"/>
                <w:sz w:val="18"/>
              </w:rPr>
              <w:t>連結約55,000名</w:t>
            </w:r>
          </w:p>
        </w:tc>
      </w:tr>
      <w:tr>
        <w:tc>
          <w:tcPr>
            <w:tcW w:type="dxa" w:w="4703"/>
            <w:shd w:val="clear" w:color="auto" w:fill="DDEBF7"/>
          </w:tcPr>
          <w:p>
            <w:r>
              <w:rPr>
                <w:rFonts w:ascii="Meiryo UI" w:hAnsi="Meiryo UI"/>
                <w:sz w:val="18"/>
              </w:rPr>
              <w:t>主力事業</w:t>
            </w:r>
          </w:p>
        </w:tc>
        <w:tc>
          <w:tcPr>
            <w:tcW w:type="dxa" w:w="4703"/>
            <w:shd w:val="clear" w:color="auto" w:fill="DDEBF7"/>
          </w:tcPr>
          <w:p>
            <w:r>
              <w:rPr>
                <w:rFonts w:ascii="Meiryo UI" w:hAnsi="Meiryo UI"/>
                <w:sz w:val="18"/>
              </w:rPr>
              <w:t>電線・ケーブル、情報通信・光ファイバー、電装・電池材料</w:t>
            </w:r>
          </w:p>
        </w:tc>
      </w:tr>
      <w:tr>
        <w:tc>
          <w:tcPr>
            <w:tcW w:type="dxa" w:w="4703"/>
          </w:tcPr>
          <w:p>
            <w:r>
              <w:rPr>
                <w:rFonts w:ascii="Meiryo UI" w:hAnsi="Meiryo UI"/>
                <w:sz w:val="18"/>
              </w:rPr>
              <w:t>主要株主</w:t>
            </w:r>
          </w:p>
        </w:tc>
        <w:tc>
          <w:tcPr>
            <w:tcW w:type="dxa" w:w="4703"/>
          </w:tcPr>
          <w:p>
            <w:r>
              <w:rPr>
                <w:rFonts w:ascii="Meiryo UI" w:hAnsi="Meiryo UI"/>
                <w:sz w:val="18"/>
              </w:rPr>
              <w:t>古河機械金属、住友商事系持合</w:t>
            </w:r>
          </w:p>
        </w:tc>
      </w:tr>
    </w:tbl>
    <w:p/>
    <w:p>
      <w:pPr>
        <w:pStyle w:val="Heading3"/>
      </w:pPr>
      <w:r>
        <w:rPr>
          <w:rFonts w:ascii="Meiryo UI" w:hAnsi="Meiryo UI"/>
          <w:color w:val="2E74B5"/>
        </w:rPr>
        <w:t>1.2 セグメント構成（FY2025実績ベース推定）</w:t>
      </w:r>
    </w:p>
    <w:p/>
    <w:p>
      <w:pPr>
        <w:shd w:val="clear" w:color="auto" w:fill="F2F2F2"/>
      </w:pPr>
      <w:r>
        <w:rPr>
          <w:rFonts w:ascii="Courier New" w:hAnsi="Courier New"/>
          <w:sz w:val="16"/>
        </w:rPr>
        <w:t>売上高構成（約1兆1,000億円）</w:t>
        <w:br/>
        <w:t>├── インフラ事業（電力ケーブル・電線）         約35%  ←国内電力インフラ主軸</w:t>
        <w:br/>
        <w:t>├── 情報通信ソリューション（光ファイバー等）   約25%  ←AI DC需要核心</w:t>
        <w:br/>
        <w:t>├── エレクトロニクス・電装（電解銅箔等）       約22%  ←EV電池材料主軸</w:t>
        <w:br/>
        <w:t>├── 自動車部品（ワイヤーハーネス等）           約13%  ←海外製造拠点</w:t>
        <w:br/>
        <w:t>└── その他・不動産等                           約 5%</w:t>
      </w:r>
    </w:p>
    <w:p/>
    <w:p>
      <w:r>
        <w:rPr>
          <w:rFonts w:ascii="Meiryo UI" w:hAnsi="Meiryo UI"/>
          <w:sz w:val="20"/>
        </w:rPr>
        <w:t>事業別収益性概観（営業利益率）：</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セグメント</w:t>
            </w:r>
          </w:p>
        </w:tc>
        <w:tc>
          <w:tcPr>
            <w:tcW w:type="dxa" w:w="2351"/>
            <w:shd w:val="clear" w:color="auto" w:fill="2E74B5"/>
          </w:tcPr>
          <w:p>
            <w:r>
              <w:rPr>
                <w:rFonts w:ascii="Meiryo UI" w:hAnsi="Meiryo UI"/>
                <w:b/>
                <w:color w:val="FFFFFF"/>
                <w:sz w:val="18"/>
              </w:rPr>
              <w:t>売上比率</w:t>
            </w:r>
          </w:p>
        </w:tc>
        <w:tc>
          <w:tcPr>
            <w:tcW w:type="dxa" w:w="2351"/>
            <w:shd w:val="clear" w:color="auto" w:fill="2E74B5"/>
          </w:tcPr>
          <w:p>
            <w:r>
              <w:rPr>
                <w:rFonts w:ascii="Meiryo UI" w:hAnsi="Meiryo UI"/>
                <w:b/>
                <w:color w:val="FFFFFF"/>
                <w:sz w:val="18"/>
              </w:rPr>
              <w:t>営業利益率（推定）</w:t>
            </w:r>
          </w:p>
        </w:tc>
        <w:tc>
          <w:tcPr>
            <w:tcW w:type="dxa" w:w="2351"/>
            <w:shd w:val="clear" w:color="auto" w:fill="2E74B5"/>
          </w:tcPr>
          <w:p>
            <w:r>
              <w:rPr>
                <w:rFonts w:ascii="Meiryo UI" w:hAnsi="Meiryo UI"/>
                <w:b/>
                <w:color w:val="FFFFFF"/>
                <w:sz w:val="18"/>
              </w:rPr>
              <w:t>注目度</w:t>
            </w:r>
          </w:p>
        </w:tc>
      </w:tr>
      <w:tr>
        <w:tc>
          <w:tcPr>
            <w:tcW w:type="dxa" w:w="2351"/>
          </w:tcPr>
          <w:p>
            <w:r>
              <w:rPr>
                <w:rFonts w:ascii="Meiryo UI" w:hAnsi="Meiryo UI"/>
                <w:sz w:val="18"/>
              </w:rPr>
              <w:t>インフラ（電力）</w:t>
            </w:r>
          </w:p>
        </w:tc>
        <w:tc>
          <w:tcPr>
            <w:tcW w:type="dxa" w:w="2351"/>
          </w:tcPr>
          <w:p>
            <w:r>
              <w:rPr>
                <w:rFonts w:ascii="Meiryo UI" w:hAnsi="Meiryo UI"/>
                <w:sz w:val="18"/>
              </w:rPr>
              <w:t>35%</w:t>
            </w:r>
          </w:p>
        </w:tc>
        <w:tc>
          <w:tcPr>
            <w:tcW w:type="dxa" w:w="2351"/>
          </w:tcPr>
          <w:p>
            <w:r>
              <w:rPr>
                <w:rFonts w:ascii="Meiryo UI" w:hAnsi="Meiryo UI"/>
                <w:sz w:val="18"/>
              </w:rPr>
              <w:t>4〜6%</w:t>
            </w:r>
          </w:p>
        </w:tc>
        <w:tc>
          <w:tcPr>
            <w:tcW w:type="dxa" w:w="2351"/>
          </w:tcPr>
          <w:p>
            <w:r>
              <w:rPr>
                <w:rFonts w:ascii="Meiryo UI" w:hAnsi="Meiryo UI"/>
                <w:sz w:val="18"/>
              </w:rPr>
              <w:t>★★★ 国内再エネ需要</w:t>
            </w:r>
          </w:p>
        </w:tc>
      </w:tr>
      <w:tr>
        <w:tc>
          <w:tcPr>
            <w:tcW w:type="dxa" w:w="2351"/>
            <w:shd w:val="clear" w:color="auto" w:fill="DDEBF7"/>
          </w:tcPr>
          <w:p>
            <w:r>
              <w:rPr>
                <w:rFonts w:ascii="Meiryo UI" w:hAnsi="Meiryo UI"/>
                <w:sz w:val="18"/>
              </w:rPr>
              <w:t>情報通信・光ファイバー</w:t>
            </w:r>
          </w:p>
        </w:tc>
        <w:tc>
          <w:tcPr>
            <w:tcW w:type="dxa" w:w="2351"/>
            <w:shd w:val="clear" w:color="auto" w:fill="DDEBF7"/>
          </w:tcPr>
          <w:p>
            <w:r>
              <w:rPr>
                <w:rFonts w:ascii="Meiryo UI" w:hAnsi="Meiryo UI"/>
                <w:sz w:val="18"/>
              </w:rPr>
              <w:t>25%</w:t>
            </w:r>
          </w:p>
        </w:tc>
        <w:tc>
          <w:tcPr>
            <w:tcW w:type="dxa" w:w="2351"/>
            <w:shd w:val="clear" w:color="auto" w:fill="DDEBF7"/>
          </w:tcPr>
          <w:p>
            <w:r>
              <w:rPr>
                <w:rFonts w:ascii="Meiryo UI" w:hAnsi="Meiryo UI"/>
                <w:sz w:val="18"/>
              </w:rPr>
              <w:t>8〜12%</w:t>
            </w:r>
          </w:p>
        </w:tc>
        <w:tc>
          <w:tcPr>
            <w:tcW w:type="dxa" w:w="2351"/>
            <w:shd w:val="clear" w:color="auto" w:fill="DDEBF7"/>
          </w:tcPr>
          <w:p>
            <w:r>
              <w:rPr>
                <w:rFonts w:ascii="Meiryo UI" w:hAnsi="Meiryo UI"/>
                <w:sz w:val="18"/>
              </w:rPr>
              <w:t>★★★★★ AI DC急拡大</w:t>
            </w:r>
          </w:p>
        </w:tc>
      </w:tr>
      <w:tr>
        <w:tc>
          <w:tcPr>
            <w:tcW w:type="dxa" w:w="2351"/>
          </w:tcPr>
          <w:p>
            <w:r>
              <w:rPr>
                <w:rFonts w:ascii="Meiryo UI" w:hAnsi="Meiryo UI"/>
                <w:sz w:val="18"/>
              </w:rPr>
              <w:t>電解銅箔・電装</w:t>
            </w:r>
          </w:p>
        </w:tc>
        <w:tc>
          <w:tcPr>
            <w:tcW w:type="dxa" w:w="2351"/>
          </w:tcPr>
          <w:p>
            <w:r>
              <w:rPr>
                <w:rFonts w:ascii="Meiryo UI" w:hAnsi="Meiryo UI"/>
                <w:sz w:val="18"/>
              </w:rPr>
              <w:t>22%</w:t>
            </w:r>
          </w:p>
        </w:tc>
        <w:tc>
          <w:tcPr>
            <w:tcW w:type="dxa" w:w="2351"/>
          </w:tcPr>
          <w:p>
            <w:r>
              <w:rPr>
                <w:rFonts w:ascii="Meiryo UI" w:hAnsi="Meiryo UI"/>
                <w:sz w:val="18"/>
              </w:rPr>
              <w:t>3〜8%</w:t>
            </w:r>
          </w:p>
        </w:tc>
        <w:tc>
          <w:tcPr>
            <w:tcW w:type="dxa" w:w="2351"/>
          </w:tcPr>
          <w:p>
            <w:r>
              <w:rPr>
                <w:rFonts w:ascii="Meiryo UI" w:hAnsi="Meiryo UI"/>
                <w:sz w:val="18"/>
              </w:rPr>
              <w:t>★★★★★ EV電池材</w:t>
            </w:r>
          </w:p>
        </w:tc>
      </w:tr>
      <w:tr>
        <w:tc>
          <w:tcPr>
            <w:tcW w:type="dxa" w:w="2351"/>
            <w:shd w:val="clear" w:color="auto" w:fill="DDEBF7"/>
          </w:tcPr>
          <w:p>
            <w:r>
              <w:rPr>
                <w:rFonts w:ascii="Meiryo UI" w:hAnsi="Meiryo UI"/>
                <w:sz w:val="18"/>
              </w:rPr>
              <w:t>自動車部品</w:t>
            </w:r>
          </w:p>
        </w:tc>
        <w:tc>
          <w:tcPr>
            <w:tcW w:type="dxa" w:w="2351"/>
            <w:shd w:val="clear" w:color="auto" w:fill="DDEBF7"/>
          </w:tcPr>
          <w:p>
            <w:r>
              <w:rPr>
                <w:rFonts w:ascii="Meiryo UI" w:hAnsi="Meiryo UI"/>
                <w:sz w:val="18"/>
              </w:rPr>
              <w:t>13%</w:t>
            </w:r>
          </w:p>
        </w:tc>
        <w:tc>
          <w:tcPr>
            <w:tcW w:type="dxa" w:w="2351"/>
            <w:shd w:val="clear" w:color="auto" w:fill="DDEBF7"/>
          </w:tcPr>
          <w:p>
            <w:r>
              <w:rPr>
                <w:rFonts w:ascii="Meiryo UI" w:hAnsi="Meiryo UI"/>
                <w:sz w:val="18"/>
              </w:rPr>
              <w:t>2〜4%</w:t>
            </w:r>
          </w:p>
        </w:tc>
        <w:tc>
          <w:tcPr>
            <w:tcW w:type="dxa" w:w="2351"/>
            <w:shd w:val="clear" w:color="auto" w:fill="DDEBF7"/>
          </w:tcPr>
          <w:p>
            <w:r>
              <w:rPr>
                <w:rFonts w:ascii="Meiryo UI" w:hAnsi="Meiryo UI"/>
                <w:sz w:val="18"/>
              </w:rPr>
              <w:t>★★ 構造的逆風</w:t>
            </w:r>
          </w:p>
        </w:tc>
      </w:tr>
      <w:tr>
        <w:tc>
          <w:tcPr>
            <w:tcW w:type="dxa" w:w="2351"/>
          </w:tcPr>
          <w:p>
            <w:r>
              <w:rPr>
                <w:rFonts w:ascii="Meiryo UI" w:hAnsi="Meiryo UI"/>
                <w:sz w:val="18"/>
              </w:rPr>
              <w:t>その他</w:t>
            </w:r>
          </w:p>
        </w:tc>
        <w:tc>
          <w:tcPr>
            <w:tcW w:type="dxa" w:w="2351"/>
          </w:tcPr>
          <w:p>
            <w:r>
              <w:rPr>
                <w:rFonts w:ascii="Meiryo UI" w:hAnsi="Meiryo UI"/>
                <w:sz w:val="18"/>
              </w:rPr>
              <w:t>5%</w:t>
            </w:r>
          </w:p>
        </w:tc>
        <w:tc>
          <w:tcPr>
            <w:tcW w:type="dxa" w:w="2351"/>
          </w:tcPr>
          <w:p>
            <w:r>
              <w:rPr>
                <w:rFonts w:ascii="Meiryo UI" w:hAnsi="Meiryo UI"/>
                <w:sz w:val="18"/>
              </w:rPr>
              <w:t>N/A</w:t>
            </w:r>
          </w:p>
        </w:tc>
        <w:tc>
          <w:tcPr>
            <w:tcW w:type="dxa" w:w="2351"/>
          </w:tcPr>
          <w:p>
            <w:r>
              <w:rPr>
                <w:rFonts w:ascii="Meiryo UI" w:hAnsi="Meiryo UI"/>
                <w:sz w:val="18"/>
              </w:rPr>
              <w:t>★</w:t>
            </w:r>
          </w:p>
        </w:tc>
      </w:tr>
    </w:tbl>
    <w:p/>
    <w:p>
      <w:pPr>
        <w:pStyle w:val="Heading3"/>
      </w:pPr>
      <w:r>
        <w:rPr>
          <w:rFonts w:ascii="Meiryo UI" w:hAnsi="Meiryo UI"/>
          <w:color w:val="2E74B5"/>
        </w:rPr>
        <w:t>1.3 競合優位性の構造分析</w:t>
      </w:r>
    </w:p>
    <w:p/>
    <w:p>
      <w:r>
        <w:rPr>
          <w:rFonts w:ascii="Meiryo UI" w:hAnsi="Meiryo UI"/>
          <w:sz w:val="20"/>
        </w:rPr>
        <w:t>① 電解銅箔：国内最大・グローバル上位</w:t>
      </w:r>
    </w:p>
    <w:p>
      <w:pPr>
        <w:pStyle w:val="ListBullet"/>
      </w:pPr>
      <w:r>
        <w:rPr>
          <w:rFonts w:ascii="Meiryo UI" w:hAnsi="Meiryo UI"/>
          <w:sz w:val="20"/>
        </w:rPr>
        <w:t>EV二次電池（リチウムイオン電池）の負極集電体に不可欠</w:t>
      </w:r>
    </w:p>
    <w:p>
      <w:pPr>
        <w:pStyle w:val="ListBullet"/>
      </w:pPr>
      <w:r>
        <w:rPr>
          <w:rFonts w:ascii="Meiryo UI" w:hAnsi="Meiryo UI"/>
          <w:sz w:val="20"/>
        </w:rPr>
        <w:t>極薄化（6μm以下）の製造技術は参入障壁が極めて高い</w:t>
      </w:r>
    </w:p>
    <w:p>
      <w:pPr>
        <w:pStyle w:val="ListBullet"/>
      </w:pPr>
      <w:r>
        <w:rPr>
          <w:rFonts w:ascii="Meiryo UI" w:hAnsi="Meiryo UI"/>
          <w:sz w:val="20"/>
        </w:rPr>
        <w:t>主要顧客：パナソニック・LGエネルギーソリューション・国内主要電池メーカー</w:t>
      </w:r>
    </w:p>
    <w:p>
      <w:pPr>
        <w:pStyle w:val="ListBullet"/>
      </w:pPr>
      <w:r>
        <w:rPr>
          <w:rFonts w:ascii="Meiryo UI" w:hAnsi="Meiryo UI"/>
          <w:sz w:val="20"/>
        </w:rPr>
        <w:t>競合：福田金属箔粉、JX金属、韓国SKネクシリス</w:t>
      </w:r>
    </w:p>
    <w:p/>
    <w:p>
      <w:r>
        <w:rPr>
          <w:rFonts w:ascii="Meiryo UI" w:hAnsi="Meiryo UI"/>
          <w:sz w:val="20"/>
        </w:rPr>
        <w:t>② 光ファイバー：住友電工・フジクラとの国内3強</w:t>
      </w:r>
    </w:p>
    <w:p>
      <w:pPr>
        <w:pStyle w:val="ListBullet"/>
      </w:pPr>
      <w:r>
        <w:rPr>
          <w:rFonts w:ascii="Meiryo UI" w:hAnsi="Meiryo UI"/>
          <w:sz w:val="20"/>
        </w:rPr>
        <w:t>AI向けデータセンター建設ラッシュで光ファイバー需要は2030年まで年率10〜15%成長予測</w:t>
      </w:r>
    </w:p>
    <w:p>
      <w:pPr>
        <w:pStyle w:val="ListBullet"/>
      </w:pPr>
      <w:r>
        <w:rPr>
          <w:rFonts w:ascii="Meiryo UI" w:hAnsi="Meiryo UI"/>
          <w:sz w:val="20"/>
        </w:rPr>
        <w:t>北米・アジアへの輸出も拡大局面</w:t>
      </w:r>
    </w:p>
    <w:p>
      <w:pPr>
        <w:pStyle w:val="ListBullet"/>
      </w:pPr>
      <w:r>
        <w:rPr>
          <w:rFonts w:ascii="Meiryo UI" w:hAnsi="Meiryo UI"/>
          <w:sz w:val="20"/>
        </w:rPr>
        <w:t>独自のVAD（気相軸付け堆積）工法による高品質プリフォーム製造</w:t>
      </w:r>
    </w:p>
    <w:p/>
    <w:p>
      <w:r>
        <w:rPr>
          <w:rFonts w:ascii="Meiryo UI" w:hAnsi="Meiryo UI"/>
          <w:sz w:val="20"/>
        </w:rPr>
        <w:t>③ 超高圧電力ケーブル：参入障壁の高さ</w:t>
      </w:r>
    </w:p>
    <w:p>
      <w:pPr>
        <w:pStyle w:val="ListBullet"/>
      </w:pPr>
      <w:r>
        <w:rPr>
          <w:rFonts w:ascii="Meiryo UI" w:hAnsi="Meiryo UI"/>
          <w:sz w:val="20"/>
        </w:rPr>
        <w:t>海底ケーブル・洋上風力向け需要が欧米で急増</w:t>
      </w:r>
    </w:p>
    <w:p>
      <w:pPr>
        <w:pStyle w:val="ListBullet"/>
      </w:pPr>
      <w:r>
        <w:rPr>
          <w:rFonts w:ascii="Meiryo UI" w:hAnsi="Meiryo UI"/>
          <w:sz w:val="20"/>
        </w:rPr>
        <w:t>国内での洋上風力接続工事においても古河電工のポジションは強固</w:t>
      </w:r>
    </w:p>
    <w:p/>
    <w:p>
      <w:pPr>
        <w:pStyle w:val="Heading3"/>
      </w:pPr>
      <w:r>
        <w:rPr>
          <w:rFonts w:ascii="Meiryo UI" w:hAnsi="Meiryo UI"/>
          <w:color w:val="2E74B5"/>
        </w:rPr>
        <w:t>1.4 直近カタリスト（2026年視点）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時間軸</w:t>
            </w:r>
          </w:p>
        </w:tc>
        <w:tc>
          <w:tcPr>
            <w:tcW w:type="dxa" w:w="3135"/>
            <w:shd w:val="clear" w:color="auto" w:fill="2E74B5"/>
          </w:tcPr>
          <w:p>
            <w:r>
              <w:rPr>
                <w:rFonts w:ascii="Meiryo UI" w:hAnsi="Meiryo UI"/>
                <w:b/>
                <w:color w:val="FFFFFF"/>
                <w:sz w:val="18"/>
              </w:rPr>
              <w:t>インパクト</w:t>
            </w:r>
          </w:p>
        </w:tc>
      </w:tr>
      <w:tr>
        <w:tc>
          <w:tcPr>
            <w:tcW w:type="dxa" w:w="3135"/>
          </w:tcPr>
          <w:p>
            <w:r>
              <w:rPr>
                <w:rFonts w:ascii="Meiryo UI" w:hAnsi="Meiryo UI"/>
                <w:sz w:val="18"/>
              </w:rPr>
              <w:t>AI DC建設ラッシュ（北米・アジア）→光ファイバー受注急増</w:t>
            </w:r>
          </w:p>
        </w:tc>
        <w:tc>
          <w:tcPr>
            <w:tcW w:type="dxa" w:w="3135"/>
          </w:tcPr>
          <w:p>
            <w:r>
              <w:rPr>
                <w:rFonts w:ascii="Meiryo UI" w:hAnsi="Meiryo UI"/>
                <w:sz w:val="18"/>
              </w:rPr>
              <w:t>即時〜2年</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EV普及加速→電解銅箔の生産能力増強投資効果</w:t>
            </w:r>
          </w:p>
        </w:tc>
        <w:tc>
          <w:tcPr>
            <w:tcW w:type="dxa" w:w="3135"/>
            <w:shd w:val="clear" w:color="auto" w:fill="DDEBF7"/>
          </w:tcPr>
          <w:p>
            <w:r>
              <w:rPr>
                <w:rFonts w:ascii="Meiryo UI" w:hAnsi="Meiryo UI"/>
                <w:sz w:val="18"/>
              </w:rPr>
              <w:t>1〜3年</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国内電力インフラ更新需要（老朽設備置換）</w:t>
            </w:r>
          </w:p>
        </w:tc>
        <w:tc>
          <w:tcPr>
            <w:tcW w:type="dxa" w:w="3135"/>
          </w:tcPr>
          <w:p>
            <w:r>
              <w:rPr>
                <w:rFonts w:ascii="Meiryo UI" w:hAnsi="Meiryo UI"/>
                <w:sz w:val="18"/>
              </w:rPr>
              <w:t>2〜5年</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洋上風力・再エネ接続用海底ケーブル受注</w:t>
            </w:r>
          </w:p>
        </w:tc>
        <w:tc>
          <w:tcPr>
            <w:tcW w:type="dxa" w:w="3135"/>
            <w:shd w:val="clear" w:color="auto" w:fill="DDEBF7"/>
          </w:tcPr>
          <w:p>
            <w:r>
              <w:rPr>
                <w:rFonts w:ascii="Meiryo UI" w:hAnsi="Meiryo UI"/>
                <w:sz w:val="18"/>
              </w:rPr>
              <w:t>2〜4年</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中期経営計画（2024〜2026）ROE改善公約</w:t>
            </w:r>
          </w:p>
        </w:tc>
        <w:tc>
          <w:tcPr>
            <w:tcW w:type="dxa" w:w="3135"/>
          </w:tcPr>
          <w:p>
            <w:r>
              <w:rPr>
                <w:rFonts w:ascii="Meiryo UI" w:hAnsi="Meiryo UI"/>
                <w:sz w:val="18"/>
              </w:rPr>
              <w:t>即時〜2年</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政策保有株式の売却・資本効率改善</w:t>
            </w:r>
          </w:p>
        </w:tc>
        <w:tc>
          <w:tcPr>
            <w:tcW w:type="dxa" w:w="3135"/>
            <w:shd w:val="clear" w:color="auto" w:fill="DDEBF7"/>
          </w:tcPr>
          <w:p>
            <w:r>
              <w:rPr>
                <w:rFonts w:ascii="Meiryo UI" w:hAnsi="Meiryo UI"/>
                <w:sz w:val="18"/>
              </w:rPr>
              <w:t>即時〜3年</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日銀利上げ局面での年金・インフラ株再評価</w:t>
            </w:r>
          </w:p>
        </w:tc>
        <w:tc>
          <w:tcPr>
            <w:tcW w:type="dxa" w:w="3135"/>
          </w:tcPr>
          <w:p>
            <w:r>
              <w:rPr>
                <w:rFonts w:ascii="Meiryo UI" w:hAnsi="Meiryo UI"/>
                <w:sz w:val="18"/>
              </w:rPr>
              <w:t>6ヶ月〜2年</w:t>
            </w:r>
          </w:p>
        </w:tc>
        <w:tc>
          <w:tcPr>
            <w:tcW w:type="dxa" w:w="3135"/>
          </w:tcPr>
          <w:p>
            <w:r>
              <w:rPr>
                <w:rFonts w:ascii="Meiryo UI" w:hAnsi="Meiryo UI"/>
                <w:sz w:val="18"/>
              </w:rPr>
              <w:t>★★★</w:t>
            </w:r>
          </w:p>
        </w:tc>
      </w:tr>
    </w:tbl>
    <w:p/>
    <w:p>
      <w:r>
        <w:t>──────────────────────────────────────────────────</w:t>
      </w:r>
    </w:p>
    <w:p/>
    <w:p>
      <w:pPr>
        <w:pStyle w:val="Heading2"/>
      </w:pPr>
      <w:r>
        <w:rPr>
          <w:rFonts w:ascii="Meiryo UI" w:hAnsi="Meiryo UI"/>
          <w:color w:val="2E74B5"/>
        </w:rPr>
        <w:t>2. 【最重点】社長指示：PBR割れの本質的要因と触媒分析</w:t>
      </w:r>
    </w:p>
    <w:p/>
    <w:p>
      <w:r>
        <w:rPr>
          <w:rFonts w:ascii="Meiryo UI" w:hAnsi="Meiryo UI"/>
          <w:sz w:val="20"/>
        </w:rPr>
        <w:t>&gt; 「不労suggestion・最高確度評価。PBR割れの本質的要因と触媒を最重点で分析せよ」</w:t>
      </w:r>
    </w:p>
    <w:p/>
    <w:p>
      <w:pPr>
        <w:pStyle w:val="Heading3"/>
      </w:pPr>
      <w:r>
        <w:rPr>
          <w:rFonts w:ascii="Meiryo UI" w:hAnsi="Meiryo UI"/>
          <w:color w:val="2E74B5"/>
        </w:rPr>
        <w:t>2.1 現状：PBR 0.6〜0.7倍の"構造的"割安</w:t>
      </w:r>
    </w:p>
    <w:p/>
    <w:p>
      <w:pPr>
        <w:shd w:val="clear" w:color="auto" w:fill="F2F2F2"/>
      </w:pPr>
      <w:r>
        <w:rPr>
          <w:rFonts w:ascii="Courier New" w:hAnsi="Courier New"/>
          <w:sz w:val="16"/>
        </w:rPr>
        <w:t>現在株価（想定）：  約2,400〜2,600円</w:t>
        <w:br/>
        <w:t>BPS（1株純資産）：  約3,600〜4,000円</w:t>
        <w:br/>
        <w:t>PBR：               約0.63〜0.68倍</w:t>
      </w:r>
    </w:p>
    <w:p/>
    <w:p>
      <w:r>
        <w:rPr>
          <w:rFonts w:ascii="Meiryo UI" w:hAnsi="Meiryo UI"/>
          <w:sz w:val="20"/>
        </w:rPr>
        <w:t>PBR1倍回復時の潜在リターン：約47〜59%のアップサイド</w:t>
      </w:r>
    </w:p>
    <w:p>
      <w:r>
        <w:rPr>
          <w:rFonts w:ascii="Meiryo UI" w:hAnsi="Meiryo UI"/>
          <w:sz w:val="20"/>
        </w:rPr>
        <w:t>（これがそのまま深井の「安全域」の逆算ベースになる）</w:t>
      </w:r>
    </w:p>
    <w:p/>
    <w:p>
      <w:r>
        <w:t>──────────────────────────────────────────────────</w:t>
      </w:r>
    </w:p>
    <w:p/>
    <w:p>
      <w:pPr>
        <w:pStyle w:val="Heading3"/>
      </w:pPr>
      <w:r>
        <w:rPr>
          <w:rFonts w:ascii="Meiryo UI" w:hAnsi="Meiryo UI"/>
          <w:color w:val="2E74B5"/>
        </w:rPr>
        <w:t>2.2 PBR割れの本質的要因（構造・慢性的）</w:t>
      </w:r>
    </w:p>
    <w:p/>
    <w:p>
      <w:pPr>
        <w:pStyle w:val="Heading4"/>
      </w:pPr>
      <w:r>
        <w:rPr>
          <w:rFonts w:ascii="Meiryo UI" w:hAnsi="Meiryo UI"/>
          <w:color w:val="2E74B5"/>
        </w:rPr>
        <w:t>【要因A】ROEの慢性的な低位（最重要因）</w:t>
      </w:r>
    </w:p>
    <w:p/>
    <w:p>
      <w:pPr>
        <w:shd w:val="clear" w:color="auto" w:fill="F2F2F2"/>
      </w:pPr>
      <w:r>
        <w:rPr>
          <w:rFonts w:ascii="Courier New" w:hAnsi="Courier New"/>
          <w:sz w:val="16"/>
        </w:rPr>
        <w:t>ROE推移（推定）：</w:t>
        <w:br/>
        <w:t>FY2020: 4.2%</w:t>
        <w:br/>
        <w:t>FY2021: 5.1%</w:t>
        <w:br/>
        <w:t>FY2022: 6.8%</w:t>
        <w:br/>
        <w:t>FY2023: 7.2%</w:t>
        <w:br/>
        <w:t>FY2024: 6.5%（銅価格・円安効果剥落）</w:t>
        <w:br/>
        <w:t>FY2025E: 7.0〜8.0%</w:t>
      </w:r>
    </w:p>
    <w:p/>
    <w:p>
      <w:pPr>
        <w:pStyle w:val="ListBullet"/>
      </w:pPr>
      <w:r>
        <w:rPr>
          <w:rFonts w:ascii="Meiryo UI" w:hAnsi="Meiryo UI"/>
          <w:sz w:val="20"/>
        </w:rPr>
        <w:t>PBR = ROE / (株主資本コスト Re)の関係式が示す通り</w:t>
      </w:r>
    </w:p>
    <w:p>
      <w:pPr>
        <w:pStyle w:val="ListBullet"/>
      </w:pPr>
      <w:r>
        <w:rPr>
          <w:rFonts w:ascii="Meiryo UI" w:hAnsi="Meiryo UI"/>
          <w:sz w:val="20"/>
        </w:rPr>
        <w:t>Re（株主資本コスト）を仮に8.5〜9%と見ると、ROE 7%では PBR = 7%/9% ≈ 0.78倍が「適正」</w:t>
      </w:r>
    </w:p>
    <w:p>
      <w:pPr>
        <w:pStyle w:val="ListBullet"/>
      </w:pPr>
      <w:r>
        <w:rPr>
          <w:rFonts w:ascii="Meiryo UI" w:hAnsi="Meiryo UI"/>
          <w:sz w:val="20"/>
        </w:rPr>
        <w:t>ROEが株主資本コストを恒常的に下回ってきた結果、市場がディスカウントして評価</w:t>
      </w:r>
    </w:p>
    <w:p>
      <w:pPr>
        <w:pStyle w:val="ListBullet"/>
      </w:pPr>
      <w:r>
        <w:rPr>
          <w:rFonts w:ascii="Meiryo UI" w:hAnsi="Meiryo UI"/>
          <w:sz w:val="20"/>
        </w:rPr>
        <w:t>古河電工のROEを押し下げる3大構造：</w:t>
      </w:r>
    </w:p>
    <w:p>
      <w:pPr>
        <w:pStyle w:val="ListNumber"/>
      </w:pPr>
      <w:r>
        <w:rPr>
          <w:rFonts w:ascii="Meiryo UI" w:hAnsi="Meiryo UI"/>
          <w:sz w:val="20"/>
        </w:rPr>
        <w:t>過剰な自己資本（純資産が厚すぎる）＝資本効率の悪さ</w:t>
      </w:r>
    </w:p>
    <w:p>
      <w:pPr>
        <w:pStyle w:val="ListNumber"/>
      </w:pPr>
      <w:r>
        <w:rPr>
          <w:rFonts w:ascii="Meiryo UI" w:hAnsi="Meiryo UI"/>
          <w:sz w:val="20"/>
        </w:rPr>
        <w:t>低採算セグメント（自動車部品・ワイヤーハーネス）の収益ドラッグ</w:t>
      </w:r>
    </w:p>
    <w:p>
      <w:pPr>
        <w:pStyle w:val="ListNumber"/>
      </w:pPr>
      <w:r>
        <w:rPr>
          <w:rFonts w:ascii="Meiryo UI" w:hAnsi="Meiryo UI"/>
          <w:sz w:val="20"/>
        </w:rPr>
        <w:t>政策保有株式の大量保有（含み益は帳簿価値を押し上げるが収益に貢献しない）</w:t>
      </w:r>
    </w:p>
    <w:p/>
    <w:p>
      <w:pPr>
        <w:pStyle w:val="Heading4"/>
      </w:pPr>
      <w:r>
        <w:rPr>
          <w:rFonts w:ascii="Meiryo UI" w:hAnsi="Meiryo UI"/>
          <w:color w:val="2E74B5"/>
        </w:rPr>
        <w:t>【要因B】コングロマリット・ディスカウント</w:t>
      </w:r>
    </w:p>
    <w:p/>
    <w:p>
      <w:pPr>
        <w:pStyle w:val="ListBullet"/>
      </w:pPr>
      <w:r>
        <w:rPr>
          <w:rFonts w:ascii="Meiryo UI" w:hAnsi="Meiryo UI"/>
          <w:sz w:val="20"/>
        </w:rPr>
        <w:t>電線・光ファイバー・銅箔・自動車部品と、多岐にわたる事業が混在</w:t>
      </w:r>
    </w:p>
    <w:p>
      <w:pPr>
        <w:pStyle w:val="ListBullet"/>
      </w:pPr>
      <w:r>
        <w:rPr>
          <w:rFonts w:ascii="Meiryo UI" w:hAnsi="Meiryo UI"/>
          <w:sz w:val="20"/>
        </w:rPr>
        <w:t>投資家からは「何屋か分からない」複合企業として評価されやすい</w:t>
      </w:r>
    </w:p>
    <w:p>
      <w:pPr>
        <w:pStyle w:val="ListBullet"/>
      </w:pPr>
      <w:r>
        <w:rPr>
          <w:rFonts w:ascii="Meiryo UI" w:hAnsi="Meiryo UI"/>
          <w:sz w:val="20"/>
        </w:rPr>
        <w:t>高成長セグメント（光ファイバー・銅箔）の価値が、低採算セグメントに埋もれる構造</w:t>
      </w:r>
    </w:p>
    <w:p>
      <w:pPr>
        <w:pStyle w:val="ListBullet"/>
      </w:pPr>
      <w:r>
        <w:rPr>
          <w:rFonts w:ascii="Meiryo UI" w:hAnsi="Meiryo UI"/>
          <w:sz w:val="20"/>
        </w:rPr>
        <w:t>住友電工・フジクラ・日立製作所等と比較した際に、ピュアプレイヤーへの資金移動が発生しやすい</w:t>
      </w:r>
    </w:p>
    <w:p/>
    <w:p>
      <w:pPr>
        <w:pStyle w:val="Heading4"/>
      </w:pPr>
      <w:r>
        <w:rPr>
          <w:rFonts w:ascii="Meiryo UI" w:hAnsi="Meiryo UI"/>
          <w:color w:val="2E74B5"/>
        </w:rPr>
        <w:t>【要因C】政策保有株式の重石**</w:t>
      </w:r>
    </w:p>
    <w:p/>
    <w:p>
      <w:pPr>
        <w:pStyle w:val="ListBullet"/>
      </w:pPr>
      <w:r>
        <w:rPr>
          <w:rFonts w:ascii="Meiryo UI" w:hAnsi="Meiryo UI"/>
          <w:sz w:val="20"/>
        </w:rPr>
        <w:t>古河グループは伝統的な持ち合い構造を維持</w:t>
      </w:r>
    </w:p>
    <w:p>
      <w:pPr>
        <w:pStyle w:val="ListBullet"/>
      </w:pPr>
      <w:r>
        <w:rPr>
          <w:rFonts w:ascii="Meiryo UI" w:hAnsi="Meiryo UI"/>
          <w:sz w:val="20"/>
        </w:rPr>
        <w:t>BSに内包される政策保有株（帳簿価値数百億円）が「隠れた非効率資産」として認識</w:t>
      </w:r>
    </w:p>
    <w:p>
      <w:pPr>
        <w:pStyle w:val="ListBullet"/>
      </w:pPr>
      <w:r>
        <w:rPr>
          <w:rFonts w:ascii="Meiryo UI" w:hAnsi="Meiryo UI"/>
          <w:sz w:val="20"/>
        </w:rPr>
        <w:t>東証のPBR1倍要請（2023年〜）に対する対応ペースが競合比で遅い印象</w:t>
      </w:r>
    </w:p>
    <w:p>
      <w:pPr>
        <w:pStyle w:val="ListBullet"/>
      </w:pPr>
      <w:r>
        <w:rPr>
          <w:rFonts w:ascii="Meiryo UI" w:hAnsi="Meiryo UI"/>
          <w:sz w:val="20"/>
        </w:rPr>
        <w:t>ROEへの影響：分母（自己資本）の水増し効果でROEが実態より低く見える</w:t>
      </w:r>
    </w:p>
    <w:p/>
    <w:p>
      <w:pPr>
        <w:pStyle w:val="Heading4"/>
      </w:pPr>
      <w:r>
        <w:rPr>
          <w:rFonts w:ascii="Meiryo UI" w:hAnsi="Meiryo UI"/>
          <w:color w:val="2E74B5"/>
        </w:rPr>
        <w:t>【要因D】銅価格ボラティリティによるEPS不安定性</w:t>
      </w:r>
    </w:p>
    <w:p/>
    <w:p>
      <w:pPr>
        <w:pStyle w:val="ListBullet"/>
      </w:pPr>
      <w:r>
        <w:rPr>
          <w:rFonts w:ascii="Meiryo UI" w:hAnsi="Meiryo UI"/>
          <w:sz w:val="20"/>
        </w:rPr>
        <w:t>銅価格（LME銅）の変動が売上高・仕入コスト双方に影響</w:t>
      </w:r>
    </w:p>
    <w:p>
      <w:pPr>
        <w:pStyle w:val="ListBullet"/>
      </w:pPr>
      <w:r>
        <w:rPr>
          <w:rFonts w:ascii="Meiryo UI" w:hAnsi="Meiryo UI"/>
          <w:sz w:val="20"/>
        </w:rPr>
        <w:t>FY毎に業績のブレ幅が大きく、長期DCFの前提が立てにくい</w:t>
      </w:r>
    </w:p>
    <w:p>
      <w:pPr>
        <w:pStyle w:val="ListBullet"/>
      </w:pPr>
      <w:r>
        <w:rPr>
          <w:rFonts w:ascii="Meiryo UI" w:hAnsi="Meiryo UI"/>
          <w:sz w:val="20"/>
        </w:rPr>
        <w:t>機関投資家が「割引率を保守的に設定せざるを得ない」構造</w:t>
      </w:r>
    </w:p>
    <w:p/>
    <w:p>
      <w:pPr>
        <w:pStyle w:val="Heading4"/>
      </w:pPr>
      <w:r>
        <w:rPr>
          <w:rFonts w:ascii="Meiryo UI" w:hAnsi="Meiryo UI"/>
          <w:color w:val="2E74B5"/>
        </w:rPr>
        <w:t>【要因E】自動車部品（ワイヤーハーネス）の構造的逆風</w:t>
      </w:r>
    </w:p>
    <w:p/>
    <w:p>
      <w:pPr>
        <w:pStyle w:val="ListBullet"/>
      </w:pPr>
      <w:r>
        <w:rPr>
          <w:rFonts w:ascii="Meiryo UI" w:hAnsi="Meiryo UI"/>
          <w:sz w:val="20"/>
        </w:rPr>
        <w:t>EV化に伴いワイヤーハーネスの設計が変化（銅線量の減少・構造簡素化）</w:t>
      </w:r>
    </w:p>
    <w:p>
      <w:pPr>
        <w:pStyle w:val="ListBullet"/>
      </w:pPr>
      <w:r>
        <w:rPr>
          <w:rFonts w:ascii="Meiryo UI" w:hAnsi="Meiryo UI"/>
          <w:sz w:val="20"/>
        </w:rPr>
        <w:t>海外の低コスト競合（住友電工・ヤザキ・レオニ等）との価格競争</w:t>
      </w:r>
    </w:p>
    <w:p>
      <w:pPr>
        <w:pStyle w:val="ListBullet"/>
      </w:pPr>
      <w:r>
        <w:rPr>
          <w:rFonts w:ascii="Meiryo UI" w:hAnsi="Meiryo UI"/>
          <w:sz w:val="20"/>
        </w:rPr>
        <w:t>市場はこの事業を「バリュー破壊」事業として評価</w:t>
      </w:r>
    </w:p>
    <w:p/>
    <w:p>
      <w:r>
        <w:t>──────────────────────────────────────────────────</w:t>
      </w:r>
    </w:p>
    <w:p/>
    <w:p>
      <w:pPr>
        <w:pStyle w:val="Heading3"/>
      </w:pPr>
      <w:r>
        <w:rPr>
          <w:rFonts w:ascii="Meiryo UI" w:hAnsi="Meiryo UI"/>
          <w:color w:val="2E74B5"/>
        </w:rPr>
        <w:t>2.3 PBR回復の触媒（Catalyst）分析</w:t>
      </w:r>
    </w:p>
    <w:p/>
    <w:p>
      <w:pPr>
        <w:pStyle w:val="Heading4"/>
      </w:pPr>
      <w:r>
        <w:rPr>
          <w:rFonts w:ascii="Meiryo UI" w:hAnsi="Meiryo UI"/>
          <w:color w:val="2E74B5"/>
        </w:rPr>
        <w:t>【触媒1：最強】AI・DC需要爆発による光ファイバー・銅箔利益急拡大</w:t>
      </w:r>
    </w:p>
    <w:p/>
    <w:p>
      <w:pPr>
        <w:shd w:val="clear" w:color="auto" w:fill="F2F2F2"/>
      </w:pPr>
      <w:r>
        <w:rPr>
          <w:rFonts w:ascii="Courier New" w:hAnsi="Courier New"/>
          <w:sz w:val="16"/>
        </w:rPr>
        <w:t>光ファイバー市場成長予測（グローバル）：</w:t>
        <w:br/>
        <w:t>2024: 約1.2兆円</w:t>
        <w:br/>
        <w:t>2027E: 約1.8兆円（CAGR +14%）</w:t>
        <w:br/>
        <w:t>2030E: 約2.6兆円（CAGR +13%）</w:t>
        <w:br/>
        <w:br/>
        <w:t>AI DC1棟あたりの光ファイバー消費量：</w:t>
        <w:br/>
        <w:t>従来型DC比 約3〜5倍</w:t>
      </w:r>
    </w:p>
    <w:p/>
    <w:p>
      <w:pPr>
        <w:pStyle w:val="ListBullet"/>
      </w:pPr>
      <w:r>
        <w:rPr>
          <w:rFonts w:ascii="Meiryo UI" w:hAnsi="Meiryo UI"/>
          <w:sz w:val="20"/>
        </w:rPr>
        <w:t>深井試算：光ファイバー部門の売上が+20〜30%成長すれば、営業利益が連結ベースで+200〜400億円のインパクト</w:t>
      </w:r>
    </w:p>
    <w:p>
      <w:pPr>
        <w:pStyle w:val="ListBullet"/>
      </w:pPr>
      <w:r>
        <w:rPr>
          <w:rFonts w:ascii="Meiryo UI" w:hAnsi="Meiryo UI"/>
          <w:sz w:val="20"/>
        </w:rPr>
        <w:t>この利益成長がROEを9〜10%台に押し上げれば、PBRの正当化水準が一気に1.0〜1.2倍へ</w:t>
      </w:r>
    </w:p>
    <w:p>
      <w:pPr>
        <w:pStyle w:val="ListBullet"/>
      </w:pPr>
      <w:r>
        <w:rPr>
          <w:rFonts w:ascii="Meiryo UI" w:hAnsi="Meiryo UI"/>
          <w:sz w:val="20"/>
        </w:rPr>
        <w:t>重要シグナル：住友電工・フジクラが既に大幅株高→古河電工への「出遅れ買い」が情報機関の間で静かに蓄積（浅井コメント示唆）</w:t>
      </w:r>
    </w:p>
    <w:p/>
    <w:p>
      <w:pPr>
        <w:pStyle w:val="Heading4"/>
      </w:pPr>
      <w:r>
        <w:rPr>
          <w:rFonts w:ascii="Meiryo UI" w:hAnsi="Meiryo UI"/>
          <w:color w:val="2E74B5"/>
        </w:rPr>
        <w:t>【触媒2：強】東証PBR改善要請×中計ROE公約</w:t>
      </w:r>
    </w:p>
    <w:p/>
    <w:p>
      <w:pPr>
        <w:pStyle w:val="ListBullet"/>
      </w:pPr>
      <w:r>
        <w:rPr>
          <w:rFonts w:ascii="Meiryo UI" w:hAnsi="Meiryo UI"/>
          <w:sz w:val="20"/>
        </w:rPr>
        <w:t>東証は2025年以降もPBR1倍未満企業への改善要求を継続・強化</w:t>
      </w:r>
    </w:p>
    <w:p>
      <w:pPr>
        <w:pStyle w:val="ListBullet"/>
      </w:pPr>
      <w:r>
        <w:rPr>
          <w:rFonts w:ascii="Meiryo UI" w:hAnsi="Meiryo UI"/>
          <w:sz w:val="20"/>
        </w:rPr>
        <w:t>古河電工の中期経営計画（2024〜2026）ではROE8%以上を公約</w:t>
      </w:r>
    </w:p>
    <w:p>
      <w:pPr>
        <w:pStyle w:val="ListBullet"/>
      </w:pPr>
      <w:r>
        <w:rPr>
          <w:rFonts w:ascii="Meiryo UI" w:hAnsi="Meiryo UI"/>
          <w:sz w:val="20"/>
        </w:rPr>
        <w:t>自社株買い・増配・政策保有株売却の組み合わせが「PBR修復トリガー」</w:t>
      </w:r>
    </w:p>
    <w:p>
      <w:pPr>
        <w:pStyle w:val="ListBullet"/>
      </w:pPr>
      <w:r>
        <w:rPr>
          <w:rFonts w:ascii="Meiryo UI" w:hAnsi="Meiryo UI"/>
          <w:sz w:val="20"/>
        </w:rPr>
        <w:t>直近確認事項（2025〜2026）：</w:t>
      </w:r>
    </w:p>
    <w:p>
      <w:pPr>
        <w:pStyle w:val="ListBullet"/>
      </w:pPr>
      <w:r>
        <w:rPr>
          <w:rFonts w:ascii="Meiryo UI" w:hAnsi="Meiryo UI"/>
          <w:sz w:val="20"/>
        </w:rPr>
        <w:t>自社株買い実施（数十億円規模）</w:t>
      </w:r>
    </w:p>
    <w:p>
      <w:pPr>
        <w:pStyle w:val="ListBullet"/>
      </w:pPr>
      <w:r>
        <w:rPr>
          <w:rFonts w:ascii="Meiryo UI" w:hAnsi="Meiryo UI"/>
          <w:sz w:val="20"/>
        </w:rPr>
        <w:t>政策保有株売却の段階的実施</w:t>
      </w:r>
    </w:p>
    <w:p>
      <w:pPr>
        <w:pStyle w:val="ListBullet"/>
      </w:pPr>
      <w:r>
        <w:rPr>
          <w:rFonts w:ascii="Meiryo UI" w:hAnsi="Meiryo UI"/>
          <w:sz w:val="20"/>
        </w:rPr>
        <w:t>配当性向引き上げ公表</w:t>
      </w:r>
    </w:p>
    <w:p/>
    <w:p>
      <w:pPr>
        <w:pStyle w:val="Heading4"/>
      </w:pPr>
      <w:r>
        <w:rPr>
          <w:rFonts w:ascii="Meiryo UI" w:hAnsi="Meiryo UI"/>
          <w:color w:val="2E74B5"/>
        </w:rPr>
        <w:t>【触媒3：強】EV電解銅箔の需給逼迫</w:t>
      </w:r>
    </w:p>
    <w:p/>
    <w:p>
      <w:pPr>
        <w:pStyle w:val="ListBullet"/>
      </w:pPr>
      <w:r>
        <w:rPr>
          <w:rFonts w:ascii="Meiryo UI" w:hAnsi="Meiryo UI"/>
          <w:sz w:val="20"/>
        </w:rPr>
        <w:t>全固体電池移行前の現行リチウムイオン電池需要は2030年まで高水準継続</w:t>
      </w:r>
    </w:p>
    <w:p>
      <w:pPr>
        <w:pStyle w:val="ListBullet"/>
      </w:pPr>
      <w:r>
        <w:rPr>
          <w:rFonts w:ascii="Meiryo UI" w:hAnsi="Meiryo UI"/>
          <w:sz w:val="20"/>
        </w:rPr>
        <w:t>中国メーカー（猛図電子等）の価格攻勢はあるが、日・韓系顧客の品質要求で古河電工の優位性は保持</w:t>
      </w:r>
    </w:p>
    <w:p>
      <w:pPr>
        <w:pStyle w:val="ListBullet"/>
      </w:pPr>
      <w:r>
        <w:rPr>
          <w:rFonts w:ascii="Meiryo UI" w:hAnsi="Meiryo UI"/>
          <w:sz w:val="20"/>
        </w:rPr>
        <w:t>生産能力増強投資（三重工場等）の効果が2025〜2026年に本格的に売上貢献</w:t>
      </w:r>
    </w:p>
    <w:p/>
    <w:p>
      <w:pPr>
        <w:pStyle w:val="Heading4"/>
      </w:pPr>
      <w:r>
        <w:rPr>
          <w:rFonts w:ascii="Meiryo UI" w:hAnsi="Meiryo UI"/>
          <w:color w:val="2E74B5"/>
        </w:rPr>
        <w:t>【触媒4：中】洋上風力・再エネ電力ケーブル受注</w:t>
      </w:r>
    </w:p>
    <w:p/>
    <w:p>
      <w:pPr>
        <w:pStyle w:val="ListBullet"/>
      </w:pPr>
      <w:r>
        <w:rPr>
          <w:rFonts w:ascii="Meiryo UI" w:hAnsi="Meiryo UI"/>
          <w:sz w:val="20"/>
        </w:rPr>
        <w:t>政府の洋上風力60GW計画（2040年）に向けた海底ケーブル需要</w:t>
      </w:r>
    </w:p>
    <w:p>
      <w:pPr>
        <w:pStyle w:val="ListBullet"/>
      </w:pPr>
      <w:r>
        <w:rPr>
          <w:rFonts w:ascii="Meiryo UI" w:hAnsi="Meiryo UI"/>
          <w:sz w:val="20"/>
        </w:rPr>
        <w:t>古河電工は九州沖・秋田沖案件で入札参加実績</w:t>
      </w:r>
    </w:p>
    <w:p>
      <w:pPr>
        <w:pStyle w:val="ListBullet"/>
      </w:pPr>
      <w:r>
        <w:rPr>
          <w:rFonts w:ascii="Meiryo UI" w:hAnsi="Meiryo UI"/>
          <w:sz w:val="20"/>
        </w:rPr>
        <w:t>受注確定ニュースが株価の即時カタリストになりやすい</w:t>
      </w:r>
    </w:p>
    <w:p/>
    <w:p>
      <w:pPr>
        <w:pStyle w:val="Heading4"/>
      </w:pPr>
      <w:r>
        <w:rPr>
          <w:rFonts w:ascii="Meiryo UI" w:hAnsi="Meiryo UI"/>
          <w:color w:val="2E74B5"/>
        </w:rPr>
        <w:t>【触媒5：中】銅価格上昇局面でのラグ効果</w:t>
      </w:r>
    </w:p>
    <w:p/>
    <w:p>
      <w:pPr>
        <w:pStyle w:val="ListBullet"/>
      </w:pPr>
      <w:r>
        <w:rPr>
          <w:rFonts w:ascii="Meiryo UI" w:hAnsi="Meiryo UI"/>
          <w:sz w:val="20"/>
        </w:rPr>
        <w:t>銅価格上昇→仕入コスト上昇→数ヶ月後に製品価格転嫁が成功する局面</w:t>
      </w:r>
    </w:p>
    <w:p>
      <w:pPr>
        <w:pStyle w:val="ListBullet"/>
      </w:pPr>
      <w:r>
        <w:rPr>
          <w:rFonts w:ascii="Meiryo UI" w:hAnsi="Meiryo UI"/>
          <w:sz w:val="20"/>
        </w:rPr>
        <w:t>現在の銅価格水準（LME 9,000〜10,000ドル/t）は古河電工にとって概ねニュートラル〜ポジティブ</w:t>
      </w:r>
    </w:p>
    <w:p>
      <w:pPr>
        <w:pStyle w:val="ListBullet"/>
      </w:pPr>
      <w:r>
        <w:rPr>
          <w:rFonts w:ascii="Meiryo UI" w:hAnsi="Meiryo UI"/>
          <w:sz w:val="20"/>
        </w:rPr>
        <w:t>転嫁成功の決算発表が「サプライズ」として機能</w:t>
      </w:r>
    </w:p>
    <w:p/>
    <w:p>
      <w:r>
        <w:t>──────────────────────────────────────────────────</w:t>
      </w:r>
    </w:p>
    <w:p/>
    <w:p>
      <w:pPr>
        <w:pStyle w:val="Heading3"/>
      </w:pPr>
      <w:r>
        <w:rPr>
          <w:rFonts w:ascii="Meiryo UI" w:hAnsi="Meiryo UI"/>
          <w:color w:val="2E74B5"/>
        </w:rPr>
        <w:t>2.4 PBR回復シナリオの定量インパクト</w:t>
      </w:r>
    </w:p>
    <w:p/>
    <w:p>
      <w:pPr>
        <w:shd w:val="clear" w:color="auto" w:fill="F2F2F2"/>
      </w:pPr>
      <w:r>
        <w:rPr>
          <w:rFonts w:ascii="Courier New" w:hAnsi="Courier New"/>
          <w:sz w:val="16"/>
        </w:rPr>
        <w:t>PBR修復試算：</w:t>
        <w:br/>
        <w:br/>
        <w:t>現状：ROE 7.0% → PBR 0.65倍 → 株価 約2,500円</w:t>
        <w:br/>
        <w:br/>
        <w:t>シナリオA（光ファイバー+銅箔急成長）：</w:t>
        <w:br/>
        <w:t xml:space="preserve">  ROE → 9.5%</w:t>
        <w:br/>
        <w:t xml:space="preserve">  Re → 8.5%</w:t>
        <w:br/>
        <w:t xml:space="preserve">  適正PBR → 9.5/8.5 = 1.12倍</w:t>
        <w:br/>
        <w:t xml:space="preserve">  理論株価 → 4,300〜4,600円（+72〜84%）</w:t>
        <w:br/>
        <w:br/>
        <w:t>シナリオB（中計達成・ROE8%）：</w:t>
        <w:br/>
        <w:t xml:space="preserve">  ROE → 8.0%</w:t>
        <w:br/>
        <w:t xml:space="preserve">  Re → 8.5%</w:t>
        <w:br/>
        <w:t xml:space="preserve">  適正PBR → 8.0/8.5 = 0.94倍</w:t>
        <w:br/>
        <w:t xml:space="preserve">  理論株価 → 3,600〜3,800円（+44〜52%）</w:t>
        <w:br/>
        <w:br/>
        <w:t>シナリオC（現状維持）：</w:t>
        <w:br/>
        <w:t xml:space="preserve">  ROE → 7.0%</w:t>
        <w:br/>
        <w:t xml:space="preserve">  Re → 8.5%</w:t>
        <w:br/>
        <w:t xml:space="preserve">  適正PBR → 0.82倍</w:t>
        <w:br/>
        <w:t xml:space="preserve">  理論株価 → 3,100〜3,300円（+24〜32%）</w:t>
      </w:r>
    </w:p>
    <w:p/>
    <w:p>
      <w:r>
        <w:rPr>
          <w:rFonts w:ascii="Meiryo UI" w:hAnsi="Meiryo UI"/>
          <w:sz w:val="20"/>
        </w:rPr>
        <w:t>深井の核心判断：</w:t>
      </w:r>
    </w:p>
    <w:p>
      <w:r>
        <w:rPr>
          <w:rFonts w:ascii="Meiryo UI" w:hAnsi="Meiryo UI"/>
          <w:sz w:val="20"/>
        </w:rPr>
        <w:t>&gt; 「PBR割れの最大の本質はROEと資本コストの乖離である。光ファイバー・銅箔という高成長セグメントが連結ROEを9%超に押し上げる局面が訪れれば、PBR1倍回復は必然的帰結となる。現在の市場はこの利益成長をまだ織り込んでいない。これが"静かな蓄積"の合理的根拠である。」</w:t>
      </w:r>
    </w:p>
    <w:p/>
    <w:p>
      <w:r>
        <w:t>──────────────────────────────────────────────────</w:t>
      </w:r>
    </w:p>
    <w:p/>
    <w:p>
      <w:pPr>
        <w:pStyle w:val="Heading2"/>
      </w:pPr>
      <w:r>
        <w:rPr>
          <w:rFonts w:ascii="Meiryo UI" w:hAnsi="Meiryo UI"/>
          <w:color w:val="2E74B5"/>
        </w:rPr>
        <w:t>3. 財務ハイライト</w:t>
      </w:r>
    </w:p>
    <w:p/>
    <w:p>
      <w:pPr>
        <w:pStyle w:val="Heading3"/>
      </w:pPr>
      <w:r>
        <w:rPr>
          <w:rFonts w:ascii="Meiryo UI" w:hAnsi="Meiryo UI"/>
          <w:color w:val="2E74B5"/>
        </w:rPr>
        <w:t>3.1 損益計算書（PL）サマリー</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FY2023実績</w:t>
            </w:r>
          </w:p>
        </w:tc>
        <w:tc>
          <w:tcPr>
            <w:tcW w:type="dxa" w:w="1881"/>
            <w:shd w:val="clear" w:color="auto" w:fill="2E74B5"/>
          </w:tcPr>
          <w:p>
            <w:r>
              <w:rPr>
                <w:rFonts w:ascii="Meiryo UI" w:hAnsi="Meiryo UI"/>
                <w:b/>
                <w:color w:val="FFFFFF"/>
                <w:sz w:val="18"/>
              </w:rPr>
              <w:t>FY2024実績</w:t>
            </w:r>
          </w:p>
        </w:tc>
        <w:tc>
          <w:tcPr>
            <w:tcW w:type="dxa" w:w="1881"/>
            <w:shd w:val="clear" w:color="auto" w:fill="2E74B5"/>
          </w:tcPr>
          <w:p>
            <w:r>
              <w:rPr>
                <w:rFonts w:ascii="Meiryo UI" w:hAnsi="Meiryo UI"/>
                <w:b/>
                <w:color w:val="FFFFFF"/>
                <w:sz w:val="18"/>
              </w:rPr>
              <w:t>FY2025実績(E)</w:t>
            </w:r>
          </w:p>
        </w:tc>
        <w:tc>
          <w:tcPr>
            <w:tcW w:type="dxa" w:w="1881"/>
            <w:shd w:val="clear" w:color="auto" w:fill="2E74B5"/>
          </w:tcPr>
          <w:p>
            <w:r>
              <w:rPr>
                <w:rFonts w:ascii="Meiryo UI" w:hAnsi="Meiryo UI"/>
                <w:b/>
                <w:color w:val="FFFFFF"/>
                <w:sz w:val="18"/>
              </w:rPr>
              <w:t>YoY</w:t>
            </w:r>
          </w:p>
        </w:tc>
      </w:tr>
      <w:tr>
        <w:tc>
          <w:tcPr>
            <w:tcW w:type="dxa" w:w="1881"/>
          </w:tcPr>
          <w:p>
            <w:r>
              <w:rPr>
                <w:rFonts w:ascii="Meiryo UI" w:hAnsi="Meiryo UI"/>
                <w:sz w:val="18"/>
              </w:rPr>
              <w:t>売上高</w:t>
            </w:r>
          </w:p>
        </w:tc>
        <w:tc>
          <w:tcPr>
            <w:tcW w:type="dxa" w:w="1881"/>
          </w:tcPr>
          <w:p>
            <w:r>
              <w:rPr>
                <w:rFonts w:ascii="Meiryo UI" w:hAnsi="Meiryo UI"/>
                <w:sz w:val="18"/>
              </w:rPr>
              <w:t>11,200億円</w:t>
            </w:r>
          </w:p>
        </w:tc>
        <w:tc>
          <w:tcPr>
            <w:tcW w:type="dxa" w:w="1881"/>
          </w:tcPr>
          <w:p>
            <w:r>
              <w:rPr>
                <w:rFonts w:ascii="Meiryo UI" w:hAnsi="Meiryo UI"/>
                <w:sz w:val="18"/>
              </w:rPr>
              <w:t>11,800億円</w:t>
            </w:r>
          </w:p>
        </w:tc>
        <w:tc>
          <w:tcPr>
            <w:tcW w:type="dxa" w:w="1881"/>
          </w:tcPr>
          <w:p>
            <w:r>
              <w:rPr>
                <w:rFonts w:ascii="Meiryo UI" w:hAnsi="Meiryo UI"/>
                <w:sz w:val="18"/>
              </w:rPr>
              <w:t>12,200億円</w:t>
            </w:r>
          </w:p>
        </w:tc>
        <w:tc>
          <w:tcPr>
            <w:tcW w:type="dxa" w:w="1881"/>
          </w:tcPr>
          <w:p>
            <w:r>
              <w:rPr>
                <w:rFonts w:ascii="Meiryo UI" w:hAnsi="Meiryo UI"/>
                <w:sz w:val="18"/>
              </w:rPr>
              <w:t>+3.4%</w:t>
            </w:r>
          </w:p>
        </w:tc>
      </w:tr>
      <w:tr>
        <w:tc>
          <w:tcPr>
            <w:tcW w:type="dxa" w:w="1881"/>
            <w:shd w:val="clear" w:color="auto" w:fill="DDEBF7"/>
          </w:tcPr>
          <w:p>
            <w:r>
              <w:rPr>
                <w:rFonts w:ascii="Meiryo UI" w:hAnsi="Meiryo UI"/>
                <w:sz w:val="18"/>
              </w:rPr>
              <w:t>売上総利益</w:t>
            </w:r>
          </w:p>
        </w:tc>
        <w:tc>
          <w:tcPr>
            <w:tcW w:type="dxa" w:w="1881"/>
            <w:shd w:val="clear" w:color="auto" w:fill="DDEBF7"/>
          </w:tcPr>
          <w:p>
            <w:r>
              <w:rPr>
                <w:rFonts w:ascii="Meiryo UI" w:hAnsi="Meiryo UI"/>
                <w:sz w:val="18"/>
              </w:rPr>
              <w:t>1,680億円</w:t>
            </w:r>
          </w:p>
        </w:tc>
        <w:tc>
          <w:tcPr>
            <w:tcW w:type="dxa" w:w="1881"/>
            <w:shd w:val="clear" w:color="auto" w:fill="DDEBF7"/>
          </w:tcPr>
          <w:p>
            <w:r>
              <w:rPr>
                <w:rFonts w:ascii="Meiryo UI" w:hAnsi="Meiryo UI"/>
                <w:sz w:val="18"/>
              </w:rPr>
              <w:t>1,820億円</w:t>
            </w:r>
          </w:p>
        </w:tc>
        <w:tc>
          <w:tcPr>
            <w:tcW w:type="dxa" w:w="1881"/>
            <w:shd w:val="clear" w:color="auto" w:fill="DDEBF7"/>
          </w:tcPr>
          <w:p>
            <w:r>
              <w:rPr>
                <w:rFonts w:ascii="Meiryo UI" w:hAnsi="Meiryo UI"/>
                <w:sz w:val="18"/>
              </w:rPr>
              <w:t>1,920億円</w:t>
            </w:r>
          </w:p>
        </w:tc>
        <w:tc>
          <w:tcPr>
            <w:tcW w:type="dxa" w:w="1881"/>
            <w:shd w:val="clear" w:color="auto" w:fill="DDEBF7"/>
          </w:tcPr>
          <w:p>
            <w:r>
              <w:rPr>
                <w:rFonts w:ascii="Meiryo UI" w:hAnsi="Meiryo UI"/>
                <w:sz w:val="18"/>
              </w:rPr>
              <w:t>+5.5%</w:t>
            </w:r>
          </w:p>
        </w:tc>
      </w:tr>
      <w:tr>
        <w:tc>
          <w:tcPr>
            <w:tcW w:type="dxa" w:w="1881"/>
          </w:tcPr>
          <w:p>
            <w:r>
              <w:rPr>
                <w:rFonts w:ascii="Meiryo UI" w:hAnsi="Meiryo UI"/>
                <w:sz w:val="18"/>
              </w:rPr>
              <w:t>営業利益</w:t>
            </w:r>
          </w:p>
        </w:tc>
        <w:tc>
          <w:tcPr>
            <w:tcW w:type="dxa" w:w="1881"/>
          </w:tcPr>
          <w:p>
            <w:r>
              <w:rPr>
                <w:rFonts w:ascii="Meiryo UI" w:hAnsi="Meiryo UI"/>
                <w:sz w:val="18"/>
              </w:rPr>
              <w:t>448億円</w:t>
            </w:r>
          </w:p>
        </w:tc>
        <w:tc>
          <w:tcPr>
            <w:tcW w:type="dxa" w:w="1881"/>
          </w:tcPr>
          <w:p>
            <w:r>
              <w:rPr>
                <w:rFonts w:ascii="Meiryo UI" w:hAnsi="Meiryo UI"/>
                <w:sz w:val="18"/>
              </w:rPr>
              <w:t>520億円</w:t>
            </w:r>
          </w:p>
        </w:tc>
        <w:tc>
          <w:tcPr>
            <w:tcW w:type="dxa" w:w="1881"/>
          </w:tcPr>
          <w:p>
            <w:r>
              <w:rPr>
                <w:rFonts w:ascii="Meiryo UI" w:hAnsi="Meiryo UI"/>
                <w:sz w:val="18"/>
              </w:rPr>
              <w:t>590億円</w:t>
            </w:r>
          </w:p>
        </w:tc>
        <w:tc>
          <w:tcPr>
            <w:tcW w:type="dxa" w:w="1881"/>
          </w:tcPr>
          <w:p>
            <w:r>
              <w:rPr>
                <w:rFonts w:ascii="Meiryo UI" w:hAnsi="Meiryo UI"/>
                <w:sz w:val="18"/>
              </w:rPr>
              <w:t>+13.5%</w:t>
            </w:r>
          </w:p>
        </w:tc>
      </w:tr>
      <w:tr>
        <w:tc>
          <w:tcPr>
            <w:tcW w:type="dxa" w:w="1881"/>
            <w:shd w:val="clear" w:color="auto" w:fill="DDEBF7"/>
          </w:tcPr>
          <w:p>
            <w:r>
              <w:rPr>
                <w:rFonts w:ascii="Meiryo UI" w:hAnsi="Meiryo UI"/>
                <w:sz w:val="18"/>
              </w:rPr>
              <w:t>営業利益率</w:t>
            </w:r>
          </w:p>
        </w:tc>
        <w:tc>
          <w:tcPr>
            <w:tcW w:type="dxa" w:w="1881"/>
            <w:shd w:val="clear" w:color="auto" w:fill="DDEBF7"/>
          </w:tcPr>
          <w:p>
            <w:r>
              <w:rPr>
                <w:rFonts w:ascii="Meiryo UI" w:hAnsi="Meiryo UI"/>
                <w:sz w:val="18"/>
              </w:rPr>
              <w:t>4.0%</w:t>
            </w:r>
          </w:p>
        </w:tc>
        <w:tc>
          <w:tcPr>
            <w:tcW w:type="dxa" w:w="1881"/>
            <w:shd w:val="clear" w:color="auto" w:fill="DDEBF7"/>
          </w:tcPr>
          <w:p>
            <w:r>
              <w:rPr>
                <w:rFonts w:ascii="Meiryo UI" w:hAnsi="Meiryo UI"/>
                <w:sz w:val="18"/>
              </w:rPr>
              <w:t>4.4%</w:t>
            </w:r>
          </w:p>
        </w:tc>
        <w:tc>
          <w:tcPr>
            <w:tcW w:type="dxa" w:w="1881"/>
            <w:shd w:val="clear" w:color="auto" w:fill="DDEBF7"/>
          </w:tcPr>
          <w:p>
            <w:r>
              <w:rPr>
                <w:rFonts w:ascii="Meiryo UI" w:hAnsi="Meiryo UI"/>
                <w:sz w:val="18"/>
              </w:rPr>
              <w:t>4.8%</w:t>
            </w:r>
          </w:p>
        </w:tc>
        <w:tc>
          <w:tcPr>
            <w:tcW w:type="dxa" w:w="1881"/>
            <w:shd w:val="clear" w:color="auto" w:fill="DDEBF7"/>
          </w:tcPr>
          <w:p>
            <w:r>
              <w:rPr>
                <w:rFonts w:ascii="Meiryo UI" w:hAnsi="Meiryo UI"/>
                <w:sz w:val="18"/>
              </w:rPr>
              <w:t>+0.4pp</w:t>
            </w:r>
          </w:p>
        </w:tc>
      </w:tr>
      <w:tr>
        <w:tc>
          <w:tcPr>
            <w:tcW w:type="dxa" w:w="1881"/>
          </w:tcPr>
          <w:p>
            <w:r>
              <w:rPr>
                <w:rFonts w:ascii="Meiryo UI" w:hAnsi="Meiryo UI"/>
                <w:sz w:val="18"/>
              </w:rPr>
              <w:t>経常利益</w:t>
            </w:r>
          </w:p>
        </w:tc>
        <w:tc>
          <w:tcPr>
            <w:tcW w:type="dxa" w:w="1881"/>
          </w:tcPr>
          <w:p>
            <w:r>
              <w:rPr>
                <w:rFonts w:ascii="Meiryo UI" w:hAnsi="Meiryo UI"/>
                <w:sz w:val="18"/>
              </w:rPr>
              <w:t>420億円</w:t>
            </w:r>
          </w:p>
        </w:tc>
        <w:tc>
          <w:tcPr>
            <w:tcW w:type="dxa" w:w="1881"/>
          </w:tcPr>
          <w:p>
            <w:r>
              <w:rPr>
                <w:rFonts w:ascii="Meiryo UI" w:hAnsi="Meiryo UI"/>
                <w:sz w:val="18"/>
              </w:rPr>
              <w:t>510億円</w:t>
            </w:r>
          </w:p>
        </w:tc>
        <w:tc>
          <w:tcPr>
            <w:tcW w:type="dxa" w:w="1881"/>
          </w:tcPr>
          <w:p>
            <w:r>
              <w:rPr>
                <w:rFonts w:ascii="Meiryo UI" w:hAnsi="Meiryo UI"/>
                <w:sz w:val="18"/>
              </w:rPr>
              <w:t>570億円</w:t>
            </w:r>
          </w:p>
        </w:tc>
        <w:tc>
          <w:tcPr>
            <w:tcW w:type="dxa" w:w="1881"/>
          </w:tcPr>
          <w:p>
            <w:r>
              <w:rPr>
                <w:rFonts w:ascii="Meiryo UI" w:hAnsi="Meiryo UI"/>
                <w:sz w:val="18"/>
              </w:rPr>
              <w:t>+11.8%</w:t>
            </w:r>
          </w:p>
        </w:tc>
      </w:tr>
      <w:tr>
        <w:tc>
          <w:tcPr>
            <w:tcW w:type="dxa" w:w="1881"/>
            <w:shd w:val="clear" w:color="auto" w:fill="DDEBF7"/>
          </w:tcPr>
          <w:p>
            <w:r>
              <w:rPr>
                <w:rFonts w:ascii="Meiryo UI" w:hAnsi="Meiryo UI"/>
                <w:sz w:val="18"/>
              </w:rPr>
              <w:t>当期純利益</w:t>
            </w:r>
          </w:p>
        </w:tc>
        <w:tc>
          <w:tcPr>
            <w:tcW w:type="dxa" w:w="1881"/>
            <w:shd w:val="clear" w:color="auto" w:fill="DDEBF7"/>
          </w:tcPr>
          <w:p>
            <w:r>
              <w:rPr>
                <w:rFonts w:ascii="Meiryo UI" w:hAnsi="Meiryo UI"/>
                <w:sz w:val="18"/>
              </w:rPr>
              <w:t>250億円</w:t>
            </w:r>
          </w:p>
        </w:tc>
        <w:tc>
          <w:tcPr>
            <w:tcW w:type="dxa" w:w="1881"/>
            <w:shd w:val="clear" w:color="auto" w:fill="DDEBF7"/>
          </w:tcPr>
          <w:p>
            <w:r>
              <w:rPr>
                <w:rFonts w:ascii="Meiryo UI" w:hAnsi="Meiryo UI"/>
                <w:sz w:val="18"/>
              </w:rPr>
              <w:t>320億円</w:t>
            </w:r>
          </w:p>
        </w:tc>
        <w:tc>
          <w:tcPr>
            <w:tcW w:type="dxa" w:w="1881"/>
            <w:shd w:val="clear" w:color="auto" w:fill="DDEBF7"/>
          </w:tcPr>
          <w:p>
            <w:r>
              <w:rPr>
                <w:rFonts w:ascii="Meiryo UI" w:hAnsi="Meiryo UI"/>
                <w:sz w:val="18"/>
              </w:rPr>
              <w:t>380億円</w:t>
            </w:r>
          </w:p>
        </w:tc>
        <w:tc>
          <w:tcPr>
            <w:tcW w:type="dxa" w:w="1881"/>
            <w:shd w:val="clear" w:color="auto" w:fill="DDEBF7"/>
          </w:tcPr>
          <w:p>
            <w:r>
              <w:rPr>
                <w:rFonts w:ascii="Meiryo UI" w:hAnsi="Meiryo UI"/>
                <w:sz w:val="18"/>
              </w:rPr>
              <w:t>+18.8%</w:t>
            </w:r>
          </w:p>
        </w:tc>
      </w:tr>
      <w:tr>
        <w:tc>
          <w:tcPr>
            <w:tcW w:type="dxa" w:w="1881"/>
          </w:tcPr>
          <w:p>
            <w:r>
              <w:rPr>
                <w:rFonts w:ascii="Meiryo UI" w:hAnsi="Meiryo UI"/>
                <w:sz w:val="18"/>
              </w:rPr>
              <w:t>EPS</w:t>
            </w:r>
          </w:p>
        </w:tc>
        <w:tc>
          <w:tcPr>
            <w:tcW w:type="dxa" w:w="1881"/>
          </w:tcPr>
          <w:p>
            <w:r>
              <w:rPr>
                <w:rFonts w:ascii="Meiryo UI" w:hAnsi="Meiryo UI"/>
                <w:sz w:val="18"/>
              </w:rPr>
              <w:t>175円</w:t>
            </w:r>
          </w:p>
        </w:tc>
        <w:tc>
          <w:tcPr>
            <w:tcW w:type="dxa" w:w="1881"/>
          </w:tcPr>
          <w:p>
            <w:r>
              <w:rPr>
                <w:rFonts w:ascii="Meiryo UI" w:hAnsi="Meiryo UI"/>
                <w:sz w:val="18"/>
              </w:rPr>
              <w:t>224円</w:t>
            </w:r>
          </w:p>
        </w:tc>
        <w:tc>
          <w:tcPr>
            <w:tcW w:type="dxa" w:w="1881"/>
          </w:tcPr>
          <w:p>
            <w:r>
              <w:rPr>
                <w:rFonts w:ascii="Meiryo UI" w:hAnsi="Meiryo UI"/>
                <w:sz w:val="18"/>
              </w:rPr>
              <w:t>266円</w:t>
            </w:r>
          </w:p>
        </w:tc>
        <w:tc>
          <w:tcPr>
            <w:tcW w:type="dxa" w:w="1881"/>
          </w:tcPr>
          <w:p>
            <w:r>
              <w:rPr>
                <w:rFonts w:ascii="Meiryo UI" w:hAnsi="Meiryo UI"/>
                <w:sz w:val="18"/>
              </w:rPr>
              <w:t>+18.8%</w:t>
            </w:r>
          </w:p>
        </w:tc>
      </w:tr>
    </w:tbl>
    <w:p/>
    <w:p>
      <w:r>
        <w:rPr>
          <w:rFonts w:ascii="Meiryo UI" w:hAnsi="Meiryo UI"/>
          <w:sz w:val="20"/>
        </w:rPr>
        <w:t>&gt; ※ 公開情報・決算短信・アナリストコンセンサスベースの推定値。実際の決算との差異あり。</w:t>
      </w:r>
    </w:p>
    <w:p/>
    <w:p>
      <w:pPr>
        <w:pStyle w:val="Heading3"/>
      </w:pPr>
      <w:r>
        <w:rPr>
          <w:rFonts w:ascii="Meiryo UI" w:hAnsi="Meiryo UI"/>
          <w:color w:val="2E74B5"/>
        </w:rPr>
        <w:t>3.2 貸借対照表（BS）サマリー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FY2025E（推定）</w:t>
            </w:r>
          </w:p>
        </w:tc>
      </w:tr>
      <w:tr>
        <w:tc>
          <w:tcPr>
            <w:tcW w:type="dxa" w:w="4703"/>
          </w:tcPr>
          <w:p>
            <w:r>
              <w:rPr>
                <w:rFonts w:ascii="Meiryo UI" w:hAnsi="Meiryo UI"/>
                <w:sz w:val="18"/>
              </w:rPr>
              <w:t>総資産</w:t>
            </w:r>
          </w:p>
        </w:tc>
        <w:tc>
          <w:tcPr>
            <w:tcW w:type="dxa" w:w="4703"/>
          </w:tcPr>
          <w:p>
            <w:r>
              <w:rPr>
                <w:rFonts w:ascii="Meiryo UI" w:hAnsi="Meiryo UI"/>
                <w:sz w:val="18"/>
              </w:rPr>
              <w:t>約17,000億円</w:t>
            </w:r>
          </w:p>
        </w:tc>
      </w:tr>
      <w:tr>
        <w:tc>
          <w:tcPr>
            <w:tcW w:type="dxa" w:w="4703"/>
            <w:shd w:val="clear" w:color="auto" w:fill="DDEBF7"/>
          </w:tcPr>
          <w:p>
            <w:r>
              <w:rPr>
                <w:rFonts w:ascii="Meiryo UI" w:hAnsi="Meiryo UI"/>
                <w:sz w:val="18"/>
              </w:rPr>
              <w:t>自己資本</w:t>
            </w:r>
          </w:p>
        </w:tc>
        <w:tc>
          <w:tcPr>
            <w:tcW w:type="dxa" w:w="4703"/>
            <w:shd w:val="clear" w:color="auto" w:fill="DDEBF7"/>
          </w:tcPr>
          <w:p>
            <w:r>
              <w:rPr>
                <w:rFonts w:ascii="Meiryo UI" w:hAnsi="Meiryo UI"/>
                <w:sz w:val="18"/>
              </w:rPr>
              <w:t>約5,400億円</w:t>
            </w:r>
          </w:p>
        </w:tc>
      </w:tr>
      <w:tr>
        <w:tc>
          <w:tcPr>
            <w:tcW w:type="dxa" w:w="4703"/>
          </w:tcPr>
          <w:p>
            <w:r>
              <w:rPr>
                <w:rFonts w:ascii="Meiryo UI" w:hAnsi="Meiryo UI"/>
                <w:sz w:val="18"/>
              </w:rPr>
              <w:t>BPS</w:t>
            </w:r>
          </w:p>
        </w:tc>
        <w:tc>
          <w:tcPr>
            <w:tcW w:type="dxa" w:w="4703"/>
          </w:tcPr>
          <w:p>
            <w:r>
              <w:rPr>
                <w:rFonts w:ascii="Meiryo UI" w:hAnsi="Meiryo UI"/>
                <w:sz w:val="18"/>
              </w:rPr>
              <w:t>約3,780円</w:t>
            </w:r>
          </w:p>
        </w:tc>
      </w:tr>
      <w:tr>
        <w:tc>
          <w:tcPr>
            <w:tcW w:type="dxa" w:w="4703"/>
            <w:shd w:val="clear" w:color="auto" w:fill="DDEBF7"/>
          </w:tcPr>
          <w:p>
            <w:r>
              <w:rPr>
                <w:rFonts w:ascii="Meiryo UI" w:hAnsi="Meiryo UI"/>
                <w:sz w:val="18"/>
              </w:rPr>
              <w:t>自己資本比率</w:t>
            </w:r>
          </w:p>
        </w:tc>
        <w:tc>
          <w:tcPr>
            <w:tcW w:type="dxa" w:w="4703"/>
            <w:shd w:val="clear" w:color="auto" w:fill="DDEBF7"/>
          </w:tcPr>
          <w:p>
            <w:r>
              <w:rPr>
                <w:rFonts w:ascii="Meiryo UI" w:hAnsi="Meiryo UI"/>
                <w:sz w:val="18"/>
              </w:rPr>
              <w:t>約31.8%</w:t>
            </w:r>
          </w:p>
        </w:tc>
      </w:tr>
      <w:tr>
        <w:tc>
          <w:tcPr>
            <w:tcW w:type="dxa" w:w="4703"/>
          </w:tcPr>
          <w:p>
            <w:r>
              <w:rPr>
                <w:rFonts w:ascii="Meiryo UI" w:hAnsi="Meiryo UI"/>
                <w:sz w:val="18"/>
              </w:rPr>
              <w:t>純有利子負債</w:t>
            </w:r>
          </w:p>
        </w:tc>
        <w:tc>
          <w:tcPr>
            <w:tcW w:type="dxa" w:w="4703"/>
          </w:tcPr>
          <w:p>
            <w:r>
              <w:rPr>
                <w:rFonts w:ascii="Meiryo UI" w:hAnsi="Meiryo UI"/>
                <w:sz w:val="18"/>
              </w:rPr>
              <w:t>約3,200億円</w:t>
            </w:r>
          </w:p>
        </w:tc>
      </w:tr>
      <w:tr>
        <w:tc>
          <w:tcPr>
            <w:tcW w:type="dxa" w:w="4703"/>
            <w:shd w:val="clear" w:color="auto" w:fill="DDEBF7"/>
          </w:tcPr>
          <w:p>
            <w:r>
              <w:rPr>
                <w:rFonts w:ascii="Meiryo UI" w:hAnsi="Meiryo UI"/>
                <w:sz w:val="18"/>
              </w:rPr>
              <w:t>D/Eレシオ</w:t>
            </w:r>
          </w:p>
        </w:tc>
        <w:tc>
          <w:tcPr>
            <w:tcW w:type="dxa" w:w="4703"/>
            <w:shd w:val="clear" w:color="auto" w:fill="DDEBF7"/>
          </w:tcPr>
          <w:p>
            <w:r>
              <w:rPr>
                <w:rFonts w:ascii="Meiryo UI" w:hAnsi="Meiryo UI"/>
                <w:sz w:val="18"/>
              </w:rPr>
              <w:t>約0.59倍</w:t>
            </w:r>
          </w:p>
        </w:tc>
      </w:tr>
      <w:tr>
        <w:tc>
          <w:tcPr>
            <w:tcW w:type="dxa" w:w="4703"/>
          </w:tcPr>
          <w:p>
            <w:r>
              <w:rPr>
                <w:rFonts w:ascii="Meiryo UI" w:hAnsi="Meiryo UI"/>
                <w:sz w:val="18"/>
              </w:rPr>
              <w:t>政策保有株（時価）</w:t>
            </w:r>
          </w:p>
        </w:tc>
        <w:tc>
          <w:tcPr>
            <w:tcW w:type="dxa" w:w="4703"/>
          </w:tcPr>
          <w:p>
            <w:r>
              <w:rPr>
                <w:rFonts w:ascii="Meiryo UI" w:hAnsi="Meiryo UI"/>
                <w:sz w:val="18"/>
              </w:rPr>
              <w:t>約700〜900億円</w:t>
            </w:r>
          </w:p>
        </w:tc>
      </w:tr>
    </w:tbl>
    <w:p/>
    <w:p>
      <w:pPr>
        <w:pStyle w:val="Heading3"/>
      </w:pPr>
      <w:r>
        <w:rPr>
          <w:rFonts w:ascii="Meiryo UI" w:hAnsi="Meiryo UI"/>
          <w:color w:val="2E74B5"/>
        </w:rPr>
        <w:t>3.3 キャッシュフロー（CF）サマリー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FY2024実績(E)</w:t>
            </w:r>
          </w:p>
        </w:tc>
        <w:tc>
          <w:tcPr>
            <w:tcW w:type="dxa" w:w="3135"/>
            <w:shd w:val="clear" w:color="auto" w:fill="2E74B5"/>
          </w:tcPr>
          <w:p>
            <w:r>
              <w:rPr>
                <w:rFonts w:ascii="Meiryo UI" w:hAnsi="Meiryo UI"/>
                <w:b/>
                <w:color w:val="FFFFFF"/>
                <w:sz w:val="18"/>
              </w:rPr>
              <w:t>FY2025E</w:t>
            </w:r>
          </w:p>
        </w:tc>
      </w:tr>
      <w:tr>
        <w:tc>
          <w:tcPr>
            <w:tcW w:type="dxa" w:w="3135"/>
          </w:tcPr>
          <w:p>
            <w:r>
              <w:rPr>
                <w:rFonts w:ascii="Meiryo UI" w:hAnsi="Meiryo UI"/>
                <w:sz w:val="18"/>
              </w:rPr>
              <w:t>営業CF</w:t>
            </w:r>
          </w:p>
        </w:tc>
        <w:tc>
          <w:tcPr>
            <w:tcW w:type="dxa" w:w="3135"/>
          </w:tcPr>
          <w:p>
            <w:r>
              <w:rPr>
                <w:rFonts w:ascii="Meiryo UI" w:hAnsi="Meiryo UI"/>
                <w:sz w:val="18"/>
              </w:rPr>
              <w:t>約700億円</w:t>
            </w:r>
          </w:p>
        </w:tc>
        <w:tc>
          <w:tcPr>
            <w:tcW w:type="dxa" w:w="3135"/>
          </w:tcPr>
          <w:p>
            <w:r>
              <w:rPr>
                <w:rFonts w:ascii="Meiryo UI" w:hAnsi="Meiryo UI"/>
                <w:sz w:val="18"/>
              </w:rPr>
              <w:t>約800億円</w:t>
            </w:r>
          </w:p>
        </w:tc>
      </w:tr>
      <w:tr>
        <w:tc>
          <w:tcPr>
            <w:tcW w:type="dxa" w:w="3135"/>
            <w:shd w:val="clear" w:color="auto" w:fill="DDEBF7"/>
          </w:tcPr>
          <w:p>
            <w:r>
              <w:rPr>
                <w:rFonts w:ascii="Meiryo UI" w:hAnsi="Meiryo UI"/>
                <w:sz w:val="18"/>
              </w:rPr>
              <w:t>投資CF</w:t>
            </w:r>
          </w:p>
        </w:tc>
        <w:tc>
          <w:tcPr>
            <w:tcW w:type="dxa" w:w="3135"/>
            <w:shd w:val="clear" w:color="auto" w:fill="DDEBF7"/>
          </w:tcPr>
          <w:p>
            <w:r>
              <w:rPr>
                <w:rFonts w:ascii="Meiryo UI" w:hAnsi="Meiryo UI"/>
                <w:sz w:val="18"/>
              </w:rPr>
              <w:t>△約600億円</w:t>
            </w:r>
          </w:p>
        </w:tc>
        <w:tc>
          <w:tcPr>
            <w:tcW w:type="dxa" w:w="3135"/>
            <w:shd w:val="clear" w:color="auto" w:fill="DDEBF7"/>
          </w:tcPr>
          <w:p>
            <w:r>
              <w:rPr>
                <w:rFonts w:ascii="Meiryo UI" w:hAnsi="Meiryo UI"/>
                <w:sz w:val="18"/>
              </w:rPr>
              <w:t>△約650億円</w:t>
            </w:r>
          </w:p>
        </w:tc>
      </w:tr>
      <w:tr>
        <w:tc>
          <w:tcPr>
            <w:tcW w:type="dxa" w:w="3135"/>
          </w:tcPr>
          <w:p>
            <w:r>
              <w:rPr>
                <w:rFonts w:ascii="Meiryo UI" w:hAnsi="Meiryo UI"/>
                <w:sz w:val="18"/>
              </w:rPr>
              <w:t>FCF（営業-投資）</w:t>
            </w:r>
          </w:p>
        </w:tc>
        <w:tc>
          <w:tcPr>
            <w:tcW w:type="dxa" w:w="3135"/>
          </w:tcPr>
          <w:p>
            <w:r>
              <w:rPr>
                <w:rFonts w:ascii="Meiryo UI" w:hAnsi="Meiryo UI"/>
                <w:sz w:val="18"/>
              </w:rPr>
              <w:t>約100億円</w:t>
            </w:r>
          </w:p>
        </w:tc>
        <w:tc>
          <w:tcPr>
            <w:tcW w:type="dxa" w:w="3135"/>
          </w:tcPr>
          <w:p>
            <w:r>
              <w:rPr>
                <w:rFonts w:ascii="Meiryo UI" w:hAnsi="Meiryo UI"/>
                <w:sz w:val="18"/>
              </w:rPr>
              <w:t>約150億円</w:t>
            </w:r>
          </w:p>
        </w:tc>
      </w:tr>
      <w:tr>
        <w:tc>
          <w:tcPr>
            <w:tcW w:type="dxa" w:w="3135"/>
            <w:shd w:val="clear" w:color="auto" w:fill="DDEBF7"/>
          </w:tcPr>
          <w:p>
            <w:r>
              <w:rPr>
                <w:rFonts w:ascii="Meiryo UI" w:hAnsi="Meiryo UI"/>
                <w:sz w:val="18"/>
              </w:rPr>
              <w:t>FCFマージン</w:t>
            </w:r>
          </w:p>
        </w:tc>
        <w:tc>
          <w:tcPr>
            <w:tcW w:type="dxa" w:w="3135"/>
            <w:shd w:val="clear" w:color="auto" w:fill="DDEBF7"/>
          </w:tcPr>
          <w:p>
            <w:r>
              <w:rPr>
                <w:rFonts w:ascii="Meiryo UI" w:hAnsi="Meiryo UI"/>
                <w:sz w:val="18"/>
              </w:rPr>
              <w:t>約0.8%</w:t>
            </w:r>
          </w:p>
        </w:tc>
        <w:tc>
          <w:tcPr>
            <w:tcW w:type="dxa" w:w="3135"/>
            <w:shd w:val="clear" w:color="auto" w:fill="DDEBF7"/>
          </w:tcPr>
          <w:p>
            <w:r>
              <w:rPr>
                <w:rFonts w:ascii="Meiryo UI" w:hAnsi="Meiryo UI"/>
                <w:sz w:val="18"/>
              </w:rPr>
              <w:t>約1.2%</w:t>
            </w:r>
          </w:p>
        </w:tc>
      </w:tr>
      <w:tr>
        <w:tc>
          <w:tcPr>
            <w:tcW w:type="dxa" w:w="3135"/>
          </w:tcPr>
          <w:p>
            <w:r>
              <w:rPr>
                <w:rFonts w:ascii="Meiryo UI" w:hAnsi="Meiryo UI"/>
                <w:sz w:val="18"/>
              </w:rPr>
              <w:t>設備投資額</w:t>
            </w:r>
          </w:p>
        </w:tc>
        <w:tc>
          <w:tcPr>
            <w:tcW w:type="dxa" w:w="3135"/>
          </w:tcPr>
          <w:p>
            <w:r>
              <w:rPr>
                <w:rFonts w:ascii="Meiryo UI" w:hAnsi="Meiryo UI"/>
                <w:sz w:val="18"/>
              </w:rPr>
              <w:t>約650億円</w:t>
            </w:r>
          </w:p>
        </w:tc>
        <w:tc>
          <w:tcPr>
            <w:tcW w:type="dxa" w:w="3135"/>
          </w:tcPr>
          <w:p>
            <w:r>
              <w:rPr>
                <w:rFonts w:ascii="Meiryo UI" w:hAnsi="Meiryo UI"/>
                <w:sz w:val="18"/>
              </w:rPr>
              <w:t>約700億円</w:t>
            </w:r>
          </w:p>
        </w:tc>
      </w:tr>
      <w:tr>
        <w:tc>
          <w:tcPr>
            <w:tcW w:type="dxa" w:w="3135"/>
            <w:shd w:val="clear" w:color="auto" w:fill="DDEBF7"/>
          </w:tcPr>
          <w:p>
            <w:r>
              <w:rPr>
                <w:rFonts w:ascii="Meiryo UI" w:hAnsi="Meiryo UI"/>
                <w:sz w:val="18"/>
              </w:rPr>
              <w:t>減価償却費</w:t>
            </w:r>
          </w:p>
        </w:tc>
        <w:tc>
          <w:tcPr>
            <w:tcW w:type="dxa" w:w="3135"/>
            <w:shd w:val="clear" w:color="auto" w:fill="DDEBF7"/>
          </w:tcPr>
          <w:p>
            <w:r>
              <w:rPr>
                <w:rFonts w:ascii="Meiryo UI" w:hAnsi="Meiryo UI"/>
                <w:sz w:val="18"/>
              </w:rPr>
              <w:t>約450億円</w:t>
            </w:r>
          </w:p>
        </w:tc>
        <w:tc>
          <w:tcPr>
            <w:tcW w:type="dxa" w:w="3135"/>
            <w:shd w:val="clear" w:color="auto" w:fill="DDEBF7"/>
          </w:tcPr>
          <w:p>
            <w:r>
              <w:rPr>
                <w:rFonts w:ascii="Meiryo UI" w:hAnsi="Meiryo UI"/>
                <w:sz w:val="18"/>
              </w:rPr>
              <w:t>約480億円</w:t>
            </w:r>
          </w:p>
        </w:tc>
      </w:tr>
    </w:tbl>
    <w:p/>
    <w:p>
      <w:pPr>
        <w:pStyle w:val="Heading3"/>
      </w:pPr>
      <w:r>
        <w:rPr>
          <w:rFonts w:ascii="Meiryo UI" w:hAnsi="Meiryo UI"/>
          <w:color w:val="2E74B5"/>
        </w:rPr>
        <w:t>3.4 資本効率指標</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FY2024E</w:t>
            </w:r>
          </w:p>
        </w:tc>
        <w:tc>
          <w:tcPr>
            <w:tcW w:type="dxa" w:w="2351"/>
            <w:shd w:val="clear" w:color="auto" w:fill="2E74B5"/>
          </w:tcPr>
          <w:p>
            <w:r>
              <w:rPr>
                <w:rFonts w:ascii="Meiryo UI" w:hAnsi="Meiryo UI"/>
                <w:b/>
                <w:color w:val="FFFFFF"/>
                <w:sz w:val="18"/>
              </w:rPr>
              <w:t>FY2025E</w:t>
            </w:r>
          </w:p>
        </w:tc>
        <w:tc>
          <w:tcPr>
            <w:tcW w:type="dxa" w:w="2351"/>
            <w:shd w:val="clear" w:color="auto" w:fill="2E74B5"/>
          </w:tcPr>
          <w:p>
            <w:r>
              <w:rPr>
                <w:rFonts w:ascii="Meiryo UI" w:hAnsi="Meiryo UI"/>
                <w:b/>
                <w:color w:val="FFFFFF"/>
                <w:sz w:val="18"/>
              </w:rPr>
              <w:t>業界比較</w:t>
            </w:r>
          </w:p>
        </w:tc>
      </w:tr>
      <w:tr>
        <w:tc>
          <w:tcPr>
            <w:tcW w:type="dxa" w:w="2351"/>
          </w:tcPr>
          <w:p>
            <w:r>
              <w:rPr>
                <w:rFonts w:ascii="Meiryo UI" w:hAnsi="Meiryo UI"/>
                <w:sz w:val="18"/>
              </w:rPr>
              <w:t>ROE</w:t>
            </w:r>
          </w:p>
        </w:tc>
        <w:tc>
          <w:tcPr>
            <w:tcW w:type="dxa" w:w="2351"/>
          </w:tcPr>
          <w:p>
            <w:r>
              <w:rPr>
                <w:rFonts w:ascii="Meiryo UI" w:hAnsi="Meiryo UI"/>
                <w:sz w:val="18"/>
              </w:rPr>
              <w:t>6.5%</w:t>
            </w:r>
          </w:p>
        </w:tc>
        <w:tc>
          <w:tcPr>
            <w:tcW w:type="dxa" w:w="2351"/>
          </w:tcPr>
          <w:p>
            <w:r>
              <w:rPr>
                <w:rFonts w:ascii="Meiryo UI" w:hAnsi="Meiryo UI"/>
                <w:sz w:val="18"/>
              </w:rPr>
              <w:t>7.0〜8.0%</w:t>
            </w:r>
          </w:p>
        </w:tc>
        <w:tc>
          <w:tcPr>
            <w:tcW w:type="dxa" w:w="2351"/>
          </w:tcPr>
          <w:p>
            <w:r>
              <w:rPr>
                <w:rFonts w:ascii="Meiryo UI" w:hAnsi="Meiryo UI"/>
                <w:sz w:val="18"/>
              </w:rPr>
              <w:t>住友電工：8.5%</w:t>
            </w:r>
          </w:p>
        </w:tc>
      </w:tr>
      <w:tr>
        <w:tc>
          <w:tcPr>
            <w:tcW w:type="dxa" w:w="2351"/>
            <w:shd w:val="clear" w:color="auto" w:fill="DDEBF7"/>
          </w:tcPr>
          <w:p>
            <w:r>
              <w:rPr>
                <w:rFonts w:ascii="Meiryo UI" w:hAnsi="Meiryo UI"/>
                <w:sz w:val="18"/>
              </w:rPr>
              <w:t>ROA</w:t>
            </w:r>
          </w:p>
        </w:tc>
        <w:tc>
          <w:tcPr>
            <w:tcW w:type="dxa" w:w="2351"/>
            <w:shd w:val="clear" w:color="auto" w:fill="DDEBF7"/>
          </w:tcPr>
          <w:p>
            <w:r>
              <w:rPr>
                <w:rFonts w:ascii="Meiryo UI" w:hAnsi="Meiryo UI"/>
                <w:sz w:val="18"/>
              </w:rPr>
              <w:t>1.9%</w:t>
            </w:r>
          </w:p>
        </w:tc>
        <w:tc>
          <w:tcPr>
            <w:tcW w:type="dxa" w:w="2351"/>
            <w:shd w:val="clear" w:color="auto" w:fill="DDEBF7"/>
          </w:tcPr>
          <w:p>
            <w:r>
              <w:rPr>
                <w:rFonts w:ascii="Meiryo UI" w:hAnsi="Meiryo UI"/>
                <w:sz w:val="18"/>
              </w:rPr>
              <w:t>2.2%</w:t>
            </w:r>
          </w:p>
        </w:tc>
        <w:tc>
          <w:tcPr>
            <w:tcW w:type="dxa" w:w="2351"/>
            <w:shd w:val="clear" w:color="auto" w:fill="DDEBF7"/>
          </w:tcPr>
          <w:p>
            <w:r>
              <w:rPr>
                <w:rFonts w:ascii="Meiryo UI" w:hAnsi="Meiryo UI"/>
                <w:sz w:val="18"/>
              </w:rPr>
              <w:t>業界平均：2.5%</w:t>
            </w:r>
          </w:p>
        </w:tc>
      </w:tr>
      <w:tr>
        <w:tc>
          <w:tcPr>
            <w:tcW w:type="dxa" w:w="2351"/>
          </w:tcPr>
          <w:p>
            <w:r>
              <w:rPr>
                <w:rFonts w:ascii="Meiryo UI" w:hAnsi="Meiryo UI"/>
                <w:sz w:val="18"/>
              </w:rPr>
              <w:t>ROIC</w:t>
            </w:r>
          </w:p>
        </w:tc>
        <w:tc>
          <w:tcPr>
            <w:tcW w:type="dxa" w:w="2351"/>
          </w:tcPr>
          <w:p>
            <w:r>
              <w:rPr>
                <w:rFonts w:ascii="Meiryo UI" w:hAnsi="Meiryo UI"/>
                <w:sz w:val="18"/>
              </w:rPr>
              <w:t>4.5%</w:t>
            </w:r>
          </w:p>
        </w:tc>
        <w:tc>
          <w:tcPr>
            <w:tcW w:type="dxa" w:w="2351"/>
          </w:tcPr>
          <w:p>
            <w:r>
              <w:rPr>
                <w:rFonts w:ascii="Meiryo UI" w:hAnsi="Meiryo UI"/>
                <w:sz w:val="18"/>
              </w:rPr>
              <w:t>5.2%</w:t>
            </w:r>
          </w:p>
        </w:tc>
        <w:tc>
          <w:tcPr>
            <w:tcW w:type="dxa" w:w="2351"/>
          </w:tcPr>
          <w:p>
            <w:r>
              <w:rPr>
                <w:rFonts w:ascii="Meiryo UI" w:hAnsi="Meiryo UI"/>
                <w:sz w:val="18"/>
              </w:rPr>
              <w:t>要改善域</w:t>
            </w:r>
          </w:p>
        </w:tc>
      </w:tr>
      <w:tr>
        <w:tc>
          <w:tcPr>
            <w:tcW w:type="dxa" w:w="2351"/>
            <w:shd w:val="clear" w:color="auto" w:fill="DDEBF7"/>
          </w:tcPr>
          <w:p>
            <w:r>
              <w:rPr>
                <w:rFonts w:ascii="Meiryo UI" w:hAnsi="Meiryo UI"/>
                <w:sz w:val="18"/>
              </w:rPr>
              <w:t>PER（現在値）</w:t>
            </w:r>
          </w:p>
        </w:tc>
        <w:tc>
          <w:tcPr>
            <w:tcW w:type="dxa" w:w="2351"/>
            <w:shd w:val="clear" w:color="auto" w:fill="DDEBF7"/>
          </w:tcPr>
          <w:p>
            <w:r>
              <w:rPr>
                <w:rFonts w:ascii="Meiryo UI" w:hAnsi="Meiryo UI"/>
                <w:sz w:val="18"/>
              </w:rPr>
              <w:t>約10〜11倍</w:t>
            </w:r>
          </w:p>
        </w:tc>
        <w:tc>
          <w:tcPr>
            <w:tcW w:type="dxa" w:w="2351"/>
            <w:shd w:val="clear" w:color="auto" w:fill="DDEBF7"/>
          </w:tcPr>
          <w:p>
            <w:r>
              <w:rPr>
                <w:rFonts w:ascii="Meiryo UI" w:hAnsi="Meiryo UI"/>
                <w:sz w:val="18"/>
              </w:rPr>
              <w:t>約9〜10倍</w:t>
            </w:r>
          </w:p>
        </w:tc>
        <w:tc>
          <w:tcPr>
            <w:tcW w:type="dxa" w:w="2351"/>
            <w:shd w:val="clear" w:color="auto" w:fill="DDEBF7"/>
          </w:tcPr>
          <w:p>
            <w:r>
              <w:rPr>
                <w:rFonts w:ascii="Meiryo UI" w:hAnsi="Meiryo UI"/>
                <w:sz w:val="18"/>
              </w:rPr>
              <w:t>割安圏</w:t>
            </w:r>
          </w:p>
        </w:tc>
      </w:tr>
      <w:tr>
        <w:tc>
          <w:tcPr>
            <w:tcW w:type="dxa" w:w="2351"/>
          </w:tcPr>
          <w:p>
            <w:r>
              <w:rPr>
                <w:rFonts w:ascii="Meiryo UI" w:hAnsi="Meiryo UI"/>
                <w:sz w:val="18"/>
              </w:rPr>
              <w:t>PBR（現在値）</w:t>
            </w:r>
          </w:p>
        </w:tc>
        <w:tc>
          <w:tcPr>
            <w:tcW w:type="dxa" w:w="2351"/>
          </w:tcPr>
          <w:p>
            <w:r>
              <w:rPr>
                <w:rFonts w:ascii="Meiryo UI" w:hAnsi="Meiryo UI"/>
                <w:sz w:val="18"/>
              </w:rPr>
              <w:t>0.63倍</w:t>
            </w:r>
          </w:p>
        </w:tc>
        <w:tc>
          <w:tcPr>
            <w:tcW w:type="dxa" w:w="2351"/>
          </w:tcPr>
          <w:p>
            <w:r>
              <w:rPr>
                <w:rFonts w:ascii="Meiryo UI" w:hAnsi="Meiryo UI"/>
                <w:sz w:val="18"/>
              </w:rPr>
              <w:t>0.63倍</w:t>
            </w:r>
          </w:p>
        </w:tc>
        <w:tc>
          <w:tcPr>
            <w:tcW w:type="dxa" w:w="2351"/>
          </w:tcPr>
          <w:p>
            <w:r>
              <w:rPr>
                <w:rFonts w:ascii="Meiryo UI" w:hAnsi="Meiryo UI"/>
                <w:sz w:val="18"/>
              </w:rPr>
              <w:t>東証平均1.4倍</w:t>
            </w:r>
          </w:p>
        </w:tc>
      </w:tr>
      <w:tr>
        <w:tc>
          <w:tcPr>
            <w:tcW w:type="dxa" w:w="2351"/>
            <w:shd w:val="clear" w:color="auto" w:fill="DDEBF7"/>
          </w:tcPr>
          <w:p>
            <w:r>
              <w:rPr>
                <w:rFonts w:ascii="Meiryo UI" w:hAnsi="Meiryo UI"/>
                <w:sz w:val="18"/>
              </w:rPr>
              <w:t>配当利回り</w:t>
            </w:r>
          </w:p>
        </w:tc>
        <w:tc>
          <w:tcPr>
            <w:tcW w:type="dxa" w:w="2351"/>
            <w:shd w:val="clear" w:color="auto" w:fill="DDEBF7"/>
          </w:tcPr>
          <w:p>
            <w:r>
              <w:rPr>
                <w:rFonts w:ascii="Meiryo UI" w:hAnsi="Meiryo UI"/>
                <w:sz w:val="18"/>
              </w:rPr>
              <w:t>約2.2%</w:t>
            </w:r>
          </w:p>
        </w:tc>
        <w:tc>
          <w:tcPr>
            <w:tcW w:type="dxa" w:w="2351"/>
            <w:shd w:val="clear" w:color="auto" w:fill="DDEBF7"/>
          </w:tcPr>
          <w:p>
            <w:r>
              <w:rPr>
                <w:rFonts w:ascii="Meiryo UI" w:hAnsi="Meiryo UI"/>
                <w:sz w:val="18"/>
              </w:rPr>
              <w:t>約2.5%</w:t>
            </w:r>
          </w:p>
        </w:tc>
        <w:tc>
          <w:tcPr>
            <w:tcW w:type="dxa" w:w="2351"/>
            <w:shd w:val="clear" w:color="auto" w:fill="DDEBF7"/>
          </w:tcPr>
          <w:p>
            <w:r>
              <w:rPr>
                <w:rFonts w:ascii="Meiryo UI" w:hAnsi="Meiryo UI"/>
                <w:sz w:val="18"/>
              </w:rPr>
              <w:t>—</w:t>
            </w:r>
          </w:p>
        </w:tc>
      </w:tr>
    </w:tbl>
    <w:p/>
    <w:p>
      <w:pPr>
        <w:pStyle w:val="Heading3"/>
      </w:pPr>
      <w:r>
        <w:rPr>
          <w:rFonts w:ascii="Meiryo UI" w:hAnsi="Meiryo UI"/>
          <w:color w:val="2E74B5"/>
        </w:rPr>
        <w:t>3.5 財務面での重要観察事項</w:t>
      </w:r>
    </w:p>
    <w:p/>
    <w:p>
      <w:pPr>
        <w:pStyle w:val="ListNumber"/>
      </w:pPr>
      <w:r>
        <w:rPr>
          <w:rFonts w:ascii="Meiryo UI" w:hAnsi="Meiryo UI"/>
          <w:sz w:val="20"/>
        </w:rPr>
        <w:t>FCFが薄い理由：光ファイバー・銅箔の能力増強Capexが継続（2024〜2026年で累計2,000億円超の設備投資計画）。これは「未来への投資」であり、DCF的には成長率に正転する</w:t>
      </w:r>
    </w:p>
    <w:p>
      <w:pPr>
        <w:pStyle w:val="ListNumber"/>
      </w:pPr>
      <w:r>
        <w:rPr>
          <w:rFonts w:ascii="Meiryo UI" w:hAnsi="Meiryo UI"/>
          <w:sz w:val="20"/>
        </w:rPr>
        <w:t>純有利子負債3,200億円：EBITDA約1,050億円に対するネットD/EBITDA倍率は約3.0倍。やや高いが、インフラ企業として許容範囲</w:t>
      </w:r>
    </w:p>
    <w:p>
      <w:pPr>
        <w:pStyle w:val="ListNumber"/>
      </w:pPr>
      <w:r>
        <w:rPr>
          <w:rFonts w:ascii="Meiryo UI" w:hAnsi="Meiryo UI"/>
          <w:sz w:val="20"/>
        </w:rPr>
        <w:t>ARR/NRR概念：古河電工はSaaS企業ではないため直接適用不可。ただし光ファイバーの長期供給契約（DC向け）を「疑似ARR」と見立てると、新規受注積み上がりで実質的NRR向上が期待できる</w:t>
      </w:r>
    </w:p>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WACC計算</w:t>
      </w:r>
    </w:p>
    <w:p/>
    <w:p>
      <w:pPr>
        <w:pStyle w:val="Heading4"/>
      </w:pPr>
      <w:r>
        <w:rPr>
          <w:rFonts w:ascii="Meiryo UI" w:hAnsi="Meiryo UI"/>
          <w:color w:val="2E74B5"/>
        </w:rPr>
        <w:t>ステップ1：株主資本コスト（Re）</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Rf</w:t>
            </w:r>
          </w:p>
        </w:tc>
        <w:tc>
          <w:tcPr>
            <w:tcW w:type="dxa" w:w="3135"/>
          </w:tcPr>
          <w:p>
            <w:r>
              <w:rPr>
                <w:rFonts w:ascii="Meiryo UI" w:hAnsi="Meiryo UI"/>
                <w:sz w:val="18"/>
              </w:rPr>
              <w:t>2.380%</w:t>
            </w:r>
          </w:p>
        </w:tc>
        <w:tc>
          <w:tcPr>
            <w:tcW w:type="dxa" w:w="3135"/>
          </w:tcPr>
          <w:p>
            <w:r>
              <w:rPr>
                <w:rFonts w:ascii="Meiryo UI" w:hAnsi="Meiryo UI"/>
                <w:sz w:val="18"/>
              </w:rPr>
              <w:t>JGB10Y 2026-04-05確認値（絶対厳守）</w:t>
            </w:r>
          </w:p>
        </w:tc>
      </w:tr>
      <w:tr>
        <w:tc>
          <w:tcPr>
            <w:tcW w:type="dxa" w:w="3135"/>
            <w:shd w:val="clear" w:color="auto" w:fill="DDEBF7"/>
          </w:tcPr>
          <w:p>
            <w:r>
              <w:rPr>
                <w:rFonts w:ascii="Meiryo UI" w:hAnsi="Meiryo UI"/>
                <w:sz w:val="18"/>
              </w:rPr>
              <w:t>β（ベータ）</w:t>
            </w:r>
          </w:p>
        </w:tc>
        <w:tc>
          <w:tcPr>
            <w:tcW w:type="dxa" w:w="3135"/>
            <w:shd w:val="clear" w:color="auto" w:fill="DDEBF7"/>
          </w:tcPr>
          <w:p>
            <w:r>
              <w:rPr>
                <w:rFonts w:ascii="Meiryo UI" w:hAnsi="Meiryo UI"/>
                <w:sz w:val="18"/>
              </w:rPr>
              <w:t>1.05</w:t>
            </w:r>
          </w:p>
        </w:tc>
        <w:tc>
          <w:tcPr>
            <w:tcW w:type="dxa" w:w="3135"/>
            <w:shd w:val="clear" w:color="auto" w:fill="DDEBF7"/>
          </w:tcPr>
          <w:p>
            <w:r>
              <w:rPr>
                <w:rFonts w:ascii="Meiryo UI" w:hAnsi="Meiryo UI"/>
                <w:sz w:val="18"/>
              </w:rPr>
              <w:t>東証電線・金属セクター、5801過去3年実績推定</w:t>
            </w:r>
          </w:p>
        </w:tc>
      </w:tr>
      <w:tr>
        <w:tc>
          <w:tcPr>
            <w:tcW w:type="dxa" w:w="3135"/>
          </w:tcPr>
          <w:p>
            <w:r>
              <w:rPr>
                <w:rFonts w:ascii="Meiryo UI" w:hAnsi="Meiryo UI"/>
                <w:sz w:val="18"/>
              </w:rPr>
              <w:t>ERP（株式リスクプレミアム）</w:t>
            </w:r>
          </w:p>
        </w:tc>
        <w:tc>
          <w:tcPr>
            <w:tcW w:type="dxa" w:w="3135"/>
          </w:tcPr>
          <w:p>
            <w:r>
              <w:rPr>
                <w:rFonts w:ascii="Meiryo UI" w:hAnsi="Meiryo UI"/>
                <w:sz w:val="18"/>
              </w:rPr>
              <w:t>6.0%</w:t>
            </w:r>
          </w:p>
        </w:tc>
        <w:tc>
          <w:tcPr>
            <w:tcW w:type="dxa" w:w="3135"/>
          </w:tcPr>
          <w:p>
            <w:r>
              <w:rPr>
                <w:rFonts w:ascii="Meiryo UI" w:hAnsi="Meiryo UI"/>
                <w:sz w:val="18"/>
              </w:rPr>
              <w:t>日本市場標準（Damodaran参照・2026年推定）</w:t>
            </w:r>
          </w:p>
        </w:tc>
      </w:tr>
      <w:tr>
        <w:tc>
          <w:tcPr>
            <w:tcW w:type="dxa" w:w="3135"/>
            <w:shd w:val="clear" w:color="auto" w:fill="DDEBF7"/>
          </w:tcPr>
          <w:p>
            <w:r>
              <w:rPr>
                <w:rFonts w:ascii="Meiryo UI" w:hAnsi="Meiryo UI"/>
                <w:sz w:val="18"/>
              </w:rPr>
              <w:t>Re</w:t>
            </w:r>
          </w:p>
        </w:tc>
        <w:tc>
          <w:tcPr>
            <w:tcW w:type="dxa" w:w="3135"/>
            <w:shd w:val="clear" w:color="auto" w:fill="DDEBF7"/>
          </w:tcPr>
          <w:p>
            <w:r>
              <w:rPr>
                <w:rFonts w:ascii="Meiryo UI" w:hAnsi="Meiryo UI"/>
                <w:sz w:val="18"/>
              </w:rPr>
              <w:t>2.380% + 1.05 × 6.0%</w:t>
            </w:r>
          </w:p>
        </w:tc>
        <w:tc>
          <w:tcPr>
            <w:tcW w:type="dxa" w:w="3135"/>
            <w:shd w:val="clear" w:color="auto" w:fill="DDEBF7"/>
          </w:tcPr>
          <w:p>
            <w:r>
              <w:rPr>
                <w:rFonts w:ascii="Meiryo UI" w:hAnsi="Meiryo UI"/>
                <w:sz w:val="18"/>
              </w:rPr>
            </w:r>
          </w:p>
        </w:tc>
      </w:tr>
      <w:tr>
        <w:tc>
          <w:tcPr>
            <w:tcW w:type="dxa" w:w="3135"/>
          </w:tcPr>
          <w:p>
            <w:r>
              <w:rPr>
                <w:rFonts w:ascii="Meiryo UI" w:hAnsi="Meiryo UI"/>
                <w:sz w:val="18"/>
              </w:rPr>
              <w:t>= Re</w:t>
            </w:r>
          </w:p>
        </w:tc>
        <w:tc>
          <w:tcPr>
            <w:tcW w:type="dxa" w:w="3135"/>
          </w:tcPr>
          <w:p>
            <w:r>
              <w:rPr>
                <w:rFonts w:ascii="Meiryo UI" w:hAnsi="Meiryo UI"/>
                <w:sz w:val="18"/>
              </w:rPr>
              <w:t>8.68%</w:t>
            </w:r>
          </w:p>
        </w:tc>
        <w:tc>
          <w:tcPr>
            <w:tcW w:type="dxa" w:w="3135"/>
          </w:tcPr>
          <w:p>
            <w:r>
              <w:rPr>
                <w:rFonts w:ascii="Meiryo UI" w:hAnsi="Meiryo UI"/>
                <w:sz w:val="18"/>
              </w:rPr>
            </w:r>
          </w:p>
        </w:tc>
      </w:tr>
    </w:tbl>
    <w:p/>
    <w:p>
      <w:pPr>
        <w:pStyle w:val="Heading4"/>
      </w:pPr>
      <w:r>
        <w:rPr>
          <w:rFonts w:ascii="Meiryo UI" w:hAnsi="Meiryo UI"/>
          <w:color w:val="2E74B5"/>
        </w:rPr>
        <w:t>ステップ2：負債コスト（Rd）</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有利子負債（D）</w:t>
            </w:r>
          </w:p>
        </w:tc>
        <w:tc>
          <w:tcPr>
            <w:tcW w:type="dxa" w:w="3135"/>
          </w:tcPr>
          <w:p>
            <w:r>
              <w:rPr>
                <w:rFonts w:ascii="Meiryo UI" w:hAnsi="Meiryo UI"/>
                <w:sz w:val="18"/>
              </w:rPr>
              <w:t>3,800億円</w:t>
            </w:r>
          </w:p>
        </w:tc>
        <w:tc>
          <w:tcPr>
            <w:tcW w:type="dxa" w:w="3135"/>
          </w:tcPr>
          <w:p>
            <w:r>
              <w:rPr>
                <w:rFonts w:ascii="Meiryo UI" w:hAnsi="Meiryo UI"/>
                <w:sz w:val="18"/>
              </w:rPr>
              <w:t>短期+長期借入金合計（推定）</w:t>
            </w:r>
          </w:p>
        </w:tc>
      </w:tr>
      <w:tr>
        <w:tc>
          <w:tcPr>
            <w:tcW w:type="dxa" w:w="3135"/>
            <w:shd w:val="clear" w:color="auto" w:fill="DDEBF7"/>
          </w:tcPr>
          <w:p>
            <w:r>
              <w:rPr>
                <w:rFonts w:ascii="Meiryo UI" w:hAnsi="Meiryo UI"/>
                <w:sz w:val="18"/>
              </w:rPr>
              <w:t>平均借入金利（Rd）</w:t>
            </w:r>
          </w:p>
        </w:tc>
        <w:tc>
          <w:tcPr>
            <w:tcW w:type="dxa" w:w="3135"/>
            <w:shd w:val="clear" w:color="auto" w:fill="DDEBF7"/>
          </w:tcPr>
          <w:p>
            <w:r>
              <w:rPr>
                <w:rFonts w:ascii="Meiryo UI" w:hAnsi="Meiryo UI"/>
                <w:sz w:val="18"/>
              </w:rPr>
              <w:t>1.8%</w:t>
            </w:r>
          </w:p>
        </w:tc>
        <w:tc>
          <w:tcPr>
            <w:tcW w:type="dxa" w:w="3135"/>
            <w:shd w:val="clear" w:color="auto" w:fill="DDEBF7"/>
          </w:tcPr>
          <w:p>
            <w:r>
              <w:rPr>
                <w:rFonts w:ascii="Meiryo UI" w:hAnsi="Meiryo UI"/>
                <w:sz w:val="18"/>
              </w:rPr>
              <w:t>長期社債利回り・銀行借入加重平均</w:t>
            </w:r>
          </w:p>
        </w:tc>
      </w:tr>
      <w:tr>
        <w:tc>
          <w:tcPr>
            <w:tcW w:type="dxa" w:w="3135"/>
          </w:tcPr>
          <w:p>
            <w:r>
              <w:rPr>
                <w:rFonts w:ascii="Meiryo UI" w:hAnsi="Meiryo UI"/>
                <w:sz w:val="18"/>
              </w:rPr>
              <w:t>実効税率（Tc）</w:t>
            </w:r>
          </w:p>
        </w:tc>
        <w:tc>
          <w:tcPr>
            <w:tcW w:type="dxa" w:w="3135"/>
          </w:tcPr>
          <w:p>
            <w:r>
              <w:rPr>
                <w:rFonts w:ascii="Meiryo UI" w:hAnsi="Meiryo UI"/>
                <w:sz w:val="18"/>
              </w:rPr>
              <w:t>30%</w:t>
            </w:r>
          </w:p>
        </w:tc>
        <w:tc>
          <w:tcPr>
            <w:tcW w:type="dxa" w:w="3135"/>
          </w:tcPr>
          <w:p>
            <w:r>
              <w:rPr>
                <w:rFonts w:ascii="Meiryo UI" w:hAnsi="Meiryo UI"/>
                <w:sz w:val="18"/>
              </w:rPr>
              <w:t>日本法人税率標準</w:t>
            </w:r>
          </w:p>
        </w:tc>
      </w:tr>
      <w:tr>
        <w:tc>
          <w:tcPr>
            <w:tcW w:type="dxa" w:w="3135"/>
            <w:shd w:val="clear" w:color="auto" w:fill="DDEBF7"/>
          </w:tcPr>
          <w:p>
            <w:r>
              <w:rPr>
                <w:rFonts w:ascii="Meiryo UI" w:hAnsi="Meiryo UI"/>
                <w:sz w:val="18"/>
              </w:rPr>
              <w:t>Rd×(1-Tc)</w:t>
            </w:r>
          </w:p>
        </w:tc>
        <w:tc>
          <w:tcPr>
            <w:tcW w:type="dxa" w:w="3135"/>
            <w:shd w:val="clear" w:color="auto" w:fill="DDEBF7"/>
          </w:tcPr>
          <w:p>
            <w:r>
              <w:rPr>
                <w:rFonts w:ascii="Meiryo UI" w:hAnsi="Meiryo UI"/>
                <w:sz w:val="18"/>
              </w:rPr>
              <w:t>1.26%</w:t>
            </w:r>
          </w:p>
        </w:tc>
        <w:tc>
          <w:tcPr>
            <w:tcW w:type="dxa" w:w="3135"/>
            <w:shd w:val="clear" w:color="auto" w:fill="DDEBF7"/>
          </w:tcPr>
          <w:p>
            <w:r>
              <w:rPr>
                <w:rFonts w:ascii="Meiryo UI" w:hAnsi="Meiryo UI"/>
                <w:sz w:val="18"/>
              </w:rPr>
            </w:r>
          </w:p>
        </w:tc>
      </w:tr>
    </w:tbl>
    <w:p/>
    <w:p>
      <w:pPr>
        <w:pStyle w:val="Heading4"/>
      </w:pPr>
      <w:r>
        <w:rPr>
          <w:rFonts w:ascii="Meiryo UI" w:hAnsi="Meiryo UI"/>
          <w:color w:val="2E74B5"/>
        </w:rPr>
        <w:t>ステップ3：資本構成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金額</w:t>
            </w:r>
          </w:p>
        </w:tc>
        <w:tc>
          <w:tcPr>
            <w:tcW w:type="dxa" w:w="3135"/>
            <w:shd w:val="clear" w:color="auto" w:fill="2E74B5"/>
          </w:tcPr>
          <w:p>
            <w:r>
              <w:rPr>
                <w:rFonts w:ascii="Meiryo UI" w:hAnsi="Meiryo UI"/>
                <w:b/>
                <w:color w:val="FFFFFF"/>
                <w:sz w:val="18"/>
              </w:rPr>
              <w:t>構成比</w:t>
            </w:r>
          </w:p>
        </w:tc>
      </w:tr>
      <w:tr>
        <w:tc>
          <w:tcPr>
            <w:tcW w:type="dxa" w:w="3135"/>
          </w:tcPr>
          <w:p>
            <w:r>
              <w:rPr>
                <w:rFonts w:ascii="Meiryo UI" w:hAnsi="Meiryo UI"/>
                <w:sz w:val="18"/>
              </w:rPr>
              <w:t>株主資本（E、時価）</w:t>
            </w:r>
          </w:p>
        </w:tc>
        <w:tc>
          <w:tcPr>
            <w:tcW w:type="dxa" w:w="3135"/>
          </w:tcPr>
          <w:p>
            <w:r>
              <w:rPr>
                <w:rFonts w:ascii="Meiryo UI" w:hAnsi="Meiryo UI"/>
                <w:sz w:val="18"/>
              </w:rPr>
              <w:t>約4,800億円</w:t>
            </w:r>
          </w:p>
        </w:tc>
        <w:tc>
          <w:tcPr>
            <w:tcW w:type="dxa" w:w="3135"/>
          </w:tcPr>
          <w:p>
            <w:r>
              <w:rPr>
                <w:rFonts w:ascii="Meiryo UI" w:hAnsi="Meiryo UI"/>
                <w:sz w:val="18"/>
              </w:rPr>
              <w:t>55.8%</w:t>
            </w:r>
          </w:p>
        </w:tc>
      </w:tr>
      <w:tr>
        <w:tc>
          <w:tcPr>
            <w:tcW w:type="dxa" w:w="3135"/>
            <w:shd w:val="clear" w:color="auto" w:fill="DDEBF7"/>
          </w:tcPr>
          <w:p>
            <w:r>
              <w:rPr>
                <w:rFonts w:ascii="Meiryo UI" w:hAnsi="Meiryo UI"/>
                <w:sz w:val="18"/>
              </w:rPr>
              <w:t>有利子負債（D）</w:t>
            </w:r>
          </w:p>
        </w:tc>
        <w:tc>
          <w:tcPr>
            <w:tcW w:type="dxa" w:w="3135"/>
            <w:shd w:val="clear" w:color="auto" w:fill="DDEBF7"/>
          </w:tcPr>
          <w:p>
            <w:r>
              <w:rPr>
                <w:rFonts w:ascii="Meiryo UI" w:hAnsi="Meiryo UI"/>
                <w:sz w:val="18"/>
              </w:rPr>
              <w:t>3,800億円</w:t>
            </w:r>
          </w:p>
        </w:tc>
        <w:tc>
          <w:tcPr>
            <w:tcW w:type="dxa" w:w="3135"/>
            <w:shd w:val="clear" w:color="auto" w:fill="DDEBF7"/>
          </w:tcPr>
          <w:p>
            <w:r>
              <w:rPr>
                <w:rFonts w:ascii="Meiryo UI" w:hAnsi="Meiryo UI"/>
                <w:sz w:val="18"/>
              </w:rPr>
              <w:t>44.2%</w:t>
            </w:r>
          </w:p>
        </w:tc>
      </w:tr>
      <w:tr>
        <w:tc>
          <w:tcPr>
            <w:tcW w:type="dxa" w:w="3135"/>
          </w:tcPr>
          <w:p>
            <w:r>
              <w:rPr>
                <w:rFonts w:ascii="Meiryo UI" w:hAnsi="Meiryo UI"/>
                <w:sz w:val="18"/>
              </w:rPr>
              <w:t>D+E</w:t>
            </w:r>
          </w:p>
        </w:tc>
        <w:tc>
          <w:tcPr>
            <w:tcW w:type="dxa" w:w="3135"/>
          </w:tcPr>
          <w:p>
            <w:r>
              <w:rPr>
                <w:rFonts w:ascii="Meiryo UI" w:hAnsi="Meiryo UI"/>
                <w:sz w:val="18"/>
              </w:rPr>
              <w:t>8,600億円</w:t>
            </w:r>
          </w:p>
        </w:tc>
        <w:tc>
          <w:tcPr>
            <w:tcW w:type="dxa" w:w="3135"/>
          </w:tcPr>
          <w:p>
            <w:r>
              <w:rPr>
                <w:rFonts w:ascii="Meiryo UI" w:hAnsi="Meiryo UI"/>
                <w:sz w:val="18"/>
              </w:rPr>
              <w:t>100%</w:t>
            </w:r>
          </w:p>
        </w:tc>
      </w:tr>
    </w:tbl>
    <w:p/>
    <w:p>
      <w:pPr>
        <w:pStyle w:val="Heading4"/>
      </w:pPr>
      <w:r>
        <w:rPr>
          <w:rFonts w:ascii="Meiryo UI" w:hAnsi="Meiryo UI"/>
          <w:color w:val="2E74B5"/>
        </w:rPr>
        <w:t>ステップ4：WACC計算</w:t>
      </w:r>
    </w:p>
    <w:p/>
    <w:p>
      <w:pPr>
        <w:shd w:val="clear" w:color="auto" w:fill="F2F2F2"/>
      </w:pPr>
      <w:r>
        <w:rPr>
          <w:rFonts w:ascii="Courier New" w:hAnsi="Courier New"/>
          <w:sz w:val="16"/>
        </w:rPr>
        <w:t>WACC = [E/(D+E) × Re] + [D/(D+E) × Rd × (1-Tc)]</w:t>
        <w:br/>
        <w:t xml:space="preserve">     = [0.558 × 8.68%] + [0.442 × 1.26%]</w:t>
        <w:br/>
        <w:t xml:space="preserve">     = 4.843% + 0.557%</w:t>
        <w:br/>
        <w:t xml:space="preserve">     = 5.40%</w:t>
      </w:r>
    </w:p>
    <w:p/>
    <w:p>
      <w:r>
        <w:rPr>
          <w:rFonts w:ascii="Meiryo UI" w:hAnsi="Meiryo UI"/>
          <w:sz w:val="20"/>
        </w:rPr>
        <w:t>WACC = 5.40%</w:t>
      </w:r>
    </w:p>
    <w:p/>
    <w:p>
      <w:r>
        <w:t>──────────────────────────────────────────────────</w:t>
      </w:r>
    </w:p>
    <w:p/>
    <w:p>
      <w:pPr>
        <w:pStyle w:val="Heading3"/>
      </w:pPr>
      <w:r>
        <w:rPr>
          <w:rFonts w:ascii="Meiryo UI" w:hAnsi="Meiryo UI"/>
          <w:color w:val="2E74B5"/>
        </w:rPr>
        <w:t>4.2 DCFモデル前提条件</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前提項目</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根拠・コメント</w:t>
            </w:r>
          </w:p>
        </w:tc>
      </w:tr>
      <w:tr>
        <w:tc>
          <w:tcPr>
            <w:tcW w:type="dxa" w:w="3135"/>
          </w:tcPr>
          <w:p>
            <w:r>
              <w:rPr>
                <w:rFonts w:ascii="Meiryo UI" w:hAnsi="Meiryo UI"/>
                <w:sz w:val="18"/>
              </w:rPr>
              <w:t>分析ベース</w:t>
            </w:r>
          </w:p>
        </w:tc>
        <w:tc>
          <w:tcPr>
            <w:tcW w:type="dxa" w:w="3135"/>
          </w:tcPr>
          <w:p>
            <w:r>
              <w:rPr>
                <w:rFonts w:ascii="Meiryo UI" w:hAnsi="Meiryo UI"/>
                <w:sz w:val="18"/>
              </w:rPr>
              <w:t>FCFモデル（FCFF）</w:t>
            </w:r>
          </w:p>
        </w:tc>
        <w:tc>
          <w:tcPr>
            <w:tcW w:type="dxa" w:w="3135"/>
          </w:tcPr>
          <w:p>
            <w:r>
              <w:rPr>
                <w:rFonts w:ascii="Meiryo UI" w:hAnsi="Meiryo UI"/>
                <w:sz w:val="18"/>
              </w:rPr>
            </w:r>
          </w:p>
        </w:tc>
      </w:tr>
      <w:tr>
        <w:tc>
          <w:tcPr>
            <w:tcW w:type="dxa" w:w="3135"/>
            <w:shd w:val="clear" w:color="auto" w:fill="DDEBF7"/>
          </w:tcPr>
          <w:p>
            <w:r>
              <w:rPr>
                <w:rFonts w:ascii="Meiryo UI" w:hAnsi="Meiryo UI"/>
                <w:sz w:val="18"/>
              </w:rPr>
              <w:t>予測期間</w:t>
            </w:r>
          </w:p>
        </w:tc>
        <w:tc>
          <w:tcPr>
            <w:tcW w:type="dxa" w:w="3135"/>
            <w:shd w:val="clear" w:color="auto" w:fill="DDEBF7"/>
          </w:tcPr>
          <w:p>
            <w:r>
              <w:rPr>
                <w:rFonts w:ascii="Meiryo UI" w:hAnsi="Meiryo UI"/>
                <w:sz w:val="18"/>
              </w:rPr>
              <w:t>10年（FY2026〜FY2035）</w:t>
            </w:r>
          </w:p>
        </w:tc>
        <w:tc>
          <w:tcPr>
            <w:tcW w:type="dxa" w:w="3135"/>
            <w:shd w:val="clear" w:color="auto" w:fill="DDEBF7"/>
          </w:tcPr>
          <w:p>
            <w:r>
              <w:rPr>
                <w:rFonts w:ascii="Meiryo UI" w:hAnsi="Meiryo UI"/>
                <w:sz w:val="18"/>
              </w:rPr>
            </w:r>
          </w:p>
        </w:tc>
      </w:tr>
      <w:tr>
        <w:tc>
          <w:tcPr>
            <w:tcW w:type="dxa" w:w="3135"/>
          </w:tcPr>
          <w:p>
            <w:r>
              <w:rPr>
                <w:rFonts w:ascii="Meiryo UI" w:hAnsi="Meiryo UI"/>
                <w:sz w:val="18"/>
              </w:rPr>
              <w:t>基準EBIT</w:t>
            </w:r>
          </w:p>
        </w:tc>
        <w:tc>
          <w:tcPr>
            <w:tcW w:type="dxa" w:w="3135"/>
          </w:tcPr>
          <w:p>
            <w:r>
              <w:rPr>
                <w:rFonts w:ascii="Meiryo UI" w:hAnsi="Meiryo UI"/>
                <w:sz w:val="18"/>
              </w:rPr>
              <w:t>590億円（FY2025E）</w:t>
            </w:r>
          </w:p>
        </w:tc>
        <w:tc>
          <w:tcPr>
            <w:tcW w:type="dxa" w:w="3135"/>
          </w:tcPr>
          <w:p>
            <w:r>
              <w:rPr>
                <w:rFonts w:ascii="Meiryo UI" w:hAnsi="Meiryo UI"/>
                <w:sz w:val="18"/>
              </w:rPr>
            </w:r>
          </w:p>
        </w:tc>
      </w:tr>
      <w:tr>
        <w:tc>
          <w:tcPr>
            <w:tcW w:type="dxa" w:w="3135"/>
            <w:shd w:val="clear" w:color="auto" w:fill="DDEBF7"/>
          </w:tcPr>
          <w:p>
            <w:r>
              <w:rPr>
                <w:rFonts w:ascii="Meiryo UI" w:hAnsi="Meiryo UI"/>
                <w:sz w:val="18"/>
              </w:rPr>
              <w:t>実効税率</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r>
          </w:p>
        </w:tc>
      </w:tr>
      <w:tr>
        <w:tc>
          <w:tcPr>
            <w:tcW w:type="dxa" w:w="3135"/>
          </w:tcPr>
          <w:p>
            <w:r>
              <w:rPr>
                <w:rFonts w:ascii="Meiryo UI" w:hAnsi="Meiryo UI"/>
                <w:sz w:val="18"/>
              </w:rPr>
              <w:t>D&amp;A（減価償却）</w:t>
            </w:r>
          </w:p>
        </w:tc>
        <w:tc>
          <w:tcPr>
            <w:tcW w:type="dxa" w:w="3135"/>
          </w:tcPr>
          <w:p>
            <w:r>
              <w:rPr>
                <w:rFonts w:ascii="Meiryo UI" w:hAnsi="Meiryo UI"/>
                <w:sz w:val="18"/>
              </w:rPr>
              <w:t>480億円（FY2025E）</w:t>
            </w:r>
          </w:p>
        </w:tc>
        <w:tc>
          <w:tcPr>
            <w:tcW w:type="dxa" w:w="3135"/>
          </w:tcPr>
          <w:p>
            <w:r>
              <w:rPr>
                <w:rFonts w:ascii="Meiryo UI" w:hAnsi="Meiryo UI"/>
                <w:sz w:val="18"/>
              </w:rPr>
            </w:r>
          </w:p>
        </w:tc>
      </w:tr>
      <w:tr>
        <w:tc>
          <w:tcPr>
            <w:tcW w:type="dxa" w:w="3135"/>
            <w:shd w:val="clear" w:color="auto" w:fill="DDEBF7"/>
          </w:tcPr>
          <w:p>
            <w:r>
              <w:rPr>
                <w:rFonts w:ascii="Meiryo UI" w:hAnsi="Meiryo UI"/>
                <w:sz w:val="18"/>
              </w:rPr>
              <w:t>Capex</w:t>
            </w:r>
          </w:p>
        </w:tc>
        <w:tc>
          <w:tcPr>
            <w:tcW w:type="dxa" w:w="3135"/>
            <w:shd w:val="clear" w:color="auto" w:fill="DDEBF7"/>
          </w:tcPr>
          <w:p>
            <w:r>
              <w:rPr>
                <w:rFonts w:ascii="Meiryo UI" w:hAnsi="Meiryo UI"/>
                <w:sz w:val="18"/>
              </w:rPr>
              <w:t>700億円（FY2025E）</w:t>
            </w:r>
          </w:p>
        </w:tc>
        <w:tc>
          <w:tcPr>
            <w:tcW w:type="dxa" w:w="3135"/>
            <w:shd w:val="clear" w:color="auto" w:fill="DDEBF7"/>
          </w:tcPr>
          <w:p>
            <w:r>
              <w:rPr>
                <w:rFonts w:ascii="Meiryo UI" w:hAnsi="Meiryo UI"/>
                <w:sz w:val="18"/>
              </w:rPr>
            </w:r>
          </w:p>
        </w:tc>
      </w:tr>
      <w:tr>
        <w:tc>
          <w:tcPr>
            <w:tcW w:type="dxa" w:w="3135"/>
          </w:tcPr>
          <w:p>
            <w:r>
              <w:rPr>
                <w:rFonts w:ascii="Meiryo UI" w:hAnsi="Meiryo UI"/>
                <w:sz w:val="18"/>
              </w:rPr>
              <w:t>運転資本増加</w:t>
            </w:r>
          </w:p>
        </w:tc>
        <w:tc>
          <w:tcPr>
            <w:tcW w:type="dxa" w:w="3135"/>
          </w:tcPr>
          <w:p>
            <w:r>
              <w:rPr>
                <w:rFonts w:ascii="Meiryo UI" w:hAnsi="Meiryo UI"/>
                <w:sz w:val="18"/>
              </w:rPr>
              <w:t>80億円/年</w:t>
            </w:r>
          </w:p>
        </w:tc>
        <w:tc>
          <w:tcPr>
            <w:tcW w:type="dxa" w:w="3135"/>
          </w:tcPr>
          <w:p>
            <w:r>
              <w:rPr>
                <w:rFonts w:ascii="Meiryo UI" w:hAnsi="Meiryo UI"/>
                <w:sz w:val="18"/>
              </w:rPr>
              <w:t>売上成長に連動</w:t>
            </w:r>
          </w:p>
        </w:tc>
      </w:tr>
      <w:tr>
        <w:tc>
          <w:tcPr>
            <w:tcW w:type="dxa" w:w="3135"/>
            <w:shd w:val="clear" w:color="auto" w:fill="DDEBF7"/>
          </w:tcPr>
          <w:p>
            <w:r>
              <w:rPr>
                <w:rFonts w:ascii="Meiryo UI" w:hAnsi="Meiryo UI"/>
                <w:sz w:val="18"/>
              </w:rPr>
              <w:t>成長率（Phase 1: 1〜5年）</w:t>
            </w:r>
          </w:p>
        </w:tc>
        <w:tc>
          <w:tcPr>
            <w:tcW w:type="dxa" w:w="3135"/>
            <w:shd w:val="clear" w:color="auto" w:fill="DDEBF7"/>
          </w:tcPr>
          <w:p>
            <w:r>
              <w:rPr>
                <w:rFonts w:ascii="Meiryo UI" w:hAnsi="Meiryo UI"/>
                <w:sz w:val="18"/>
              </w:rPr>
              <w:t>8.0%</w:t>
            </w:r>
          </w:p>
        </w:tc>
        <w:tc>
          <w:tcPr>
            <w:tcW w:type="dxa" w:w="3135"/>
            <w:shd w:val="clear" w:color="auto" w:fill="DDEBF7"/>
          </w:tcPr>
          <w:p>
            <w:r>
              <w:rPr>
                <w:rFonts w:ascii="Meiryo UI" w:hAnsi="Meiryo UI"/>
                <w:sz w:val="18"/>
              </w:rPr>
              <w:t>光ファイバー・銅箔急成長牽引</w:t>
            </w:r>
          </w:p>
        </w:tc>
      </w:tr>
      <w:tr>
        <w:tc>
          <w:tcPr>
            <w:tcW w:type="dxa" w:w="3135"/>
          </w:tcPr>
          <w:p>
            <w:r>
              <w:rPr>
                <w:rFonts w:ascii="Meiryo UI" w:hAnsi="Meiryo UI"/>
                <w:sz w:val="18"/>
              </w:rPr>
              <w:t>成長率（Phase 2: 6〜10年）</w:t>
            </w:r>
          </w:p>
        </w:tc>
        <w:tc>
          <w:tcPr>
            <w:tcW w:type="dxa" w:w="3135"/>
          </w:tcPr>
          <w:p>
            <w:r>
              <w:rPr>
                <w:rFonts w:ascii="Meiryo UI" w:hAnsi="Meiryo UI"/>
                <w:sz w:val="18"/>
              </w:rPr>
              <w:t>4.0%</w:t>
            </w:r>
          </w:p>
        </w:tc>
        <w:tc>
          <w:tcPr>
            <w:tcW w:type="dxa" w:w="3135"/>
          </w:tcPr>
          <w:p>
            <w:r>
              <w:rPr>
                <w:rFonts w:ascii="Meiryo UI" w:hAnsi="Meiryo UI"/>
                <w:sz w:val="18"/>
              </w:rPr>
              <w:t>成長鈍化・市場成熟化</w:t>
            </w:r>
          </w:p>
        </w:tc>
      </w:tr>
      <w:tr>
        <w:tc>
          <w:tcPr>
            <w:tcW w:type="dxa" w:w="3135"/>
            <w:shd w:val="clear" w:color="auto" w:fill="DDEBF7"/>
          </w:tcPr>
          <w:p>
            <w:r>
              <w:rPr>
                <w:rFonts w:ascii="Meiryo UI" w:hAnsi="Meiryo UI"/>
                <w:sz w:val="18"/>
              </w:rPr>
              <w:t>永続成長率（g）</w:t>
            </w:r>
          </w:p>
        </w:tc>
        <w:tc>
          <w:tcPr>
            <w:tcW w:type="dxa" w:w="3135"/>
            <w:shd w:val="clear" w:color="auto" w:fill="DDEBF7"/>
          </w:tcPr>
          <w:p>
            <w:r>
              <w:rPr>
                <w:rFonts w:ascii="Meiryo UI" w:hAnsi="Meiryo UI"/>
                <w:sz w:val="18"/>
              </w:rPr>
              <w:t>1.5%</w:t>
            </w:r>
          </w:p>
        </w:tc>
        <w:tc>
          <w:tcPr>
            <w:tcW w:type="dxa" w:w="3135"/>
            <w:shd w:val="clear" w:color="auto" w:fill="DDEBF7"/>
          </w:tcPr>
          <w:p>
            <w:r>
              <w:rPr>
                <w:rFonts w:ascii="Meiryo UI" w:hAnsi="Meiryo UI"/>
                <w:sz w:val="18"/>
              </w:rPr>
              <w:t>日本GDP+インフレ想定</w:t>
            </w:r>
          </w:p>
        </w:tc>
      </w:tr>
      <w:tr>
        <w:tc>
          <w:tcPr>
            <w:tcW w:type="dxa" w:w="3135"/>
          </w:tcPr>
          <w:p>
            <w:r>
              <w:rPr>
                <w:rFonts w:ascii="Meiryo UI" w:hAnsi="Meiryo UI"/>
                <w:sz w:val="18"/>
              </w:rPr>
              <w:t>WACC</w:t>
            </w:r>
          </w:p>
        </w:tc>
        <w:tc>
          <w:tcPr>
            <w:tcW w:type="dxa" w:w="3135"/>
          </w:tcPr>
          <w:p>
            <w:r>
              <w:rPr>
                <w:rFonts w:ascii="Meiryo UI" w:hAnsi="Meiryo UI"/>
                <w:sz w:val="18"/>
              </w:rPr>
              <w:t>5.40%</w:t>
            </w:r>
          </w:p>
        </w:tc>
        <w:tc>
          <w:tcPr>
            <w:tcW w:type="dxa" w:w="3135"/>
          </w:tcPr>
          <w:p>
            <w:r>
              <w:rPr>
                <w:rFonts w:ascii="Meiryo UI" w:hAnsi="Meiryo UI"/>
                <w:sz w:val="18"/>
              </w:rPr>
              <w:t>上記計算値</w:t>
            </w:r>
          </w:p>
        </w:tc>
      </w:tr>
    </w:tbl>
    <w:p/>
    <w:p>
      <w:r>
        <w:t>──────────────────────────────────────────────────</w:t>
      </w:r>
    </w:p>
    <w:p/>
    <w:p>
      <w:pPr>
        <w:pStyle w:val="Heading3"/>
      </w:pPr>
      <w:r>
        <w:rPr>
          <w:rFonts w:ascii="Meiryo UI" w:hAnsi="Meiryo UI"/>
          <w:color w:val="2E74B5"/>
        </w:rPr>
        <w:t>4.3 DCFキャッシュフロー試算（ベースケース）</w:t>
      </w:r>
    </w:p>
    <w:p/>
    <w:p>
      <w:pPr>
        <w:shd w:val="clear" w:color="auto" w:fill="F2F2F2"/>
      </w:pPr>
      <w:r>
        <w:rPr>
          <w:rFonts w:ascii="Courier New" w:hAnsi="Courier New"/>
          <w:sz w:val="16"/>
        </w:rPr>
        <w:t>FCFF計算式：FCFF = EBIT×(1-Tc) + D&amp;A - Capex - △NWC</w:t>
        <w:br/>
        <w:br/>
        <w:t>基準FCFF（FY2025E）：</w:t>
        <w:br/>
        <w:t>= 590 × 0.70 + 480 - 700 - 80</w:t>
        <w:br/>
        <w:t>= 413 + 480 - 700 - 80</w:t>
        <w:br/>
        <w:t>= 113億円</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年度</w:t>
            </w:r>
          </w:p>
        </w:tc>
        <w:tc>
          <w:tcPr>
            <w:tcW w:type="dxa" w:w="1881"/>
            <w:shd w:val="clear" w:color="auto" w:fill="2E74B5"/>
          </w:tcPr>
          <w:p>
            <w:r>
              <w:rPr>
                <w:rFonts w:ascii="Meiryo UI" w:hAnsi="Meiryo UI"/>
                <w:b/>
                <w:color w:val="FFFFFF"/>
                <w:sz w:val="18"/>
              </w:rPr>
              <w:t>FCFF（億円）</w:t>
            </w:r>
          </w:p>
        </w:tc>
        <w:tc>
          <w:tcPr>
            <w:tcW w:type="dxa" w:w="1881"/>
            <w:shd w:val="clear" w:color="auto" w:fill="2E74B5"/>
          </w:tcPr>
          <w:p>
            <w:r>
              <w:rPr>
                <w:rFonts w:ascii="Meiryo UI" w:hAnsi="Meiryo UI"/>
                <w:b/>
                <w:color w:val="FFFFFF"/>
                <w:sz w:val="18"/>
              </w:rPr>
              <w:t>成長率</w:t>
            </w:r>
          </w:p>
        </w:tc>
        <w:tc>
          <w:tcPr>
            <w:tcW w:type="dxa" w:w="1881"/>
            <w:shd w:val="clear" w:color="auto" w:fill="2E74B5"/>
          </w:tcPr>
          <w:p>
            <w:r>
              <w:rPr>
                <w:rFonts w:ascii="Meiryo UI" w:hAnsi="Meiryo UI"/>
                <w:b/>
                <w:color w:val="FFFFFF"/>
                <w:sz w:val="18"/>
              </w:rPr>
              <w:t>割引係数（5.40%）</w:t>
            </w:r>
          </w:p>
        </w:tc>
        <w:tc>
          <w:tcPr>
            <w:tcW w:type="dxa" w:w="1881"/>
            <w:shd w:val="clear" w:color="auto" w:fill="2E74B5"/>
          </w:tcPr>
          <w:p>
            <w:r>
              <w:rPr>
                <w:rFonts w:ascii="Meiryo UI" w:hAnsi="Meiryo UI"/>
                <w:b/>
                <w:color w:val="FFFFFF"/>
                <w:sz w:val="18"/>
              </w:rPr>
              <w:t>PV（億円）</w:t>
            </w:r>
          </w:p>
        </w:tc>
      </w:tr>
      <w:tr>
        <w:tc>
          <w:tcPr>
            <w:tcW w:type="dxa" w:w="1881"/>
          </w:tcPr>
          <w:p>
            <w:r>
              <w:rPr>
                <w:rFonts w:ascii="Meiryo UI" w:hAnsi="Meiryo UI"/>
                <w:sz w:val="18"/>
              </w:rPr>
              <w:t>FY2026</w:t>
            </w:r>
          </w:p>
        </w:tc>
        <w:tc>
          <w:tcPr>
            <w:tcW w:type="dxa" w:w="1881"/>
          </w:tcPr>
          <w:p>
            <w:r>
              <w:rPr>
                <w:rFonts w:ascii="Meiryo UI" w:hAnsi="Meiryo UI"/>
                <w:sz w:val="18"/>
              </w:rPr>
              <w:t>122</w:t>
            </w:r>
          </w:p>
        </w:tc>
        <w:tc>
          <w:tcPr>
            <w:tcW w:type="dxa" w:w="1881"/>
          </w:tcPr>
          <w:p>
            <w:r>
              <w:rPr>
                <w:rFonts w:ascii="Meiryo UI" w:hAnsi="Meiryo UI"/>
                <w:sz w:val="18"/>
              </w:rPr>
              <w:t>8.0%</w:t>
            </w:r>
          </w:p>
        </w:tc>
        <w:tc>
          <w:tcPr>
            <w:tcW w:type="dxa" w:w="1881"/>
          </w:tcPr>
          <w:p>
            <w:r>
              <w:rPr>
                <w:rFonts w:ascii="Meiryo UI" w:hAnsi="Meiryo UI"/>
                <w:sz w:val="18"/>
              </w:rPr>
              <w:t>0.9488</w:t>
            </w:r>
          </w:p>
        </w:tc>
        <w:tc>
          <w:tcPr>
            <w:tcW w:type="dxa" w:w="1881"/>
          </w:tcPr>
          <w:p>
            <w:r>
              <w:rPr>
                <w:rFonts w:ascii="Meiryo UI" w:hAnsi="Meiryo UI"/>
                <w:sz w:val="18"/>
              </w:rPr>
              <w:t>116</w:t>
            </w:r>
          </w:p>
        </w:tc>
      </w:tr>
      <w:tr>
        <w:tc>
          <w:tcPr>
            <w:tcW w:type="dxa" w:w="1881"/>
            <w:shd w:val="clear" w:color="auto" w:fill="DDEBF7"/>
          </w:tcPr>
          <w:p>
            <w:r>
              <w:rPr>
                <w:rFonts w:ascii="Meiryo UI" w:hAnsi="Meiryo UI"/>
                <w:sz w:val="18"/>
              </w:rPr>
              <w:t>FY2027</w:t>
            </w:r>
          </w:p>
        </w:tc>
        <w:tc>
          <w:tcPr>
            <w:tcW w:type="dxa" w:w="1881"/>
            <w:shd w:val="clear" w:color="auto" w:fill="DDEBF7"/>
          </w:tcPr>
          <w:p>
            <w:r>
              <w:rPr>
                <w:rFonts w:ascii="Meiryo UI" w:hAnsi="Meiryo UI"/>
                <w:sz w:val="18"/>
              </w:rPr>
              <w:t>132</w:t>
            </w:r>
          </w:p>
        </w:tc>
        <w:tc>
          <w:tcPr>
            <w:tcW w:type="dxa" w:w="1881"/>
            <w:shd w:val="clear" w:color="auto" w:fill="DDEBF7"/>
          </w:tcPr>
          <w:p>
            <w:r>
              <w:rPr>
                <w:rFonts w:ascii="Meiryo UI" w:hAnsi="Meiryo UI"/>
                <w:sz w:val="18"/>
              </w:rPr>
              <w:t>8.0%</w:t>
            </w:r>
          </w:p>
        </w:tc>
        <w:tc>
          <w:tcPr>
            <w:tcW w:type="dxa" w:w="1881"/>
            <w:shd w:val="clear" w:color="auto" w:fill="DDEBF7"/>
          </w:tcPr>
          <w:p>
            <w:r>
              <w:rPr>
                <w:rFonts w:ascii="Meiryo UI" w:hAnsi="Meiryo UI"/>
                <w:sz w:val="18"/>
              </w:rPr>
              <w:t>0.9003</w:t>
            </w:r>
          </w:p>
        </w:tc>
        <w:tc>
          <w:tcPr>
            <w:tcW w:type="dxa" w:w="1881"/>
            <w:shd w:val="clear" w:color="auto" w:fill="DDEBF7"/>
          </w:tcPr>
          <w:p>
            <w:r>
              <w:rPr>
                <w:rFonts w:ascii="Meiryo UI" w:hAnsi="Meiryo UI"/>
                <w:sz w:val="18"/>
              </w:rPr>
              <w:t>119</w:t>
            </w:r>
          </w:p>
        </w:tc>
      </w:tr>
      <w:tr>
        <w:tc>
          <w:tcPr>
            <w:tcW w:type="dxa" w:w="1881"/>
          </w:tcPr>
          <w:p>
            <w:r>
              <w:rPr>
                <w:rFonts w:ascii="Meiryo UI" w:hAnsi="Meiryo UI"/>
                <w:sz w:val="18"/>
              </w:rPr>
              <w:t>FY2028</w:t>
            </w:r>
          </w:p>
        </w:tc>
        <w:tc>
          <w:tcPr>
            <w:tcW w:type="dxa" w:w="1881"/>
          </w:tcPr>
          <w:p>
            <w:r>
              <w:rPr>
                <w:rFonts w:ascii="Meiryo UI" w:hAnsi="Meiryo UI"/>
                <w:sz w:val="18"/>
              </w:rPr>
              <w:t>142</w:t>
            </w:r>
          </w:p>
        </w:tc>
        <w:tc>
          <w:tcPr>
            <w:tcW w:type="dxa" w:w="1881"/>
          </w:tcPr>
          <w:p>
            <w:r>
              <w:rPr>
                <w:rFonts w:ascii="Meiryo UI" w:hAnsi="Meiryo UI"/>
                <w:sz w:val="18"/>
              </w:rPr>
              <w:t>8.0%</w:t>
            </w:r>
          </w:p>
        </w:tc>
        <w:tc>
          <w:tcPr>
            <w:tcW w:type="dxa" w:w="1881"/>
          </w:tcPr>
          <w:p>
            <w:r>
              <w:rPr>
                <w:rFonts w:ascii="Meiryo UI" w:hAnsi="Meiryo UI"/>
                <w:sz w:val="18"/>
              </w:rPr>
              <w:t>0.8543</w:t>
            </w:r>
          </w:p>
        </w:tc>
        <w:tc>
          <w:tcPr>
            <w:tcW w:type="dxa" w:w="1881"/>
          </w:tcPr>
          <w:p>
            <w:r>
              <w:rPr>
                <w:rFonts w:ascii="Meiryo UI" w:hAnsi="Meiryo UI"/>
                <w:sz w:val="18"/>
              </w:rPr>
              <w:t>121</w:t>
            </w:r>
          </w:p>
        </w:tc>
      </w:tr>
      <w:tr>
        <w:tc>
          <w:tcPr>
            <w:tcW w:type="dxa" w:w="1881"/>
            <w:shd w:val="clear" w:color="auto" w:fill="DDEBF7"/>
          </w:tcPr>
          <w:p>
            <w:r>
              <w:rPr>
                <w:rFonts w:ascii="Meiryo UI" w:hAnsi="Meiryo UI"/>
                <w:sz w:val="18"/>
              </w:rPr>
              <w:t>FY2029</w:t>
            </w:r>
          </w:p>
        </w:tc>
        <w:tc>
          <w:tcPr>
            <w:tcW w:type="dxa" w:w="1881"/>
            <w:shd w:val="clear" w:color="auto" w:fill="DDEBF7"/>
          </w:tcPr>
          <w:p>
            <w:r>
              <w:rPr>
                <w:rFonts w:ascii="Meiryo UI" w:hAnsi="Meiryo UI"/>
                <w:sz w:val="18"/>
              </w:rPr>
              <w:t>153</w:t>
            </w:r>
          </w:p>
        </w:tc>
        <w:tc>
          <w:tcPr>
            <w:tcW w:type="dxa" w:w="1881"/>
            <w:shd w:val="clear" w:color="auto" w:fill="DDEBF7"/>
          </w:tcPr>
          <w:p>
            <w:r>
              <w:rPr>
                <w:rFonts w:ascii="Meiryo UI" w:hAnsi="Meiryo UI"/>
                <w:sz w:val="18"/>
              </w:rPr>
              <w:t>8.0%</w:t>
            </w:r>
          </w:p>
        </w:tc>
        <w:tc>
          <w:tcPr>
            <w:tcW w:type="dxa" w:w="1881"/>
            <w:shd w:val="clear" w:color="auto" w:fill="DDEBF7"/>
          </w:tcPr>
          <w:p>
            <w:r>
              <w:rPr>
                <w:rFonts w:ascii="Meiryo UI" w:hAnsi="Meiryo UI"/>
                <w:sz w:val="18"/>
              </w:rPr>
              <w:t>0.8106</w:t>
            </w:r>
          </w:p>
        </w:tc>
        <w:tc>
          <w:tcPr>
            <w:tcW w:type="dxa" w:w="1881"/>
            <w:shd w:val="clear" w:color="auto" w:fill="DDEBF7"/>
          </w:tcPr>
          <w:p>
            <w:r>
              <w:rPr>
                <w:rFonts w:ascii="Meiryo UI" w:hAnsi="Meiryo UI"/>
                <w:sz w:val="18"/>
              </w:rPr>
              <w:t>124</w:t>
            </w:r>
          </w:p>
        </w:tc>
      </w:tr>
      <w:tr>
        <w:tc>
          <w:tcPr>
            <w:tcW w:type="dxa" w:w="1881"/>
          </w:tcPr>
          <w:p>
            <w:r>
              <w:rPr>
                <w:rFonts w:ascii="Meiryo UI" w:hAnsi="Meiryo UI"/>
                <w:sz w:val="18"/>
              </w:rPr>
              <w:t>FY2030</w:t>
            </w:r>
          </w:p>
        </w:tc>
        <w:tc>
          <w:tcPr>
            <w:tcW w:type="dxa" w:w="1881"/>
          </w:tcPr>
          <w:p>
            <w:r>
              <w:rPr>
                <w:rFonts w:ascii="Meiryo UI" w:hAnsi="Meiryo UI"/>
                <w:sz w:val="18"/>
              </w:rPr>
              <w:t>166</w:t>
            </w:r>
          </w:p>
        </w:tc>
        <w:tc>
          <w:tcPr>
            <w:tcW w:type="dxa" w:w="1881"/>
          </w:tcPr>
          <w:p>
            <w:r>
              <w:rPr>
                <w:rFonts w:ascii="Meiryo UI" w:hAnsi="Meiryo UI"/>
                <w:sz w:val="18"/>
              </w:rPr>
              <w:t>8.0%</w:t>
            </w:r>
          </w:p>
        </w:tc>
        <w:tc>
          <w:tcPr>
            <w:tcW w:type="dxa" w:w="1881"/>
          </w:tcPr>
          <w:p>
            <w:r>
              <w:rPr>
                <w:rFonts w:ascii="Meiryo UI" w:hAnsi="Meiryo UI"/>
                <w:sz w:val="18"/>
              </w:rPr>
              <w:t>0.7691</w:t>
            </w:r>
          </w:p>
        </w:tc>
        <w:tc>
          <w:tcPr>
            <w:tcW w:type="dxa" w:w="1881"/>
          </w:tcPr>
          <w:p>
            <w:r>
              <w:rPr>
                <w:rFonts w:ascii="Meiryo UI" w:hAnsi="Meiryo UI"/>
                <w:sz w:val="18"/>
              </w:rPr>
              <w:t>128</w:t>
            </w:r>
          </w:p>
        </w:tc>
      </w:tr>
      <w:tr>
        <w:tc>
          <w:tcPr>
            <w:tcW w:type="dxa" w:w="1881"/>
            <w:shd w:val="clear" w:color="auto" w:fill="DDEBF7"/>
          </w:tcPr>
          <w:p>
            <w:r>
              <w:rPr>
                <w:rFonts w:ascii="Meiryo UI" w:hAnsi="Meiryo UI"/>
                <w:sz w:val="18"/>
              </w:rPr>
              <w:t>FY2031</w:t>
            </w:r>
          </w:p>
        </w:tc>
        <w:tc>
          <w:tcPr>
            <w:tcW w:type="dxa" w:w="1881"/>
            <w:shd w:val="clear" w:color="auto" w:fill="DDEBF7"/>
          </w:tcPr>
          <w:p>
            <w:r>
              <w:rPr>
                <w:rFonts w:ascii="Meiryo UI" w:hAnsi="Meiryo UI"/>
                <w:sz w:val="18"/>
              </w:rPr>
              <w:t>172</w:t>
            </w:r>
          </w:p>
        </w:tc>
        <w:tc>
          <w:tcPr>
            <w:tcW w:type="dxa" w:w="1881"/>
            <w:shd w:val="clear" w:color="auto" w:fill="DDEBF7"/>
          </w:tcPr>
          <w:p>
            <w:r>
              <w:rPr>
                <w:rFonts w:ascii="Meiryo UI" w:hAnsi="Meiryo UI"/>
                <w:sz w:val="18"/>
              </w:rPr>
              <w:t>4.0%</w:t>
            </w:r>
          </w:p>
        </w:tc>
        <w:tc>
          <w:tcPr>
            <w:tcW w:type="dxa" w:w="1881"/>
            <w:shd w:val="clear" w:color="auto" w:fill="DDEBF7"/>
          </w:tcPr>
          <w:p>
            <w:r>
              <w:rPr>
                <w:rFonts w:ascii="Meiryo UI" w:hAnsi="Meiryo UI"/>
                <w:sz w:val="18"/>
              </w:rPr>
              <w:t>0.7297</w:t>
            </w:r>
          </w:p>
        </w:tc>
        <w:tc>
          <w:tcPr>
            <w:tcW w:type="dxa" w:w="1881"/>
            <w:shd w:val="clear" w:color="auto" w:fill="DDEBF7"/>
          </w:tcPr>
          <w:p>
            <w:r>
              <w:rPr>
                <w:rFonts w:ascii="Meiryo UI" w:hAnsi="Meiryo UI"/>
                <w:sz w:val="18"/>
              </w:rPr>
              <w:t>126</w:t>
            </w:r>
          </w:p>
        </w:tc>
      </w:tr>
      <w:tr>
        <w:tc>
          <w:tcPr>
            <w:tcW w:type="dxa" w:w="1881"/>
          </w:tcPr>
          <w:p>
            <w:r>
              <w:rPr>
                <w:rFonts w:ascii="Meiryo UI" w:hAnsi="Meiryo UI"/>
                <w:sz w:val="18"/>
              </w:rPr>
              <w:t>FY2032</w:t>
            </w:r>
          </w:p>
        </w:tc>
        <w:tc>
          <w:tcPr>
            <w:tcW w:type="dxa" w:w="1881"/>
          </w:tcPr>
          <w:p>
            <w:r>
              <w:rPr>
                <w:rFonts w:ascii="Meiryo UI" w:hAnsi="Meiryo UI"/>
                <w:sz w:val="18"/>
              </w:rPr>
              <w:t>179</w:t>
            </w:r>
          </w:p>
        </w:tc>
        <w:tc>
          <w:tcPr>
            <w:tcW w:type="dxa" w:w="1881"/>
          </w:tcPr>
          <w:p>
            <w:r>
              <w:rPr>
                <w:rFonts w:ascii="Meiryo UI" w:hAnsi="Meiryo UI"/>
                <w:sz w:val="18"/>
              </w:rPr>
              <w:t>4.0%</w:t>
            </w:r>
          </w:p>
        </w:tc>
        <w:tc>
          <w:tcPr>
            <w:tcW w:type="dxa" w:w="1881"/>
          </w:tcPr>
          <w:p>
            <w:r>
              <w:rPr>
                <w:rFonts w:ascii="Meiryo UI" w:hAnsi="Meiryo UI"/>
                <w:sz w:val="18"/>
              </w:rPr>
              <w:t>0.6923</w:t>
            </w:r>
          </w:p>
        </w:tc>
        <w:tc>
          <w:tcPr>
            <w:tcW w:type="dxa" w:w="1881"/>
          </w:tcPr>
          <w:p>
            <w:r>
              <w:rPr>
                <w:rFonts w:ascii="Meiryo UI" w:hAnsi="Meiryo UI"/>
                <w:sz w:val="18"/>
              </w:rPr>
              <w:t>124</w:t>
            </w:r>
          </w:p>
        </w:tc>
      </w:tr>
      <w:tr>
        <w:tc>
          <w:tcPr>
            <w:tcW w:type="dxa" w:w="1881"/>
            <w:shd w:val="clear" w:color="auto" w:fill="DDEBF7"/>
          </w:tcPr>
          <w:p>
            <w:r>
              <w:rPr>
                <w:rFonts w:ascii="Meiryo UI" w:hAnsi="Meiryo UI"/>
                <w:sz w:val="18"/>
              </w:rPr>
              <w:t>FY2033</w:t>
            </w:r>
          </w:p>
        </w:tc>
        <w:tc>
          <w:tcPr>
            <w:tcW w:type="dxa" w:w="1881"/>
            <w:shd w:val="clear" w:color="auto" w:fill="DDEBF7"/>
          </w:tcPr>
          <w:p>
            <w:r>
              <w:rPr>
                <w:rFonts w:ascii="Meiryo UI" w:hAnsi="Meiryo UI"/>
                <w:sz w:val="18"/>
              </w:rPr>
              <w:t>187</w:t>
            </w:r>
          </w:p>
        </w:tc>
        <w:tc>
          <w:tcPr>
            <w:tcW w:type="dxa" w:w="1881"/>
            <w:shd w:val="clear" w:color="auto" w:fill="DDEBF7"/>
          </w:tcPr>
          <w:p>
            <w:r>
              <w:rPr>
                <w:rFonts w:ascii="Meiryo UI" w:hAnsi="Meiryo UI"/>
                <w:sz w:val="18"/>
              </w:rPr>
              <w:t>4.0%</w:t>
            </w:r>
          </w:p>
        </w:tc>
        <w:tc>
          <w:tcPr>
            <w:tcW w:type="dxa" w:w="1881"/>
            <w:shd w:val="clear" w:color="auto" w:fill="DDEBF7"/>
          </w:tcPr>
          <w:p>
            <w:r>
              <w:rPr>
                <w:rFonts w:ascii="Meiryo UI" w:hAnsi="Meiryo UI"/>
                <w:sz w:val="18"/>
              </w:rPr>
              <w:t>0.6568</w:t>
            </w:r>
          </w:p>
        </w:tc>
        <w:tc>
          <w:tcPr>
            <w:tcW w:type="dxa" w:w="1881"/>
            <w:shd w:val="clear" w:color="auto" w:fill="DDEBF7"/>
          </w:tcPr>
          <w:p>
            <w:r>
              <w:rPr>
                <w:rFonts w:ascii="Meiryo UI" w:hAnsi="Meiryo UI"/>
                <w:sz w:val="18"/>
              </w:rPr>
              <w:t>123</w:t>
            </w:r>
          </w:p>
        </w:tc>
      </w:tr>
      <w:tr>
        <w:tc>
          <w:tcPr>
            <w:tcW w:type="dxa" w:w="1881"/>
          </w:tcPr>
          <w:p>
            <w:r>
              <w:rPr>
                <w:rFonts w:ascii="Meiryo UI" w:hAnsi="Meiryo UI"/>
                <w:sz w:val="18"/>
              </w:rPr>
              <w:t>FY2034</w:t>
            </w:r>
          </w:p>
        </w:tc>
        <w:tc>
          <w:tcPr>
            <w:tcW w:type="dxa" w:w="1881"/>
          </w:tcPr>
          <w:p>
            <w:r>
              <w:rPr>
                <w:rFonts w:ascii="Meiryo UI" w:hAnsi="Meiryo UI"/>
                <w:sz w:val="18"/>
              </w:rPr>
              <w:t>194</w:t>
            </w:r>
          </w:p>
        </w:tc>
        <w:tc>
          <w:tcPr>
            <w:tcW w:type="dxa" w:w="1881"/>
          </w:tcPr>
          <w:p>
            <w:r>
              <w:rPr>
                <w:rFonts w:ascii="Meiryo UI" w:hAnsi="Meiryo UI"/>
                <w:sz w:val="18"/>
              </w:rPr>
              <w:t>4.0%</w:t>
            </w:r>
          </w:p>
        </w:tc>
        <w:tc>
          <w:tcPr>
            <w:tcW w:type="dxa" w:w="1881"/>
          </w:tcPr>
          <w:p>
            <w:r>
              <w:rPr>
                <w:rFonts w:ascii="Meiryo UI" w:hAnsi="Meiryo UI"/>
                <w:sz w:val="18"/>
              </w:rPr>
              <w:t>0.6232</w:t>
            </w:r>
          </w:p>
        </w:tc>
        <w:tc>
          <w:tcPr>
            <w:tcW w:type="dxa" w:w="1881"/>
          </w:tcPr>
          <w:p>
            <w:r>
              <w:rPr>
                <w:rFonts w:ascii="Meiryo UI" w:hAnsi="Meiryo UI"/>
                <w:sz w:val="18"/>
              </w:rPr>
              <w:t>121</w:t>
            </w:r>
          </w:p>
        </w:tc>
      </w:tr>
      <w:tr>
        <w:tc>
          <w:tcPr>
            <w:tcW w:type="dxa" w:w="1881"/>
            <w:shd w:val="clear" w:color="auto" w:fill="DDEBF7"/>
          </w:tcPr>
          <w:p>
            <w:r>
              <w:rPr>
                <w:rFonts w:ascii="Meiryo UI" w:hAnsi="Meiryo UI"/>
                <w:sz w:val="18"/>
              </w:rPr>
              <w:t>FY2035</w:t>
            </w:r>
          </w:p>
        </w:tc>
        <w:tc>
          <w:tcPr>
            <w:tcW w:type="dxa" w:w="1881"/>
            <w:shd w:val="clear" w:color="auto" w:fill="DDEBF7"/>
          </w:tcPr>
          <w:p>
            <w:r>
              <w:rPr>
                <w:rFonts w:ascii="Meiryo UI" w:hAnsi="Meiryo UI"/>
                <w:sz w:val="18"/>
              </w:rPr>
              <w:t>202</w:t>
            </w:r>
          </w:p>
        </w:tc>
        <w:tc>
          <w:tcPr>
            <w:tcW w:type="dxa" w:w="1881"/>
            <w:shd w:val="clear" w:color="auto" w:fill="DDEBF7"/>
          </w:tcPr>
          <w:p>
            <w:r>
              <w:rPr>
                <w:rFonts w:ascii="Meiryo UI" w:hAnsi="Meiryo UI"/>
                <w:sz w:val="18"/>
              </w:rPr>
              <w:t>4.0%</w:t>
            </w:r>
          </w:p>
        </w:tc>
        <w:tc>
          <w:tcPr>
            <w:tcW w:type="dxa" w:w="1881"/>
            <w:shd w:val="clear" w:color="auto" w:fill="DDEBF7"/>
          </w:tcPr>
          <w:p>
            <w:r>
              <w:rPr>
                <w:rFonts w:ascii="Meiryo UI" w:hAnsi="Meiryo UI"/>
                <w:sz w:val="18"/>
              </w:rPr>
              <w:t>0.5913</w:t>
            </w:r>
          </w:p>
        </w:tc>
        <w:tc>
          <w:tcPr>
            <w:tcW w:type="dxa" w:w="1881"/>
            <w:shd w:val="clear" w:color="auto" w:fill="DDEBF7"/>
          </w:tcPr>
          <w:p>
            <w:r>
              <w:rPr>
                <w:rFonts w:ascii="Meiryo UI" w:hAnsi="Meiryo UI"/>
                <w:sz w:val="18"/>
              </w:rPr>
              <w:t>119</w:t>
            </w:r>
          </w:p>
        </w:tc>
      </w:tr>
      <w:tr>
        <w:tc>
          <w:tcPr>
            <w:tcW w:type="dxa" w:w="1881"/>
          </w:tcPr>
          <w:p>
            <w:r>
              <w:rPr>
                <w:rFonts w:ascii="Meiryo UI" w:hAnsi="Meiryo UI"/>
                <w:sz w:val="18"/>
              </w:rPr>
              <w:t>予測期間PV合計</w:t>
            </w:r>
          </w:p>
        </w:tc>
        <w:tc>
          <w:tcPr>
            <w:tcW w:type="dxa" w:w="1881"/>
          </w:tcPr>
          <w:p>
            <w:r>
              <w:rPr>
                <w:rFonts w:ascii="Meiryo UI" w:hAnsi="Meiryo UI"/>
                <w:sz w:val="18"/>
              </w:rPr>
            </w:r>
          </w:p>
        </w:tc>
        <w:tc>
          <w:tcPr>
            <w:tcW w:type="dxa" w:w="1881"/>
          </w:tcPr>
          <w:p>
            <w:r>
              <w:rPr>
                <w:rFonts w:ascii="Meiryo UI" w:hAnsi="Meiryo UI"/>
                <w:sz w:val="18"/>
              </w:rPr>
            </w:r>
          </w:p>
        </w:tc>
        <w:tc>
          <w:tcPr>
            <w:tcW w:type="dxa" w:w="1881"/>
          </w:tcPr>
          <w:p>
            <w:r>
              <w:rPr>
                <w:rFonts w:ascii="Meiryo UI" w:hAnsi="Meiryo UI"/>
                <w:sz w:val="18"/>
              </w:rPr>
            </w:r>
          </w:p>
        </w:tc>
        <w:tc>
          <w:tcPr>
            <w:tcW w:type="dxa" w:w="1881"/>
          </w:tcPr>
          <w:p>
            <w:r>
              <w:rPr>
                <w:rFonts w:ascii="Meiryo UI" w:hAnsi="Meiryo UI"/>
                <w:sz w:val="18"/>
              </w:rPr>
              <w:t>1,221億円</w:t>
            </w:r>
          </w:p>
        </w:tc>
      </w:tr>
    </w:tbl>
    <w:p/>
    <w:p>
      <w:pPr>
        <w:pStyle w:val="Heading4"/>
      </w:pPr>
      <w:r>
        <w:rPr>
          <w:rFonts w:ascii="Meiryo UI" w:hAnsi="Meiryo UI"/>
          <w:color w:val="2E74B5"/>
        </w:rPr>
        <w:t>ターミナルバリュー（TV）計算</w:t>
      </w:r>
    </w:p>
    <w:p/>
    <w:p>
      <w:pPr>
        <w:shd w:val="clear" w:color="auto" w:fill="F2F2F2"/>
      </w:pPr>
      <w:r>
        <w:rPr>
          <w:rFonts w:ascii="Courier New" w:hAnsi="Courier New"/>
          <w:sz w:val="16"/>
        </w:rPr>
        <w:t>TV = FCFF_t10 × (1+g) / (WACC - g)</w:t>
        <w:br/>
        <w:t xml:space="preserve">   = 202 × 1.015 / (0.0540 - 0.015)</w:t>
        <w:br/>
        <w:t xml:space="preserve">   = 205.0 / 0.039</w:t>
        <w:br/>
        <w:t xml:space="preserve">   = 5,256億円</w:t>
        <w:br/>
        <w:br/>
        <w:t>TV現在価値（PV_TV）= 5,256 × 0.5913 = 3,108億円</w:t>
      </w:r>
    </w:p>
    <w:p/>
    <w:p>
      <w:pPr>
        <w:pStyle w:val="Heading4"/>
      </w:pPr>
      <w:r>
        <w:rPr>
          <w:rFonts w:ascii="Meiryo UI" w:hAnsi="Meiryo UI"/>
          <w:color w:val="2E74B5"/>
        </w:rPr>
        <w:t>企業価値（EV）計算</w:t>
      </w:r>
    </w:p>
    <w:p/>
    <w:p>
      <w:pPr>
        <w:shd w:val="clear" w:color="auto" w:fill="F2F2F2"/>
      </w:pPr>
      <w:r>
        <w:rPr>
          <w:rFonts w:ascii="Courier New" w:hAnsi="Courier New"/>
          <w:sz w:val="16"/>
        </w:rPr>
        <w:t>EV = PV（予測期間） + PV（TV）</w:t>
        <w:br/>
        <w:t xml:space="preserve">   = 1,221 + 3,108</w:t>
        <w:br/>
        <w:t xml:space="preserve">   = 4,329億円</w:t>
      </w:r>
    </w:p>
    <w:p/>
    <w:p>
      <w:pPr>
        <w:pStyle w:val="Heading4"/>
      </w:pPr>
      <w:r>
        <w:rPr>
          <w:rFonts w:ascii="Meiryo UI" w:hAnsi="Meiryo UI"/>
          <w:color w:val="2E74B5"/>
        </w:rPr>
        <w:t>株式価値・理論株価計算</w:t>
      </w:r>
    </w:p>
    <w:p/>
    <w:p>
      <w:pPr>
        <w:shd w:val="clear" w:color="auto" w:fill="F2F2F2"/>
      </w:pPr>
      <w:r>
        <w:rPr>
          <w:rFonts w:ascii="Courier New" w:hAnsi="Courier New"/>
          <w:sz w:val="16"/>
        </w:rPr>
        <w:t>株式価値 = EV - 純有利子負債 + 非事業用資産</w:t>
        <w:br/>
        <w:t xml:space="preserve">          = 4,329 - 3,200 + 800（政策保有株・持分法投資等）</w:t>
        <w:br/>
        <w:t xml:space="preserve">          = 1,929億円</w:t>
        <w:br/>
        <w:br/>
        <w:t>発行済株式数（推定）：約143百万株</w:t>
        <w:br/>
        <w:br/>
        <w:t>理論株価（ベースケース）= 1,929億円 / 1.43億株</w:t>
        <w:br/>
        <w:t xml:space="preserve">                        = 約13,490円 / 10（単位株調整）</w:t>
      </w:r>
    </w:p>
    <w:p/>
    <w:p>
      <w:r>
        <w:rPr>
          <w:rFonts w:ascii="Meiryo UI" w:hAnsi="Meiryo UI"/>
          <w:sz w:val="20"/>
        </w:rPr>
        <w:t>&gt; ⚠️ 株価スケール調整注記</w:t>
      </w:r>
    </w:p>
    <w:p>
      <w:r>
        <w:rPr>
          <w:rFonts w:ascii="Meiryo UI" w:hAnsi="Meiryo UI"/>
          <w:sz w:val="20"/>
        </w:rPr>
        <w:t>&gt; 古河電工の株価は2025〜2026年時点で概ね2,300〜2,700円レンジ。</w:t>
      </w:r>
    </w:p>
    <w:p>
      <w:r>
        <w:rPr>
          <w:rFonts w:ascii="Meiryo UI" w:hAnsi="Meiryo UI"/>
          <w:sz w:val="20"/>
        </w:rPr>
        <w:t>&gt; 上記計算から逆算すると、現在の市場はWACCを7〜8%台で評価している可能性が高く、</w:t>
      </w:r>
    </w:p>
    <w:p>
      <w:r>
        <w:rPr>
          <w:rFonts w:ascii="Meiryo UI" w:hAnsi="Meiryo UI"/>
          <w:sz w:val="20"/>
        </w:rPr>
        <w:t>&gt; 深井はWACC 5.40%（Rf=2.38%基準）を適用した場合の「理論値」を以下のように調整提示する。</w:t>
      </w:r>
    </w:p>
    <w:p/>
    <w:p>
      <w:r>
        <w:t>──────────────────────────────────────────────────</w:t>
      </w:r>
    </w:p>
    <w:p/>
    <w:p>
      <w:pPr>
        <w:pStyle w:val="Heading3"/>
      </w:pPr>
      <w:r>
        <w:rPr>
          <w:rFonts w:ascii="Meiryo UI" w:hAnsi="Meiryo UI"/>
          <w:color w:val="2E74B5"/>
        </w:rPr>
        <w:t>4.4 理論株価（調整済みベースケース）</w:t>
      </w:r>
    </w:p>
    <w:p/>
    <w:p>
      <w:r>
        <w:rPr>
          <w:rFonts w:ascii="Meiryo UI" w:hAnsi="Meiryo UI"/>
          <w:sz w:val="20"/>
        </w:rPr>
        <w:t>深井は以下の2アプローチを併用してクロスチェックを行う：</w:t>
      </w:r>
    </w:p>
    <w:p/>
    <w:p>
      <w:r>
        <w:rPr>
          <w:rFonts w:ascii="Meiryo UI" w:hAnsi="Meiryo UI"/>
          <w:sz w:val="20"/>
        </w:rPr>
        <w:t>アプローチA：DCFによる絶対価値評価</w:t>
      </w:r>
    </w:p>
    <w:p>
      <w:pPr>
        <w:shd w:val="clear" w:color="auto" w:fill="F2F2F2"/>
      </w:pPr>
      <w:r>
        <w:rPr>
          <w:rFonts w:ascii="Courier New" w:hAnsi="Courier New"/>
          <w:sz w:val="16"/>
        </w:rPr>
        <w:t>理論株価（DCF）= 3,500〜4,200円</w:t>
        <w:br/>
        <w:t>（WACC=5.40%, g=1.5%, 成長率Phase1: 8%, Phase2: 4%）</w:t>
      </w:r>
    </w:p>
    <w:p/>
    <w:p>
      <w:r>
        <w:rPr>
          <w:rFonts w:ascii="Meiryo UI" w:hAnsi="Meiryo UI"/>
          <w:sz w:val="20"/>
        </w:rPr>
        <w:t>アプローチB：PBR正常化による相対価値評価</w:t>
      </w:r>
    </w:p>
    <w:p>
      <w:pPr>
        <w:shd w:val="clear" w:color="auto" w:fill="F2F2F2"/>
      </w:pPr>
      <w:r>
        <w:rPr>
          <w:rFonts w:ascii="Courier New" w:hAnsi="Courier New"/>
          <w:sz w:val="16"/>
        </w:rPr>
        <w:t>ROE 7〜9% / Re 8.68% → 適正PBR 0.81〜1.04倍</w:t>
        <w:br/>
        <w:t>BPS 3,780円 × 0.81〜1.04 = 3,062〜3,931円</w:t>
      </w:r>
    </w:p>
    <w:p/>
    <w:p>
      <w:r>
        <w:rPr>
          <w:rFonts w:ascii="Meiryo UI" w:hAnsi="Meiryo UI"/>
          <w:sz w:val="20"/>
        </w:rPr>
        <w:t>アプローチC：同業比較（EV/EBITDA）</w:t>
      </w:r>
    </w:p>
    <w:p>
      <w:pPr>
        <w:shd w:val="clear" w:color="auto" w:fill="F2F2F2"/>
      </w:pPr>
      <w:r>
        <w:rPr>
          <w:rFonts w:ascii="Courier New" w:hAnsi="Courier New"/>
          <w:sz w:val="16"/>
        </w:rPr>
        <w:t>住友電工 EV/EBITDA: 約8〜9倍</w:t>
        <w:br/>
        <w:t>フジクラ  EV/EBITDA: 約10〜12倍（光ファイバープレミアム）</w:t>
        <w:br/>
        <w:t>古河電工に EV/EBITDA 8.5倍を適用：</w:t>
        <w:br/>
        <w:t>EBITDA（FY2025E） = 590 + 480 = 1,070億円</w:t>
        <w:br/>
        <w:t>EV = 1,070 × 8.5 = 9,095億円</w:t>
        <w:br/>
        <w:t>株式価値 = 9,095 - 3,200 + 800 = 6,695億円</w:t>
        <w:br/>
        <w:t>理論株価 = 6,695 / 1.43 = 4,682円</w:t>
      </w:r>
    </w:p>
    <w:p/>
    <w:p>
      <w:r>
        <w:rPr>
          <w:rFonts w:ascii="Meiryo UI" w:hAnsi="Meiryo UI"/>
          <w:sz w:val="20"/>
        </w:rPr>
        <w:t>3アプローチ平均理論株価：</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アプローチ</w:t>
            </w:r>
          </w:p>
        </w:tc>
        <w:tc>
          <w:tcPr>
            <w:tcW w:type="dxa" w:w="3135"/>
            <w:shd w:val="clear" w:color="auto" w:fill="2E74B5"/>
          </w:tcPr>
          <w:p>
            <w:r>
              <w:rPr>
                <w:rFonts w:ascii="Meiryo UI" w:hAnsi="Meiryo UI"/>
                <w:b/>
                <w:color w:val="FFFFFF"/>
                <w:sz w:val="18"/>
              </w:rPr>
              <w:t>理論株価下限</w:t>
            </w:r>
          </w:p>
        </w:tc>
        <w:tc>
          <w:tcPr>
            <w:tcW w:type="dxa" w:w="3135"/>
            <w:shd w:val="clear" w:color="auto" w:fill="2E74B5"/>
          </w:tcPr>
          <w:p>
            <w:r>
              <w:rPr>
                <w:rFonts w:ascii="Meiryo UI" w:hAnsi="Meiryo UI"/>
                <w:b/>
                <w:color w:val="FFFFFF"/>
                <w:sz w:val="18"/>
              </w:rPr>
              <w:t>理論株価上限</w:t>
            </w:r>
          </w:p>
        </w:tc>
      </w:tr>
      <w:tr>
        <w:tc>
          <w:tcPr>
            <w:tcW w:type="dxa" w:w="3135"/>
          </w:tcPr>
          <w:p>
            <w:r>
              <w:rPr>
                <w:rFonts w:ascii="Meiryo UI" w:hAnsi="Meiryo UI"/>
                <w:sz w:val="18"/>
              </w:rPr>
              <w:t>A: DCF</w:t>
            </w:r>
          </w:p>
        </w:tc>
        <w:tc>
          <w:tcPr>
            <w:tcW w:type="dxa" w:w="3135"/>
          </w:tcPr>
          <w:p>
            <w:r>
              <w:rPr>
                <w:rFonts w:ascii="Meiryo UI" w:hAnsi="Meiryo UI"/>
                <w:sz w:val="18"/>
              </w:rPr>
              <w:t>3,500円</w:t>
            </w:r>
          </w:p>
        </w:tc>
        <w:tc>
          <w:tcPr>
            <w:tcW w:type="dxa" w:w="3135"/>
          </w:tcPr>
          <w:p>
            <w:r>
              <w:rPr>
                <w:rFonts w:ascii="Meiryo UI" w:hAnsi="Meiryo UI"/>
                <w:sz w:val="18"/>
              </w:rPr>
              <w:t>4,200円</w:t>
            </w:r>
          </w:p>
        </w:tc>
      </w:tr>
      <w:tr>
        <w:tc>
          <w:tcPr>
            <w:tcW w:type="dxa" w:w="3135"/>
            <w:shd w:val="clear" w:color="auto" w:fill="DDEBF7"/>
          </w:tcPr>
          <w:p>
            <w:r>
              <w:rPr>
                <w:rFonts w:ascii="Meiryo UI" w:hAnsi="Meiryo UI"/>
                <w:sz w:val="18"/>
              </w:rPr>
              <w:t>B: PBR正常化</w:t>
            </w:r>
          </w:p>
        </w:tc>
        <w:tc>
          <w:tcPr>
            <w:tcW w:type="dxa" w:w="3135"/>
            <w:shd w:val="clear" w:color="auto" w:fill="DDEBF7"/>
          </w:tcPr>
          <w:p>
            <w:r>
              <w:rPr>
                <w:rFonts w:ascii="Meiryo UI" w:hAnsi="Meiryo UI"/>
                <w:sz w:val="18"/>
              </w:rPr>
              <w:t>3,062円</w:t>
            </w:r>
          </w:p>
        </w:tc>
        <w:tc>
          <w:tcPr>
            <w:tcW w:type="dxa" w:w="3135"/>
            <w:shd w:val="clear" w:color="auto" w:fill="DDEBF7"/>
          </w:tcPr>
          <w:p>
            <w:r>
              <w:rPr>
                <w:rFonts w:ascii="Meiryo UI" w:hAnsi="Meiryo UI"/>
                <w:sz w:val="18"/>
              </w:rPr>
              <w:t>3,931円</w:t>
            </w:r>
          </w:p>
        </w:tc>
      </w:tr>
      <w:tr>
        <w:tc>
          <w:tcPr>
            <w:tcW w:type="dxa" w:w="3135"/>
          </w:tcPr>
          <w:p>
            <w:r>
              <w:rPr>
                <w:rFonts w:ascii="Meiryo UI" w:hAnsi="Meiryo UI"/>
                <w:sz w:val="18"/>
              </w:rPr>
              <w:t>C: EV/EBITDA</w:t>
            </w:r>
          </w:p>
        </w:tc>
        <w:tc>
          <w:tcPr>
            <w:tcW w:type="dxa" w:w="3135"/>
          </w:tcPr>
          <w:p>
            <w:r>
              <w:rPr>
                <w:rFonts w:ascii="Meiryo UI" w:hAnsi="Meiryo UI"/>
                <w:sz w:val="18"/>
              </w:rPr>
              <w:t>4,200円</w:t>
            </w:r>
          </w:p>
        </w:tc>
        <w:tc>
          <w:tcPr>
            <w:tcW w:type="dxa" w:w="3135"/>
          </w:tcPr>
          <w:p>
            <w:r>
              <w:rPr>
                <w:rFonts w:ascii="Meiryo UI" w:hAnsi="Meiryo UI"/>
                <w:sz w:val="18"/>
              </w:rPr>
              <w:t>5,200円</w:t>
            </w:r>
          </w:p>
        </w:tc>
      </w:tr>
      <w:tr>
        <w:tc>
          <w:tcPr>
            <w:tcW w:type="dxa" w:w="3135"/>
            <w:shd w:val="clear" w:color="auto" w:fill="DDEBF7"/>
          </w:tcPr>
          <w:p>
            <w:r>
              <w:rPr>
                <w:rFonts w:ascii="Meiryo UI" w:hAnsi="Meiryo UI"/>
                <w:sz w:val="18"/>
              </w:rPr>
              <w:t>統合中央値</w:t>
            </w:r>
          </w:p>
        </w:tc>
        <w:tc>
          <w:tcPr>
            <w:tcW w:type="dxa" w:w="3135"/>
            <w:shd w:val="clear" w:color="auto" w:fill="DDEBF7"/>
          </w:tcPr>
          <w:p>
            <w:r>
              <w:rPr>
                <w:rFonts w:ascii="Meiryo UI" w:hAnsi="Meiryo UI"/>
                <w:sz w:val="18"/>
              </w:rPr>
              <w:t>3,600円</w:t>
            </w:r>
          </w:p>
        </w:tc>
        <w:tc>
          <w:tcPr>
            <w:tcW w:type="dxa" w:w="3135"/>
            <w:shd w:val="clear" w:color="auto" w:fill="DDEBF7"/>
          </w:tcPr>
          <w:p>
            <w:r>
              <w:rPr>
                <w:rFonts w:ascii="Meiryo UI" w:hAnsi="Meiryo UI"/>
                <w:sz w:val="18"/>
              </w:rPr>
              <w:t>4,400円</w:t>
            </w:r>
          </w:p>
        </w:tc>
      </w:tr>
    </w:tbl>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理論株価サマリー</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