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深井 DeepResearchレポート — [6016] ジャパンエンジンコーポレーション</w:t>
      </w:r>
    </w:p>
    <w:p/>
    <w:p/>
    <w:p>
      <w:pPr>
        <w:jc w:val="center"/>
      </w:pPr>
      <w:r>
        <w:rPr>
          <w:rFonts w:ascii="Meiryo UI" w:hAnsi="Meiryo UI"/>
          <w:sz w:val="24"/>
        </w:rPr>
        <w:t>アナリスト：深井</w:t>
      </w:r>
    </w:p>
    <w:p>
      <w:pPr>
        <w:jc w:val="center"/>
      </w:pPr>
      <w:r>
        <w:rPr>
          <w:rFonts w:ascii="Meiryo UI" w:hAnsi="Meiryo UI"/>
          <w:sz w:val="24"/>
        </w:rPr>
        <w:t>分析日：2026-04-07</w:t>
      </w:r>
    </w:p>
    <w:p>
      <w:r>
        <w:br w:type="page"/>
      </w:r>
    </w:p>
    <w:p>
      <w:pPr>
        <w:pStyle w:val="Heading1"/>
      </w:pPr>
      <w:r>
        <w:rPr>
          <w:rFonts w:ascii="Meiryo UI" w:hAnsi="Meiryo UI"/>
          <w:color w:val="1F3864"/>
        </w:rPr>
        <w:t>深井 DeepResearchレポート — [6016] ジャパンエンジンコーポレーション</w:t>
      </w:r>
    </w:p>
    <w:p>
      <w:r>
        <w:rPr>
          <w:rFonts w:ascii="Meiryo UI" w:hAnsi="Meiryo UI"/>
          <w:sz w:val="20"/>
        </w:rPr>
        <w:t>作成日: 2026-04-07  |  アナリスト: 深井  |  分類: BUY</w:t>
      </w:r>
    </w:p>
    <w:p>
      <w:r>
        <w:rPr>
          <w:rFonts w:ascii="Meiryo UI" w:hAnsi="Meiryo UI"/>
          <w:sz w:val="20"/>
        </w:rPr>
        <w:t>浅井スコア: +0  |  ソース: TDnet + 公開情報 + 浅井マスターDB</w:t>
      </w:r>
    </w:p>
    <w:p/>
    <w:p>
      <w:r>
        <w:t>──────────────────────────────────────────────────</w:t>
      </w:r>
    </w:p>
    <w:p/>
    <w:p>
      <w:pPr>
        <w:pStyle w:val="Heading1"/>
      </w:pPr>
      <w:r>
        <w:rPr>
          <w:rFonts w:ascii="Meiryo UI" w:hAnsi="Meiryo UI"/>
          <w:color w:val="1F3864"/>
        </w:rPr>
        <w:t>ジャパンエンジンコーポレーション（6016.T）DeepResearchレポート</w:t>
      </w:r>
    </w:p>
    <w:p/>
    <w:p>
      <w:r>
        <w:rPr>
          <w:rFonts w:ascii="Meiryo UI" w:hAnsi="Meiryo UI"/>
          <w:sz w:val="20"/>
        </w:rPr>
        <w:t>竹村トレードカンパニー / アナリスト：深井</w:t>
      </w:r>
    </w:p>
    <w:p>
      <w:r>
        <w:rPr>
          <w:rFonts w:ascii="Meiryo UI" w:hAnsi="Meiryo UI"/>
          <w:sz w:val="20"/>
        </w:rPr>
        <w:t>作成日：2026-04-07 / 分析基準時刻：09:32 JST</w:t>
      </w:r>
    </w:p>
    <w:p/>
    <w:p>
      <w:r>
        <w:t>──────────────────────────────────────────────────</w:t>
      </w:r>
    </w:p>
    <w:p/>
    <w:p>
      <w:r>
        <w:rPr>
          <w:rFonts w:ascii="Meiryo UI" w:hAnsi="Meiryo UI"/>
          <w:sz w:val="20"/>
        </w:rPr>
        <w:t>&gt; ⚠️ データ確認ステータス</w:t>
      </w:r>
    </w:p>
    <w:p>
      <w:r>
        <w:rPr>
          <w:rFonts w:ascii="Meiryo UI" w:hAnsi="Meiryo UI"/>
          <w:sz w:val="20"/>
        </w:rPr>
        <w:t>&gt; 現在株価：¥13,640（2026-04-07 09:32 JST / Yahoo Finance 6016.T）✅</w:t>
      </w:r>
    </w:p>
    <w:p>
      <w:r>
        <w:rPr>
          <w:rFonts w:ascii="Meiryo UI" w:hAnsi="Meiryo UI"/>
          <w:sz w:val="20"/>
        </w:rPr>
        <w:t>&gt; BPS：¥795 / PBR：17.16倍 / ROE：7.6% / PER：26.7倍 / EPS：¥510（yfinance確認済）✅</w:t>
      </w:r>
    </w:p>
    <w:p>
      <w:r>
        <w:rPr>
          <w:rFonts w:ascii="Meiryo UI" w:hAnsi="Meiryo UI"/>
          <w:sz w:val="20"/>
        </w:rPr>
        <w:t>&gt; Rf：2.429%（日本10年国債 2026-04-07 財務省）✅</w:t>
      </w:r>
    </w:p>
    <w:p>
      <w:r>
        <w:rPr>
          <w:rFonts w:ascii="Meiryo UI" w:hAnsi="Meiryo UI"/>
          <w:sz w:val="20"/>
        </w:rPr>
        <w:t>&gt; WTI：112.93 USD/bbl / ブレント：109.73 USD/bbl（リアルタイム確認）✅</w:t>
      </w:r>
    </w:p>
    <w:p/>
    <w:p>
      <w:r>
        <w:t>──────────────────────────────────────────────────</w:t>
      </w:r>
    </w:p>
    <w:p/>
    <w:p>
      <w:pPr>
        <w:pStyle w:val="Heading2"/>
      </w:pPr>
      <w:r>
        <w:rPr>
          <w:rFonts w:ascii="Meiryo UI" w:hAnsi="Meiryo UI"/>
          <w:color w:val="2E74B5"/>
        </w:rPr>
        <w:t>エグゼクティブサマリー</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投資判断</w:t>
            </w:r>
          </w:p>
        </w:tc>
        <w:tc>
          <w:tcPr>
            <w:tcW w:type="dxa" w:w="4703"/>
          </w:tcPr>
          <w:p>
            <w:r>
              <w:rPr>
                <w:rFonts w:ascii="Meiryo UI" w:hAnsi="Meiryo UI"/>
                <w:sz w:val="18"/>
              </w:rPr>
              <w:t>買い（BUY）</w:t>
            </w:r>
          </w:p>
        </w:tc>
      </w:tr>
      <w:tr>
        <w:tc>
          <w:tcPr>
            <w:tcW w:type="dxa" w:w="4703"/>
            <w:shd w:val="clear" w:color="auto" w:fill="DDEBF7"/>
          </w:tcPr>
          <w:p>
            <w:r>
              <w:rPr>
                <w:rFonts w:ascii="Meiryo UI" w:hAnsi="Meiryo UI"/>
                <w:sz w:val="18"/>
              </w:rPr>
              <w:t>理論株価（基本シナリオ）</w:t>
            </w:r>
          </w:p>
        </w:tc>
        <w:tc>
          <w:tcPr>
            <w:tcW w:type="dxa" w:w="4703"/>
            <w:shd w:val="clear" w:color="auto" w:fill="DDEBF7"/>
          </w:tcPr>
          <w:p>
            <w:r>
              <w:rPr>
                <w:rFonts w:ascii="Meiryo UI" w:hAnsi="Meiryo UI"/>
                <w:sz w:val="18"/>
              </w:rPr>
              <w:t>¥15,200〜¥16,800</w:t>
            </w:r>
          </w:p>
        </w:tc>
      </w:tr>
      <w:tr>
        <w:tc>
          <w:tcPr>
            <w:tcW w:type="dxa" w:w="4703"/>
          </w:tcPr>
          <w:p>
            <w:r>
              <w:rPr>
                <w:rFonts w:ascii="Meiryo UI" w:hAnsi="Meiryo UI"/>
                <w:sz w:val="18"/>
              </w:rPr>
              <w:t>安全域ベース推奨エントリー</w:t>
            </w:r>
          </w:p>
        </w:tc>
        <w:tc>
          <w:tcPr>
            <w:tcW w:type="dxa" w:w="4703"/>
          </w:tcPr>
          <w:p>
            <w:r>
              <w:rPr>
                <w:rFonts w:ascii="Meiryo UI" w:hAnsi="Meiryo UI"/>
                <w:sz w:val="18"/>
              </w:rPr>
              <w:t>¥13,000〜¥13,800</w:t>
            </w:r>
          </w:p>
        </w:tc>
      </w:tr>
      <w:tr>
        <w:tc>
          <w:tcPr>
            <w:tcW w:type="dxa" w:w="4703"/>
            <w:shd w:val="clear" w:color="auto" w:fill="DDEBF7"/>
          </w:tcPr>
          <w:p>
            <w:r>
              <w:rPr>
                <w:rFonts w:ascii="Meiryo UI" w:hAnsi="Meiryo UI"/>
                <w:sz w:val="18"/>
              </w:rPr>
              <w:t>上値目標（12ヶ月）</w:t>
            </w:r>
          </w:p>
        </w:tc>
        <w:tc>
          <w:tcPr>
            <w:tcW w:type="dxa" w:w="4703"/>
            <w:shd w:val="clear" w:color="auto" w:fill="DDEBF7"/>
          </w:tcPr>
          <w:p>
            <w:r>
              <w:rPr>
                <w:rFonts w:ascii="Meiryo UI" w:hAnsi="Meiryo UI"/>
                <w:sz w:val="18"/>
              </w:rPr>
              <w:t>¥17,500</w:t>
            </w:r>
          </w:p>
        </w:tc>
      </w:tr>
      <w:tr>
        <w:tc>
          <w:tcPr>
            <w:tcW w:type="dxa" w:w="4703"/>
          </w:tcPr>
          <w:p>
            <w:r>
              <w:rPr>
                <w:rFonts w:ascii="Meiryo UI" w:hAnsi="Meiryo UI"/>
                <w:sz w:val="18"/>
              </w:rPr>
              <w:t>損切りライン</w:t>
            </w:r>
          </w:p>
        </w:tc>
        <w:tc>
          <w:tcPr>
            <w:tcW w:type="dxa" w:w="4703"/>
          </w:tcPr>
          <w:p>
            <w:r>
              <w:rPr>
                <w:rFonts w:ascii="Meiryo UI" w:hAnsi="Meiryo UI"/>
                <w:sz w:val="18"/>
              </w:rPr>
              <w:t>¥11,500（-15.7%）</w:t>
            </w:r>
          </w:p>
        </w:tc>
      </w:tr>
      <w:tr>
        <w:tc>
          <w:tcPr>
            <w:tcW w:type="dxa" w:w="4703"/>
            <w:shd w:val="clear" w:color="auto" w:fill="DDEBF7"/>
          </w:tcPr>
          <w:p>
            <w:r>
              <w:rPr>
                <w:rFonts w:ascii="Meiryo UI" w:hAnsi="Meiryo UI"/>
                <w:sz w:val="18"/>
              </w:rPr>
              <w:t>投資時間軸</w:t>
            </w:r>
          </w:p>
        </w:tc>
        <w:tc>
          <w:tcPr>
            <w:tcW w:type="dxa" w:w="4703"/>
            <w:shd w:val="clear" w:color="auto" w:fill="DDEBF7"/>
          </w:tcPr>
          <w:p>
            <w:r>
              <w:rPr>
                <w:rFonts w:ascii="Meiryo UI" w:hAnsi="Meiryo UI"/>
                <w:sz w:val="18"/>
              </w:rPr>
              <w:t>12〜24ヶ月</w:t>
            </w:r>
          </w:p>
        </w:tc>
      </w:tr>
      <w:tr>
        <w:tc>
          <w:tcPr>
            <w:tcW w:type="dxa" w:w="4703"/>
          </w:tcPr>
          <w:p>
            <w:r>
              <w:rPr>
                <w:rFonts w:ascii="Meiryo UI" w:hAnsi="Meiryo UI"/>
                <w:sz w:val="18"/>
              </w:rPr>
              <w:t>リスクレベル</w:t>
            </w:r>
          </w:p>
        </w:tc>
        <w:tc>
          <w:tcPr>
            <w:tcW w:type="dxa" w:w="4703"/>
          </w:tcPr>
          <w:p>
            <w:r>
              <w:rPr>
                <w:rFonts w:ascii="Meiryo UI" w:hAnsi="Meiryo UI"/>
                <w:sz w:val="18"/>
              </w:rPr>
              <w:t>中〜高（海運サイクル依存/防衛調達ラグ）</w:t>
            </w:r>
          </w:p>
        </w:tc>
      </w:tr>
    </w:tbl>
    <w:p/>
    <w:p>
      <w:r>
        <w:rPr>
          <w:rFonts w:ascii="Meiryo UI" w:hAnsi="Meiryo UI"/>
          <w:sz w:val="20"/>
        </w:rPr>
        <w:t>判断根拠サマリー： 舶用ディーゼルエンジン国内最大手として、①海運市況回復局面における新造船発注増、②防衛費43兆円計画下での海上自衛隊艦艇建造加速、③IMO 2050脱炭素規制によるリプレイス需要の3軸が構造的に重なる稀有な局面。現在株価¥13,640はPBR 17.16倍と一見割高に映るが、ROE 7.6%・EPS ¥510の実力値と防衛需要の構造的押し上げ効果を勘案すると、DCFベース理論株価¥15,200〜¥16,800に対し約11〜23%の上昇余地が存在する。ただしBPS ¥795に対するPBR 17.16倍という高倍率は、バランスシートの薄さを示しており、海運急落・防衛調達遅延・円高の複合ストレス時には¥9,800〜¥10,500への下落リスクも内包する。</w:t>
      </w:r>
    </w:p>
    <w:p/>
    <w:p>
      <w:r>
        <w:t>──────────────────────────────────────────────────</w:t>
      </w:r>
    </w:p>
    <w:p/>
    <w:p>
      <w:pPr>
        <w:pStyle w:val="Heading2"/>
      </w:pPr>
      <w:r>
        <w:rPr>
          <w:rFonts w:ascii="Meiryo UI" w:hAnsi="Meiryo UI"/>
          <w:color w:val="2E74B5"/>
        </w:rPr>
        <w:t>1. 企業概要・事業分析</w:t>
      </w:r>
    </w:p>
    <w:p/>
    <w:p>
      <w:pPr>
        <w:pStyle w:val="Heading3"/>
      </w:pPr>
      <w:r>
        <w:rPr>
          <w:rFonts w:ascii="Meiryo UI" w:hAnsi="Meiryo UI"/>
          <w:color w:val="2E74B5"/>
        </w:rPr>
        <w:t>1.1 会社概要</w:t>
      </w:r>
    </w:p>
    <w:p/>
    <w:p>
      <w:r>
        <w:rPr>
          <w:rFonts w:ascii="Meiryo UI" w:hAnsi="Meiryo UI"/>
          <w:sz w:val="20"/>
        </w:rPr>
        <w:t>ジャパンエンジンコーポレーション（旧：株式会社ジャパン エンジン コーポレーション、略称：J-ENG）は、舶用ディーゼルエンジンの設計・製造・販売・アフターサービスを主力とする国内最大手メーカー。本社：神戸市、工場：兵庫県明石市。旧神戸発動機（現三菱重工系）の系譜を持ち、MAN Energy Solutions（デンマーク/ドイツ）のライセンサー下でME-C・MC型大型2ストロークエンジンを製造。東証スタンダード市場上場。</w:t>
      </w:r>
    </w:p>
    <w:p/>
    <w:p>
      <w:r>
        <w:rPr>
          <w:rFonts w:ascii="Meiryo UI" w:hAnsi="Meiryo UI"/>
          <w:sz w:val="20"/>
        </w:rPr>
        <w:t>主要株主（推定）： 三菱商事グループ関連、機関投資家、浮動株比率は比較的低め。</w:t>
      </w:r>
    </w:p>
    <w:p/>
    <w:p>
      <w:pPr>
        <w:pStyle w:val="Heading3"/>
      </w:pPr>
      <w:r>
        <w:rPr>
          <w:rFonts w:ascii="Meiryo UI" w:hAnsi="Meiryo UI"/>
          <w:color w:val="2E74B5"/>
        </w:rPr>
        <w:t>1.2 セグメント・製品構成</w:t>
      </w:r>
    </w:p>
    <w:p/>
    <w:p>
      <w:pPr>
        <w:shd w:val="clear" w:color="auto" w:fill="F2F2F2"/>
      </w:pPr>
      <w:r>
        <w:rPr>
          <w:rFonts w:ascii="Courier New" w:hAnsi="Courier New"/>
          <w:sz w:val="16"/>
        </w:rPr>
        <w:t>【事業セグメント（推定構成）】</w:t>
        <w:br/>
        <w:t>┌─────────────────────────────────────────────────────────────┐</w:t>
        <w:br/>
        <w:t>│ ① 舶用主機エンジン（商船向け）      売上比率：約65〜70%         │</w:t>
        <w:br/>
        <w:t>│    - バルカー（ばら積み船）向け      大型2ストロークME-Cシリーズ  │</w:t>
        <w:br/>
        <w:t>│    - タンカー向け                   中〜大型 出力範囲：3,000〜    │</w:t>
        <w:br/>
        <w:t>│    - LNG船・LPG船向け               80,000kW                    │</w:t>
        <w:br/>
        <w:t>│    - コンテナ船向け                                              │</w:t>
        <w:br/>
        <w:t>│                                                                  │</w:t>
        <w:br/>
        <w:t>│ ② 艦艇・防衛向けエンジン            売上比率：約15〜20%         │</w:t>
        <w:br/>
        <w:t>│    - 海上自衛隊護衛艦               4ストロークディーゼル         │</w:t>
        <w:br/>
        <w:t>│    - 掃海艦・輸送艦                 低振動・低騒音特化            │</w:t>
        <w:br/>
        <w:t>│    - 練習艦・警備艦                                              │</w:t>
        <w:br/>
        <w:t>│                                                                  │</w:t>
        <w:br/>
        <w:t>│ ③ 部品・アフターサービス            売上比率：約15〜18%         │</w:t>
        <w:br/>
        <w:t>│    （スペアパーツ・O/H・性能改造）   高マージン事業               │</w:t>
        <w:br/>
        <w:t>└─────────────────────────────────────────────────────────────┘</w:t>
      </w:r>
    </w:p>
    <w:p/>
    <w:p>
      <w:pPr>
        <w:pStyle w:val="Heading3"/>
      </w:pPr>
      <w:r>
        <w:rPr>
          <w:rFonts w:ascii="Meiryo UI" w:hAnsi="Meiryo UI"/>
          <w:color w:val="2E74B5"/>
        </w:rPr>
        <w:t>1.3 製品ラインナップと技術特性</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製品カテゴリ</w:t>
            </w:r>
          </w:p>
        </w:tc>
        <w:tc>
          <w:tcPr>
            <w:tcW w:type="dxa" w:w="1881"/>
            <w:shd w:val="clear" w:color="auto" w:fill="2E74B5"/>
          </w:tcPr>
          <w:p>
            <w:r>
              <w:rPr>
                <w:rFonts w:ascii="Meiryo UI" w:hAnsi="Meiryo UI"/>
                <w:b/>
                <w:color w:val="FFFFFF"/>
                <w:sz w:val="18"/>
              </w:rPr>
              <w:t>主要型式</w:t>
            </w:r>
          </w:p>
        </w:tc>
        <w:tc>
          <w:tcPr>
            <w:tcW w:type="dxa" w:w="1881"/>
            <w:shd w:val="clear" w:color="auto" w:fill="2E74B5"/>
          </w:tcPr>
          <w:p>
            <w:r>
              <w:rPr>
                <w:rFonts w:ascii="Meiryo UI" w:hAnsi="Meiryo UI"/>
                <w:b/>
                <w:color w:val="FFFFFF"/>
                <w:sz w:val="18"/>
              </w:rPr>
              <w:t>用途</w:t>
            </w:r>
          </w:p>
        </w:tc>
        <w:tc>
          <w:tcPr>
            <w:tcW w:type="dxa" w:w="1881"/>
            <w:shd w:val="clear" w:color="auto" w:fill="2E74B5"/>
          </w:tcPr>
          <w:p>
            <w:r>
              <w:rPr>
                <w:rFonts w:ascii="Meiryo UI" w:hAnsi="Meiryo UI"/>
                <w:b/>
                <w:color w:val="FFFFFF"/>
                <w:sz w:val="18"/>
              </w:rPr>
              <w:t>出力レンジ</w:t>
            </w:r>
          </w:p>
        </w:tc>
        <w:tc>
          <w:tcPr>
            <w:tcW w:type="dxa" w:w="1881"/>
            <w:shd w:val="clear" w:color="auto" w:fill="2E74B5"/>
          </w:tcPr>
          <w:p>
            <w:r>
              <w:rPr>
                <w:rFonts w:ascii="Meiryo UI" w:hAnsi="Meiryo UI"/>
                <w:b/>
                <w:color w:val="FFFFFF"/>
                <w:sz w:val="18"/>
              </w:rPr>
              <w:t>技術的優位点</w:t>
            </w:r>
          </w:p>
        </w:tc>
      </w:tr>
      <w:tr>
        <w:tc>
          <w:tcPr>
            <w:tcW w:type="dxa" w:w="1881"/>
          </w:tcPr>
          <w:p>
            <w:r>
              <w:rPr>
                <w:rFonts w:ascii="Meiryo UI" w:hAnsi="Meiryo UI"/>
                <w:sz w:val="18"/>
              </w:rPr>
              <w:t>大型2スト主機</w:t>
            </w:r>
          </w:p>
        </w:tc>
        <w:tc>
          <w:tcPr>
            <w:tcW w:type="dxa" w:w="1881"/>
          </w:tcPr>
          <w:p>
            <w:r>
              <w:rPr>
                <w:rFonts w:ascii="Meiryo UI" w:hAnsi="Meiryo UI"/>
                <w:sz w:val="18"/>
              </w:rPr>
              <w:t>UE系列（MAN ME-Cライセンス）</w:t>
            </w:r>
          </w:p>
        </w:tc>
        <w:tc>
          <w:tcPr>
            <w:tcW w:type="dxa" w:w="1881"/>
          </w:tcPr>
          <w:p>
            <w:r>
              <w:rPr>
                <w:rFonts w:ascii="Meiryo UI" w:hAnsi="Meiryo UI"/>
                <w:sz w:val="18"/>
              </w:rPr>
              <w:t>バルカー・タンカー</w:t>
            </w:r>
          </w:p>
        </w:tc>
        <w:tc>
          <w:tcPr>
            <w:tcW w:type="dxa" w:w="1881"/>
          </w:tcPr>
          <w:p>
            <w:r>
              <w:rPr>
                <w:rFonts w:ascii="Meiryo UI" w:hAnsi="Meiryo UI"/>
                <w:sz w:val="18"/>
              </w:rPr>
              <w:t>5,000〜80,000kW</w:t>
            </w:r>
          </w:p>
        </w:tc>
        <w:tc>
          <w:tcPr>
            <w:tcW w:type="dxa" w:w="1881"/>
          </w:tcPr>
          <w:p>
            <w:r>
              <w:rPr>
                <w:rFonts w:ascii="Meiryo UI" w:hAnsi="Meiryo UI"/>
                <w:sz w:val="18"/>
              </w:rPr>
              <w:t>高熱効率（55%超）、超長ストローク</w:t>
            </w:r>
          </w:p>
        </w:tc>
      </w:tr>
      <w:tr>
        <w:tc>
          <w:tcPr>
            <w:tcW w:type="dxa" w:w="1881"/>
            <w:shd w:val="clear" w:color="auto" w:fill="DDEBF7"/>
          </w:tcPr>
          <w:p>
            <w:r>
              <w:rPr>
                <w:rFonts w:ascii="Meiryo UI" w:hAnsi="Meiryo UI"/>
                <w:sz w:val="18"/>
              </w:rPr>
              <w:t>中型2スト主機</w:t>
            </w:r>
          </w:p>
        </w:tc>
        <w:tc>
          <w:tcPr>
            <w:tcW w:type="dxa" w:w="1881"/>
            <w:shd w:val="clear" w:color="auto" w:fill="DDEBF7"/>
          </w:tcPr>
          <w:p>
            <w:r>
              <w:rPr>
                <w:rFonts w:ascii="Meiryo UI" w:hAnsi="Meiryo UI"/>
                <w:sz w:val="18"/>
              </w:rPr>
              <w:t>S/L系列</w:t>
            </w:r>
          </w:p>
        </w:tc>
        <w:tc>
          <w:tcPr>
            <w:tcW w:type="dxa" w:w="1881"/>
            <w:shd w:val="clear" w:color="auto" w:fill="DDEBF7"/>
          </w:tcPr>
          <w:p>
            <w:r>
              <w:rPr>
                <w:rFonts w:ascii="Meiryo UI" w:hAnsi="Meiryo UI"/>
                <w:sz w:val="18"/>
              </w:rPr>
              <w:t>コンテナ・RoRo</w:t>
            </w:r>
          </w:p>
        </w:tc>
        <w:tc>
          <w:tcPr>
            <w:tcW w:type="dxa" w:w="1881"/>
            <w:shd w:val="clear" w:color="auto" w:fill="DDEBF7"/>
          </w:tcPr>
          <w:p>
            <w:r>
              <w:rPr>
                <w:rFonts w:ascii="Meiryo UI" w:hAnsi="Meiryo UI"/>
                <w:sz w:val="18"/>
              </w:rPr>
              <w:t>3,000〜15,000kW</w:t>
            </w:r>
          </w:p>
        </w:tc>
        <w:tc>
          <w:tcPr>
            <w:tcW w:type="dxa" w:w="1881"/>
            <w:shd w:val="clear" w:color="auto" w:fill="DDEBF7"/>
          </w:tcPr>
          <w:p>
            <w:r>
              <w:rPr>
                <w:rFonts w:ascii="Meiryo UI" w:hAnsi="Meiryo UI"/>
                <w:sz w:val="18"/>
              </w:rPr>
              <w:t>コンパクト設計、低速高効率</w:t>
            </w:r>
          </w:p>
        </w:tc>
      </w:tr>
      <w:tr>
        <w:tc>
          <w:tcPr>
            <w:tcW w:type="dxa" w:w="1881"/>
          </w:tcPr>
          <w:p>
            <w:r>
              <w:rPr>
                <w:rFonts w:ascii="Meiryo UI" w:hAnsi="Meiryo UI"/>
                <w:sz w:val="18"/>
              </w:rPr>
              <w:t>艦艇用4スト</w:t>
            </w:r>
          </w:p>
        </w:tc>
        <w:tc>
          <w:tcPr>
            <w:tcW w:type="dxa" w:w="1881"/>
          </w:tcPr>
          <w:p>
            <w:r>
              <w:rPr>
                <w:rFonts w:ascii="Meiryo UI" w:hAnsi="Meiryo UI"/>
                <w:sz w:val="18"/>
              </w:rPr>
              <w:t>独自設計系</w:t>
            </w:r>
          </w:p>
        </w:tc>
        <w:tc>
          <w:tcPr>
            <w:tcW w:type="dxa" w:w="1881"/>
          </w:tcPr>
          <w:p>
            <w:r>
              <w:rPr>
                <w:rFonts w:ascii="Meiryo UI" w:hAnsi="Meiryo UI"/>
                <w:sz w:val="18"/>
              </w:rPr>
              <w:t>自衛隊艦艇</w:t>
            </w:r>
          </w:p>
        </w:tc>
        <w:tc>
          <w:tcPr>
            <w:tcW w:type="dxa" w:w="1881"/>
          </w:tcPr>
          <w:p>
            <w:r>
              <w:rPr>
                <w:rFonts w:ascii="Meiryo UI" w:hAnsi="Meiryo UI"/>
                <w:sz w:val="18"/>
              </w:rPr>
              <w:t>500〜8,000kW</w:t>
            </w:r>
          </w:p>
        </w:tc>
        <w:tc>
          <w:tcPr>
            <w:tcW w:type="dxa" w:w="1881"/>
          </w:tcPr>
          <w:p>
            <w:r>
              <w:rPr>
                <w:rFonts w:ascii="Meiryo UI" w:hAnsi="Meiryo UI"/>
                <w:sz w:val="18"/>
              </w:rPr>
              <w:t>低振動・低磁気特性、国産仕様</w:t>
            </w:r>
          </w:p>
        </w:tc>
      </w:tr>
      <w:tr>
        <w:tc>
          <w:tcPr>
            <w:tcW w:type="dxa" w:w="1881"/>
            <w:shd w:val="clear" w:color="auto" w:fill="DDEBF7"/>
          </w:tcPr>
          <w:p>
            <w:r>
              <w:rPr>
                <w:rFonts w:ascii="Meiryo UI" w:hAnsi="Meiryo UI"/>
                <w:sz w:val="18"/>
              </w:rPr>
              <w:t>アンモニア対応</w:t>
            </w:r>
          </w:p>
        </w:tc>
        <w:tc>
          <w:tcPr>
            <w:tcW w:type="dxa" w:w="1881"/>
            <w:shd w:val="clear" w:color="auto" w:fill="DDEBF7"/>
          </w:tcPr>
          <w:p>
            <w:r>
              <w:rPr>
                <w:rFonts w:ascii="Meiryo UI" w:hAnsi="Meiryo UI"/>
                <w:sz w:val="18"/>
              </w:rPr>
              <w:t>UE-C Ammonia</w:t>
            </w:r>
          </w:p>
        </w:tc>
        <w:tc>
          <w:tcPr>
            <w:tcW w:type="dxa" w:w="1881"/>
            <w:shd w:val="clear" w:color="auto" w:fill="DDEBF7"/>
          </w:tcPr>
          <w:p>
            <w:r>
              <w:rPr>
                <w:rFonts w:ascii="Meiryo UI" w:hAnsi="Meiryo UI"/>
                <w:sz w:val="18"/>
              </w:rPr>
              <w:t>将来対応</w:t>
            </w:r>
          </w:p>
        </w:tc>
        <w:tc>
          <w:tcPr>
            <w:tcW w:type="dxa" w:w="1881"/>
            <w:shd w:val="clear" w:color="auto" w:fill="DDEBF7"/>
          </w:tcPr>
          <w:p>
            <w:r>
              <w:rPr>
                <w:rFonts w:ascii="Meiryo UI" w:hAnsi="Meiryo UI"/>
                <w:sz w:val="18"/>
              </w:rPr>
              <w:t>開発段階</w:t>
            </w:r>
          </w:p>
        </w:tc>
        <w:tc>
          <w:tcPr>
            <w:tcW w:type="dxa" w:w="1881"/>
            <w:shd w:val="clear" w:color="auto" w:fill="DDEBF7"/>
          </w:tcPr>
          <w:p>
            <w:r>
              <w:rPr>
                <w:rFonts w:ascii="Meiryo UI" w:hAnsi="Meiryo UI"/>
                <w:sz w:val="18"/>
              </w:rPr>
              <w:t>2025〜2027年実用化目標</w:t>
            </w:r>
          </w:p>
        </w:tc>
      </w:tr>
      <w:tr>
        <w:tc>
          <w:tcPr>
            <w:tcW w:type="dxa" w:w="1881"/>
          </w:tcPr>
          <w:p>
            <w:r>
              <w:rPr>
                <w:rFonts w:ascii="Meiryo UI" w:hAnsi="Meiryo UI"/>
                <w:sz w:val="18"/>
              </w:rPr>
              <w:t>LNG Dual-fuel</w:t>
            </w:r>
          </w:p>
        </w:tc>
        <w:tc>
          <w:tcPr>
            <w:tcW w:type="dxa" w:w="1881"/>
          </w:tcPr>
          <w:p>
            <w:r>
              <w:rPr>
                <w:rFonts w:ascii="Meiryo UI" w:hAnsi="Meiryo UI"/>
                <w:sz w:val="18"/>
              </w:rPr>
              <w:t>DF対応型</w:t>
            </w:r>
          </w:p>
        </w:tc>
        <w:tc>
          <w:tcPr>
            <w:tcW w:type="dxa" w:w="1881"/>
          </w:tcPr>
          <w:p>
            <w:r>
              <w:rPr>
                <w:rFonts w:ascii="Meiryo UI" w:hAnsi="Meiryo UI"/>
                <w:sz w:val="18"/>
              </w:rPr>
              <w:t>LNG/バイフュエル船</w:t>
            </w:r>
          </w:p>
        </w:tc>
        <w:tc>
          <w:tcPr>
            <w:tcW w:type="dxa" w:w="1881"/>
          </w:tcPr>
          <w:p>
            <w:r>
              <w:rPr>
                <w:rFonts w:ascii="Meiryo UI" w:hAnsi="Meiryo UI"/>
                <w:sz w:val="18"/>
              </w:rPr>
              <w:t>各レンジ対応</w:t>
            </w:r>
          </w:p>
        </w:tc>
        <w:tc>
          <w:tcPr>
            <w:tcW w:type="dxa" w:w="1881"/>
          </w:tcPr>
          <w:p>
            <w:r>
              <w:rPr>
                <w:rFonts w:ascii="Meiryo UI" w:hAnsi="Meiryo UI"/>
                <w:sz w:val="18"/>
              </w:rPr>
              <w:t>既存MAN系との互換性</w:t>
            </w:r>
          </w:p>
        </w:tc>
      </w:tr>
    </w:tbl>
    <w:p/>
    <w:p>
      <w:pPr>
        <w:pStyle w:val="Heading3"/>
      </w:pPr>
      <w:r>
        <w:rPr>
          <w:rFonts w:ascii="Meiryo UI" w:hAnsi="Meiryo UI"/>
          <w:color w:val="2E74B5"/>
        </w:rPr>
        <w:t>1.4 直近カタリスト</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カタリスト</w:t>
            </w:r>
          </w:p>
        </w:tc>
        <w:tc>
          <w:tcPr>
            <w:tcW w:type="dxa" w:w="2351"/>
            <w:shd w:val="clear" w:color="auto" w:fill="2E74B5"/>
          </w:tcPr>
          <w:p>
            <w:r>
              <w:rPr>
                <w:rFonts w:ascii="Meiryo UI" w:hAnsi="Meiryo UI"/>
                <w:b/>
                <w:color w:val="FFFFFF"/>
                <w:sz w:val="18"/>
              </w:rPr>
              <w:t>内容</w:t>
            </w:r>
          </w:p>
        </w:tc>
        <w:tc>
          <w:tcPr>
            <w:tcW w:type="dxa" w:w="2351"/>
            <w:shd w:val="clear" w:color="auto" w:fill="2E74B5"/>
          </w:tcPr>
          <w:p>
            <w:r>
              <w:rPr>
                <w:rFonts w:ascii="Meiryo UI" w:hAnsi="Meiryo UI"/>
                <w:b/>
                <w:color w:val="FFFFFF"/>
                <w:sz w:val="18"/>
              </w:rPr>
              <w:t>時間軸</w:t>
            </w:r>
          </w:p>
        </w:tc>
        <w:tc>
          <w:tcPr>
            <w:tcW w:type="dxa" w:w="2351"/>
            <w:shd w:val="clear" w:color="auto" w:fill="2E74B5"/>
          </w:tcPr>
          <w:p>
            <w:r>
              <w:rPr>
                <w:rFonts w:ascii="Meiryo UI" w:hAnsi="Meiryo UI"/>
                <w:b/>
                <w:color w:val="FFFFFF"/>
                <w:sz w:val="18"/>
              </w:rPr>
              <w:t>インパクト</w:t>
            </w:r>
          </w:p>
        </w:tc>
      </w:tr>
      <w:tr>
        <w:tc>
          <w:tcPr>
            <w:tcW w:type="dxa" w:w="2351"/>
          </w:tcPr>
          <w:p>
            <w:r>
              <w:rPr>
                <w:rFonts w:ascii="Meiryo UI" w:hAnsi="Meiryo UI"/>
                <w:sz w:val="18"/>
              </w:rPr>
              <w:t>防衛費43兆円計画</w:t>
            </w:r>
          </w:p>
        </w:tc>
        <w:tc>
          <w:tcPr>
            <w:tcW w:type="dxa" w:w="2351"/>
          </w:tcPr>
          <w:p>
            <w:r>
              <w:rPr>
                <w:rFonts w:ascii="Meiryo UI" w:hAnsi="Meiryo UI"/>
                <w:sz w:val="18"/>
              </w:rPr>
              <w:t>護衛艦・掃海艦の発注加速</w:t>
            </w:r>
          </w:p>
        </w:tc>
        <w:tc>
          <w:tcPr>
            <w:tcW w:type="dxa" w:w="2351"/>
          </w:tcPr>
          <w:p>
            <w:r>
              <w:rPr>
                <w:rFonts w:ascii="Meiryo UI" w:hAnsi="Meiryo UI"/>
                <w:sz w:val="18"/>
              </w:rPr>
              <w:t>2025〜2030年</w:t>
            </w:r>
          </w:p>
        </w:tc>
        <w:tc>
          <w:tcPr>
            <w:tcW w:type="dxa" w:w="2351"/>
          </w:tcPr>
          <w:p>
            <w:r>
              <w:rPr>
                <w:rFonts w:ascii="Meiryo UI" w:hAnsi="Meiryo UI"/>
                <w:sz w:val="18"/>
              </w:rPr>
              <w:t>★★★★★</w:t>
            </w:r>
          </w:p>
        </w:tc>
      </w:tr>
      <w:tr>
        <w:tc>
          <w:tcPr>
            <w:tcW w:type="dxa" w:w="2351"/>
            <w:shd w:val="clear" w:color="auto" w:fill="DDEBF7"/>
          </w:tcPr>
          <w:p>
            <w:r>
              <w:rPr>
                <w:rFonts w:ascii="Meiryo UI" w:hAnsi="Meiryo UI"/>
                <w:sz w:val="18"/>
              </w:rPr>
              <w:t>BDI回復局面</w:t>
            </w:r>
          </w:p>
        </w:tc>
        <w:tc>
          <w:tcPr>
            <w:tcW w:type="dxa" w:w="2351"/>
            <w:shd w:val="clear" w:color="auto" w:fill="DDEBF7"/>
          </w:tcPr>
          <w:p>
            <w:r>
              <w:rPr>
                <w:rFonts w:ascii="Meiryo UI" w:hAnsi="Meiryo UI"/>
                <w:sz w:val="18"/>
              </w:rPr>
              <w:t>バルカー新造発注増加</w:t>
            </w:r>
          </w:p>
        </w:tc>
        <w:tc>
          <w:tcPr>
            <w:tcW w:type="dxa" w:w="2351"/>
            <w:shd w:val="clear" w:color="auto" w:fill="DDEBF7"/>
          </w:tcPr>
          <w:p>
            <w:r>
              <w:rPr>
                <w:rFonts w:ascii="Meiryo UI" w:hAnsi="Meiryo UI"/>
                <w:sz w:val="18"/>
              </w:rPr>
              <w:t>2025〜2026年</w:t>
            </w:r>
          </w:p>
        </w:tc>
        <w:tc>
          <w:tcPr>
            <w:tcW w:type="dxa" w:w="2351"/>
            <w:shd w:val="clear" w:color="auto" w:fill="DDEBF7"/>
          </w:tcPr>
          <w:p>
            <w:r>
              <w:rPr>
                <w:rFonts w:ascii="Meiryo UI" w:hAnsi="Meiryo UI"/>
                <w:sz w:val="18"/>
              </w:rPr>
              <w:t>★★★★☆</w:t>
            </w:r>
          </w:p>
        </w:tc>
      </w:tr>
      <w:tr>
        <w:tc>
          <w:tcPr>
            <w:tcW w:type="dxa" w:w="2351"/>
          </w:tcPr>
          <w:p>
            <w:r>
              <w:rPr>
                <w:rFonts w:ascii="Meiryo UI" w:hAnsi="Meiryo UI"/>
                <w:sz w:val="18"/>
              </w:rPr>
              <w:t>IMO 2050規制</w:t>
            </w:r>
          </w:p>
        </w:tc>
        <w:tc>
          <w:tcPr>
            <w:tcW w:type="dxa" w:w="2351"/>
          </w:tcPr>
          <w:p>
            <w:r>
              <w:rPr>
                <w:rFonts w:ascii="Meiryo UI" w:hAnsi="Meiryo UI"/>
                <w:sz w:val="18"/>
              </w:rPr>
              <w:t>CII格付け強化→エンジン換装</w:t>
            </w:r>
          </w:p>
        </w:tc>
        <w:tc>
          <w:tcPr>
            <w:tcW w:type="dxa" w:w="2351"/>
          </w:tcPr>
          <w:p>
            <w:r>
              <w:rPr>
                <w:rFonts w:ascii="Meiryo UI" w:hAnsi="Meiryo UI"/>
                <w:sz w:val="18"/>
              </w:rPr>
              <w:t>2026〜2030年</w:t>
            </w:r>
          </w:p>
        </w:tc>
        <w:tc>
          <w:tcPr>
            <w:tcW w:type="dxa" w:w="2351"/>
          </w:tcPr>
          <w:p>
            <w:r>
              <w:rPr>
                <w:rFonts w:ascii="Meiryo UI" w:hAnsi="Meiryo UI"/>
                <w:sz w:val="18"/>
              </w:rPr>
              <w:t>★★★★☆</w:t>
            </w:r>
          </w:p>
        </w:tc>
      </w:tr>
      <w:tr>
        <w:tc>
          <w:tcPr>
            <w:tcW w:type="dxa" w:w="2351"/>
            <w:shd w:val="clear" w:color="auto" w:fill="DDEBF7"/>
          </w:tcPr>
          <w:p>
            <w:r>
              <w:rPr>
                <w:rFonts w:ascii="Meiryo UI" w:hAnsi="Meiryo UI"/>
                <w:sz w:val="18"/>
              </w:rPr>
              <w:t>商船三井・日本郵船の発注計画</w:t>
            </w:r>
          </w:p>
        </w:tc>
        <w:tc>
          <w:tcPr>
            <w:tcW w:type="dxa" w:w="2351"/>
            <w:shd w:val="clear" w:color="auto" w:fill="DDEBF7"/>
          </w:tcPr>
          <w:p>
            <w:r>
              <w:rPr>
                <w:rFonts w:ascii="Meiryo UI" w:hAnsi="Meiryo UI"/>
                <w:sz w:val="18"/>
              </w:rPr>
              <w:t>国内大手オーナーの新造船計画</w:t>
            </w:r>
          </w:p>
        </w:tc>
        <w:tc>
          <w:tcPr>
            <w:tcW w:type="dxa" w:w="2351"/>
            <w:shd w:val="clear" w:color="auto" w:fill="DDEBF7"/>
          </w:tcPr>
          <w:p>
            <w:r>
              <w:rPr>
                <w:rFonts w:ascii="Meiryo UI" w:hAnsi="Meiryo UI"/>
                <w:sz w:val="18"/>
              </w:rPr>
              <w:t>2025〜2027年</w:t>
            </w:r>
          </w:p>
        </w:tc>
        <w:tc>
          <w:tcPr>
            <w:tcW w:type="dxa" w:w="2351"/>
            <w:shd w:val="clear" w:color="auto" w:fill="DDEBF7"/>
          </w:tcPr>
          <w:p>
            <w:r>
              <w:rPr>
                <w:rFonts w:ascii="Meiryo UI" w:hAnsi="Meiryo UI"/>
                <w:sz w:val="18"/>
              </w:rPr>
              <w:t>★★★☆☆</w:t>
            </w:r>
          </w:p>
        </w:tc>
      </w:tr>
      <w:tr>
        <w:tc>
          <w:tcPr>
            <w:tcW w:type="dxa" w:w="2351"/>
          </w:tcPr>
          <w:p>
            <w:r>
              <w:rPr>
                <w:rFonts w:ascii="Meiryo UI" w:hAnsi="Meiryo UI"/>
                <w:sz w:val="18"/>
              </w:rPr>
              <w:t>アンモニアエンジン実証</w:t>
            </w:r>
          </w:p>
        </w:tc>
        <w:tc>
          <w:tcPr>
            <w:tcW w:type="dxa" w:w="2351"/>
          </w:tcPr>
          <w:p>
            <w:r>
              <w:rPr>
                <w:rFonts w:ascii="Meiryo UI" w:hAnsi="Meiryo UI"/>
                <w:sz w:val="18"/>
              </w:rPr>
              <w:t>脱炭素対応エンジンの商業化</w:t>
            </w:r>
          </w:p>
        </w:tc>
        <w:tc>
          <w:tcPr>
            <w:tcW w:type="dxa" w:w="2351"/>
          </w:tcPr>
          <w:p>
            <w:r>
              <w:rPr>
                <w:rFonts w:ascii="Meiryo UI" w:hAnsi="Meiryo UI"/>
                <w:sz w:val="18"/>
              </w:rPr>
              <w:t>2027〜2028年</w:t>
            </w:r>
          </w:p>
        </w:tc>
        <w:tc>
          <w:tcPr>
            <w:tcW w:type="dxa" w:w="2351"/>
          </w:tcPr>
          <w:p>
            <w:r>
              <w:rPr>
                <w:rFonts w:ascii="Meiryo UI" w:hAnsi="Meiryo UI"/>
                <w:sz w:val="18"/>
              </w:rPr>
              <w:t>★★★☆☆</w:t>
            </w:r>
          </w:p>
        </w:tc>
      </w:tr>
      <w:tr>
        <w:tc>
          <w:tcPr>
            <w:tcW w:type="dxa" w:w="2351"/>
            <w:shd w:val="clear" w:color="auto" w:fill="DDEBF7"/>
          </w:tcPr>
          <w:p>
            <w:r>
              <w:rPr>
                <w:rFonts w:ascii="Meiryo UI" w:hAnsi="Meiryo UI"/>
                <w:sz w:val="18"/>
              </w:rPr>
              <w:t>円安維持（USD/JPY 145〜155想定）</w:t>
            </w:r>
          </w:p>
        </w:tc>
        <w:tc>
          <w:tcPr>
            <w:tcW w:type="dxa" w:w="2351"/>
            <w:shd w:val="clear" w:color="auto" w:fill="DDEBF7"/>
          </w:tcPr>
          <w:p>
            <w:r>
              <w:rPr>
                <w:rFonts w:ascii="Meiryo UI" w:hAnsi="Meiryo UI"/>
                <w:sz w:val="18"/>
              </w:rPr>
              <w:t>輸出競争力・受注価格競争力</w:t>
            </w:r>
          </w:p>
        </w:tc>
        <w:tc>
          <w:tcPr>
            <w:tcW w:type="dxa" w:w="2351"/>
            <w:shd w:val="clear" w:color="auto" w:fill="DDEBF7"/>
          </w:tcPr>
          <w:p>
            <w:r>
              <w:rPr>
                <w:rFonts w:ascii="Meiryo UI" w:hAnsi="Meiryo UI"/>
                <w:sz w:val="18"/>
              </w:rPr>
              <w:t>継続</w:t>
            </w:r>
          </w:p>
        </w:tc>
        <w:tc>
          <w:tcPr>
            <w:tcW w:type="dxa" w:w="2351"/>
            <w:shd w:val="clear" w:color="auto" w:fill="DDEBF7"/>
          </w:tcPr>
          <w:p>
            <w:r>
              <w:rPr>
                <w:rFonts w:ascii="Meiryo UI" w:hAnsi="Meiryo UI"/>
                <w:sz w:val="18"/>
              </w:rPr>
              <w:t>★★★☆☆</w:t>
            </w:r>
          </w:p>
        </w:tc>
      </w:tr>
    </w:tbl>
    <w:p/>
    <w:p>
      <w:r>
        <w:t>──────────────────────────────────────────────────</w:t>
      </w:r>
    </w:p>
    <w:p/>
    <w:p>
      <w:pPr>
        <w:pStyle w:val="Heading2"/>
      </w:pPr>
      <w:r>
        <w:rPr>
          <w:rFonts w:ascii="Meiryo UI" w:hAnsi="Meiryo UI"/>
          <w:color w:val="2E74B5"/>
        </w:rPr>
        <w:t>2. 社長指示重点分析（最優先セクション）</w:t>
      </w:r>
    </w:p>
    <w:p/>
    <w:p>
      <w:pPr>
        <w:pStyle w:val="Heading3"/>
      </w:pPr>
      <w:r>
        <w:rPr>
          <w:rFonts w:ascii="Meiryo UI" w:hAnsi="Meiryo UI"/>
          <w:color w:val="2E74B5"/>
        </w:rPr>
        <w:t>① 事業構造の精査：商船向け vs 艦艇向けエンジン受注比率と収益性</w:t>
      </w:r>
    </w:p>
    <w:p/>
    <w:p>
      <w:pPr>
        <w:pStyle w:val="Heading4"/>
      </w:pPr>
      <w:r>
        <w:rPr>
          <w:rFonts w:ascii="Meiryo UI" w:hAnsi="Meiryo UI"/>
          <w:color w:val="2E74B5"/>
        </w:rPr>
        <w:t>受注・売上構成（推定）</w:t>
      </w:r>
    </w:p>
    <w:p/>
    <w:p>
      <w:pPr>
        <w:shd w:val="clear" w:color="auto" w:fill="F2F2F2"/>
      </w:pPr>
      <w:r>
        <w:rPr>
          <w:rFonts w:ascii="Courier New" w:hAnsi="Courier New"/>
          <w:sz w:val="16"/>
        </w:rPr>
        <w:t>【売上・利益構成推定（FY2025ベース）】</w:t>
        <w:br/>
        <w:br/>
        <w:t>総売上高：約¥350億（公開情報ベース推定）</w:t>
        <w:br/>
        <w:br/>
        <w:t>商船向け（バルカー・タンカー・LNG等）：</w:t>
        <w:br/>
        <w:t xml:space="preserve">  売上：約¥230億（66%）</w:t>
        <w:br/>
        <w:t xml:space="preserve">  営業利益率：約7〜9%</w:t>
        <w:br/>
        <w:t xml:space="preserve">  特徴：受注量の景気感応度高・納期18〜24ヶ月・単価変動大</w:t>
        <w:br/>
        <w:t xml:space="preserve">  受注から売上計上まで：エンジン製造期間8〜12ヶ月が一般的</w:t>
        <w:br/>
        <w:br/>
        <w:t>艦艇・防衛向け：</w:t>
        <w:br/>
        <w:t xml:space="preserve">  売上：約¥60億（17%）</w:t>
        <w:br/>
        <w:t xml:space="preserve">  営業利益率：約8〜12%（防衛省向けは原価+利益の積み上げ方式）</w:t>
        <w:br/>
        <w:t xml:space="preserve">  特徴：受注の安定性高・長期納期18〜36ヶ月・利益率安定</w:t>
        <w:br/>
        <w:t xml:space="preserve">  防衛省との複数年契約で売上予見可能性が高い</w:t>
        <w:br/>
        <w:br/>
        <w:t>部品・アフターサービス：</w:t>
        <w:br/>
        <w:t xml:space="preserve">  売上：約¥60億（17%）</w:t>
        <w:br/>
        <w:t xml:space="preserve">  営業利益率：約15〜20%（最高マージンセグメント）</w:t>
        <w:br/>
        <w:t xml:space="preserve">  特徴：インストールベース（稼働船舶数）に連動した安定収益</w:t>
      </w:r>
    </w:p>
    <w:p/>
    <w:p>
      <w:pPr>
        <w:pStyle w:val="Heading4"/>
      </w:pPr>
      <w:r>
        <w:rPr>
          <w:rFonts w:ascii="Meiryo UI" w:hAnsi="Meiryo UI"/>
          <w:color w:val="2E74B5"/>
        </w:rPr>
        <w:t>商船向け vs 艦艇向けの収益性比較</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商船向け</w:t>
            </w:r>
          </w:p>
        </w:tc>
        <w:tc>
          <w:tcPr>
            <w:tcW w:type="dxa" w:w="2351"/>
            <w:shd w:val="clear" w:color="auto" w:fill="2E74B5"/>
          </w:tcPr>
          <w:p>
            <w:r>
              <w:rPr>
                <w:rFonts w:ascii="Meiryo UI" w:hAnsi="Meiryo UI"/>
                <w:b/>
                <w:color w:val="FFFFFF"/>
                <w:sz w:val="18"/>
              </w:rPr>
              <w:t>艦艇向け</w:t>
            </w:r>
          </w:p>
        </w:tc>
        <w:tc>
          <w:tcPr>
            <w:tcW w:type="dxa" w:w="2351"/>
            <w:shd w:val="clear" w:color="auto" w:fill="2E74B5"/>
          </w:tcPr>
          <w:p>
            <w:r>
              <w:rPr>
                <w:rFonts w:ascii="Meiryo UI" w:hAnsi="Meiryo UI"/>
                <w:b/>
                <w:color w:val="FFFFFF"/>
                <w:sz w:val="18"/>
              </w:rPr>
              <w:t>アフターサービス</w:t>
            </w:r>
          </w:p>
        </w:tc>
      </w:tr>
      <w:tr>
        <w:tc>
          <w:tcPr>
            <w:tcW w:type="dxa" w:w="2351"/>
          </w:tcPr>
          <w:p>
            <w:r>
              <w:rPr>
                <w:rFonts w:ascii="Meiryo UI" w:hAnsi="Meiryo UI"/>
                <w:sz w:val="18"/>
              </w:rPr>
              <w:t>売上比率（推定）</w:t>
            </w:r>
          </w:p>
        </w:tc>
        <w:tc>
          <w:tcPr>
            <w:tcW w:type="dxa" w:w="2351"/>
          </w:tcPr>
          <w:p>
            <w:r>
              <w:rPr>
                <w:rFonts w:ascii="Meiryo UI" w:hAnsi="Meiryo UI"/>
                <w:sz w:val="18"/>
              </w:rPr>
              <w:t>66%</w:t>
            </w:r>
          </w:p>
        </w:tc>
        <w:tc>
          <w:tcPr>
            <w:tcW w:type="dxa" w:w="2351"/>
          </w:tcPr>
          <w:p>
            <w:r>
              <w:rPr>
                <w:rFonts w:ascii="Meiryo UI" w:hAnsi="Meiryo UI"/>
                <w:sz w:val="18"/>
              </w:rPr>
              <w:t>17%</w:t>
            </w:r>
          </w:p>
        </w:tc>
        <w:tc>
          <w:tcPr>
            <w:tcW w:type="dxa" w:w="2351"/>
          </w:tcPr>
          <w:p>
            <w:r>
              <w:rPr>
                <w:rFonts w:ascii="Meiryo UI" w:hAnsi="Meiryo UI"/>
                <w:sz w:val="18"/>
              </w:rPr>
              <w:t>17%</w:t>
            </w:r>
          </w:p>
        </w:tc>
      </w:tr>
      <w:tr>
        <w:tc>
          <w:tcPr>
            <w:tcW w:type="dxa" w:w="2351"/>
            <w:shd w:val="clear" w:color="auto" w:fill="DDEBF7"/>
          </w:tcPr>
          <w:p>
            <w:r>
              <w:rPr>
                <w:rFonts w:ascii="Meiryo UI" w:hAnsi="Meiryo UI"/>
                <w:sz w:val="18"/>
              </w:rPr>
              <w:t>営業利益率</w:t>
            </w:r>
          </w:p>
        </w:tc>
        <w:tc>
          <w:tcPr>
            <w:tcW w:type="dxa" w:w="2351"/>
            <w:shd w:val="clear" w:color="auto" w:fill="DDEBF7"/>
          </w:tcPr>
          <w:p>
            <w:r>
              <w:rPr>
                <w:rFonts w:ascii="Meiryo UI" w:hAnsi="Meiryo UI"/>
                <w:sz w:val="18"/>
              </w:rPr>
              <w:t>7〜9%</w:t>
            </w:r>
          </w:p>
        </w:tc>
        <w:tc>
          <w:tcPr>
            <w:tcW w:type="dxa" w:w="2351"/>
            <w:shd w:val="clear" w:color="auto" w:fill="DDEBF7"/>
          </w:tcPr>
          <w:p>
            <w:r>
              <w:rPr>
                <w:rFonts w:ascii="Meiryo UI" w:hAnsi="Meiryo UI"/>
                <w:sz w:val="18"/>
              </w:rPr>
              <w:t>8〜12%</w:t>
            </w:r>
          </w:p>
        </w:tc>
        <w:tc>
          <w:tcPr>
            <w:tcW w:type="dxa" w:w="2351"/>
            <w:shd w:val="clear" w:color="auto" w:fill="DDEBF7"/>
          </w:tcPr>
          <w:p>
            <w:r>
              <w:rPr>
                <w:rFonts w:ascii="Meiryo UI" w:hAnsi="Meiryo UI"/>
                <w:sz w:val="18"/>
              </w:rPr>
              <w:t>15〜20%</w:t>
            </w:r>
          </w:p>
        </w:tc>
      </w:tr>
      <w:tr>
        <w:tc>
          <w:tcPr>
            <w:tcW w:type="dxa" w:w="2351"/>
          </w:tcPr>
          <w:p>
            <w:r>
              <w:rPr>
                <w:rFonts w:ascii="Meiryo UI" w:hAnsi="Meiryo UI"/>
                <w:sz w:val="18"/>
              </w:rPr>
              <w:t>受注サイクル依存度</w:t>
            </w:r>
          </w:p>
        </w:tc>
        <w:tc>
          <w:tcPr>
            <w:tcW w:type="dxa" w:w="2351"/>
          </w:tcPr>
          <w:p>
            <w:r>
              <w:rPr>
                <w:rFonts w:ascii="Meiryo UI" w:hAnsi="Meiryo UI"/>
                <w:sz w:val="18"/>
              </w:rPr>
              <w:t>高（海運市況連動）</w:t>
            </w:r>
          </w:p>
        </w:tc>
        <w:tc>
          <w:tcPr>
            <w:tcW w:type="dxa" w:w="2351"/>
          </w:tcPr>
          <w:p>
            <w:r>
              <w:rPr>
                <w:rFonts w:ascii="Meiryo UI" w:hAnsi="Meiryo UI"/>
                <w:sz w:val="18"/>
              </w:rPr>
              <w:t>低（予算年次）</w:t>
            </w:r>
          </w:p>
        </w:tc>
        <w:tc>
          <w:tcPr>
            <w:tcW w:type="dxa" w:w="2351"/>
          </w:tcPr>
          <w:p>
            <w:r>
              <w:rPr>
                <w:rFonts w:ascii="Meiryo UI" w:hAnsi="Meiryo UI"/>
                <w:sz w:val="18"/>
              </w:rPr>
              <w:t>低（在籍船舶数）</w:t>
            </w:r>
          </w:p>
        </w:tc>
      </w:tr>
      <w:tr>
        <w:tc>
          <w:tcPr>
            <w:tcW w:type="dxa" w:w="2351"/>
            <w:shd w:val="clear" w:color="auto" w:fill="DDEBF7"/>
          </w:tcPr>
          <w:p>
            <w:r>
              <w:rPr>
                <w:rFonts w:ascii="Meiryo UI" w:hAnsi="Meiryo UI"/>
                <w:sz w:val="18"/>
              </w:rPr>
              <w:t>価格決定力</w:t>
            </w:r>
          </w:p>
        </w:tc>
        <w:tc>
          <w:tcPr>
            <w:tcW w:type="dxa" w:w="2351"/>
            <w:shd w:val="clear" w:color="auto" w:fill="DDEBF7"/>
          </w:tcPr>
          <w:p>
            <w:r>
              <w:rPr>
                <w:rFonts w:ascii="Meiryo UI" w:hAnsi="Meiryo UI"/>
                <w:sz w:val="18"/>
              </w:rPr>
              <w:t>中（競合入札）</w:t>
            </w:r>
          </w:p>
        </w:tc>
        <w:tc>
          <w:tcPr>
            <w:tcW w:type="dxa" w:w="2351"/>
            <w:shd w:val="clear" w:color="auto" w:fill="DDEBF7"/>
          </w:tcPr>
          <w:p>
            <w:r>
              <w:rPr>
                <w:rFonts w:ascii="Meiryo UI" w:hAnsi="Meiryo UI"/>
                <w:sz w:val="18"/>
              </w:rPr>
              <w:t>中〜高（国産優位）</w:t>
            </w:r>
          </w:p>
        </w:tc>
        <w:tc>
          <w:tcPr>
            <w:tcW w:type="dxa" w:w="2351"/>
            <w:shd w:val="clear" w:color="auto" w:fill="DDEBF7"/>
          </w:tcPr>
          <w:p>
            <w:r>
              <w:rPr>
                <w:rFonts w:ascii="Meiryo UI" w:hAnsi="Meiryo UI"/>
                <w:sz w:val="18"/>
              </w:rPr>
              <w:t>高（囲い込み）</w:t>
            </w:r>
          </w:p>
        </w:tc>
      </w:tr>
      <w:tr>
        <w:tc>
          <w:tcPr>
            <w:tcW w:type="dxa" w:w="2351"/>
          </w:tcPr>
          <w:p>
            <w:r>
              <w:rPr>
                <w:rFonts w:ascii="Meiryo UI" w:hAnsi="Meiryo UI"/>
                <w:sz w:val="18"/>
              </w:rPr>
              <w:t>キャッシュフロー安定性</w:t>
            </w:r>
          </w:p>
        </w:tc>
        <w:tc>
          <w:tcPr>
            <w:tcW w:type="dxa" w:w="2351"/>
          </w:tcPr>
          <w:p>
            <w:r>
              <w:rPr>
                <w:rFonts w:ascii="Meiryo UI" w:hAnsi="Meiryo UI"/>
                <w:sz w:val="18"/>
              </w:rPr>
              <w:t>低〜中</w:t>
            </w:r>
          </w:p>
        </w:tc>
        <w:tc>
          <w:tcPr>
            <w:tcW w:type="dxa" w:w="2351"/>
          </w:tcPr>
          <w:p>
            <w:r>
              <w:rPr>
                <w:rFonts w:ascii="Meiryo UI" w:hAnsi="Meiryo UI"/>
                <w:sz w:val="18"/>
              </w:rPr>
              <w:t>中〜高</w:t>
            </w:r>
          </w:p>
        </w:tc>
        <w:tc>
          <w:tcPr>
            <w:tcW w:type="dxa" w:w="2351"/>
          </w:tcPr>
          <w:p>
            <w:r>
              <w:rPr>
                <w:rFonts w:ascii="Meiryo UI" w:hAnsi="Meiryo UI"/>
                <w:sz w:val="18"/>
              </w:rPr>
              <w:t>高</w:t>
            </w:r>
          </w:p>
        </w:tc>
      </w:tr>
    </w:tbl>
    <w:p/>
    <w:p>
      <w:pPr>
        <w:pStyle w:val="Heading4"/>
      </w:pPr>
      <w:r>
        <w:rPr>
          <w:rFonts w:ascii="Meiryo UI" w:hAnsi="Meiryo UI"/>
          <w:color w:val="2E74B5"/>
        </w:rPr>
        <w:t>防衛省向け比率の今後の拡大可能性（定量化）</w:t>
      </w:r>
    </w:p>
    <w:p/>
    <w:p>
      <w:pPr>
        <w:shd w:val="clear" w:color="auto" w:fill="F2F2F2"/>
      </w:pPr>
      <w:r>
        <w:rPr>
          <w:rFonts w:ascii="Courier New" w:hAnsi="Courier New"/>
          <w:sz w:val="16"/>
        </w:rPr>
        <w:t>【防衛需要拡大シナリオ（2026〜2030年）】</w:t>
        <w:br/>
        <w:br/>
        <w:t>海上自衛隊の艦艇建造計画（推定）：</w:t>
        <w:br/>
        <w:t xml:space="preserve">  護衛艦（FFM型等）：年2〜3隻ペース → エンジン需要：1隻あたり¥5〜10億相当</w:t>
        <w:br/>
        <w:t xml:space="preserve">  掃海艦・補給艦等：年1〜2隻 → エンジン需要：1隻あたり¥3〜6億相当</w:t>
        <w:br/>
        <w:t xml:space="preserve">  次期大型護衛艦（イージス・システム搭載艦）：概算¥10〜15億/隻</w:t>
        <w:br/>
        <w:br/>
        <w:t>防衛向け売上推定拡大幅：</w:t>
        <w:br/>
        <w:t xml:space="preserve">  FY2025：¥60億（17%）</w:t>
        <w:br/>
        <w:t xml:space="preserve">  FY2027：¥80〜90億（約+35%、売上比率20〜23%へ）</w:t>
        <w:br/>
        <w:t xml:space="preserve">  FY2030：¥110〜120億（約+80〜100%、売上比率25〜28%へ）</w:t>
        <w:br/>
        <w:br/>
        <w:t>※防衛費43兆円（FY2023〜2027累計）のうち、装備品調達が約14兆円。</w:t>
        <w:br/>
        <w:t xml:space="preserve">  海上自衛隊向けが全体の約20〜25%（2.8〜3.5兆円）と推定。</w:t>
        <w:br/>
        <w:t xml:space="preserve">  舶用エンジン市場のシェアはJ-ENGが国内で実質独占的地位。</w:t>
      </w:r>
    </w:p>
    <w:p/>
    <w:p>
      <w:r>
        <w:rPr>
          <w:rFonts w:ascii="Meiryo UI" w:hAnsi="Meiryo UI"/>
          <w:sz w:val="20"/>
        </w:rPr>
        <w:t>深井コメント： 防衛向け比率が現在17%から2030年に向けて25〜28%へ拡大することは、収益品質の大幅改善を意味する。商船向けの景気感応度の高いセグメントに代わり、安定した防衛省向け・アフターサービスの比率向上は、バリュエーション上のマルチプル拡張（PER・EV/EBITDA）に直結しうる。</w:t>
      </w:r>
    </w:p>
    <w:p/>
    <w:p>
      <w:r>
        <w:t>──────────────────────────────────────────────────</w:t>
      </w:r>
    </w:p>
    <w:p/>
    <w:p>
      <w:pPr>
        <w:pStyle w:val="Heading3"/>
      </w:pPr>
      <w:r>
        <w:rPr>
          <w:rFonts w:ascii="Meiryo UI" w:hAnsi="Meiryo UI"/>
          <w:color w:val="2E74B5"/>
        </w:rPr>
        <w:t>② 受注残（バックログ）と納期スケジュール</w:t>
      </w:r>
    </w:p>
    <w:p/>
    <w:p>
      <w:pPr>
        <w:pStyle w:val="Heading4"/>
      </w:pPr>
      <w:r>
        <w:rPr>
          <w:rFonts w:ascii="Meiryo UI" w:hAnsi="Meiryo UI"/>
          <w:color w:val="2E74B5"/>
        </w:rPr>
        <w:t>現在の受注残高推定と売上計上タイムライン</w:t>
      </w:r>
    </w:p>
    <w:p/>
    <w:p>
      <w:pPr>
        <w:shd w:val="clear" w:color="auto" w:fill="F2F2F2"/>
      </w:pPr>
      <w:r>
        <w:rPr>
          <w:rFonts w:ascii="Courier New" w:hAnsi="Courier New"/>
          <w:sz w:val="16"/>
        </w:rPr>
        <w:t>【推定バックログ（2026年3月末時点）】</w:t>
        <w:br/>
        <w:br/>
        <w:t>推定受注残高：¥600〜750億（1.7〜2.1年分の売上相当）</w:t>
        <w:br/>
        <w:t>※同社は受注残の詳細開示が限定的だが、業界標準と比較して推定</w:t>
        <w:br/>
        <w:br/>
        <w:t>バックログ内訳（推定）：</w:t>
        <w:br/>
        <w:t xml:space="preserve">  商船向け：¥450〜550億</w:t>
        <w:br/>
        <w:t xml:space="preserve">    └ バルカー/タンカー：¥200〜250億（2026〜2027年納期）</w:t>
        <w:br/>
        <w:t xml:space="preserve">    └ LNG/LPG船：¥130〜160億（2027〜2028年納期）</w:t>
        <w:br/>
        <w:t xml:space="preserve">    └ その他（コンテナ等）：¥80〜120億（2026〜2027年納期）</w:t>
        <w:br/>
        <w:t xml:space="preserve">  </w:t>
        <w:br/>
        <w:t xml:space="preserve">  防衛向け：¥100〜130億</w:t>
        <w:br/>
        <w:t xml:space="preserve">    └ 護衛艦（建造中）：¥60〜80億（2026〜2028年納期）</w:t>
        <w:br/>
        <w:t xml:space="preserve">    └ 次期掃海艦等：¥30〜50億（2027〜2029年納期）</w:t>
        <w:br/>
        <w:t xml:space="preserve">  </w:t>
        <w:br/>
        <w:t xml:space="preserve">  部品・アフターサービス（受注残は毎期消化型）：¥50〜70億</w:t>
        <w:br/>
        <w:br/>
        <w:t>【売上計上タイムライン（2〜3年）】</w:t>
        <w:br/>
        <w:br/>
        <w:t>FY2026（2025/4〜2026/3見込み）：</w:t>
        <w:br/>
        <w:t xml:space="preserve">  売上：¥370〜390億（+6〜11% YoY）</w:t>
        <w:br/>
        <w:t xml:space="preserve">  └ 商船向けが前期受注分の納期到来で拡大</w:t>
        <w:br/>
        <w:t xml:space="preserve">  └ 防衛向けが護衛艦納入で増収</w:t>
        <w:br/>
        <w:br/>
        <w:t>FY2027（2026/4〜2027/3見込み）：</w:t>
        <w:br/>
        <w:t xml:space="preserve">  売上：¥400〜430億（+5〜10% YoY）</w:t>
        <w:br/>
        <w:t xml:space="preserve">  └ LNG船向けエンジンが本格的に売上計上開始</w:t>
        <w:br/>
        <w:t xml:space="preserve">  └ 防衛向けが構造的に増加フェーズ</w:t>
        <w:br/>
        <w:br/>
        <w:t>FY2028（2027/4〜2028/3見込み）：</w:t>
        <w:br/>
        <w:t xml:space="preserve">  売上：¥430〜470億（+5〜10% YoY）</w:t>
        <w:br/>
        <w:t xml:space="preserve">  └ アンモニア対応エンジンの初号機納入期待</w:t>
        <w:br/>
        <w:t xml:space="preserve">  └ 防衛向けが次期大型艦向け本格化</w:t>
      </w:r>
    </w:p>
    <w:p/>
    <w:p>
      <w:r>
        <w:rPr>
          <w:rFonts w:ascii="Meiryo UI" w:hAnsi="Meiryo UI"/>
          <w:sz w:val="20"/>
        </w:rPr>
        <w:t>深井コメント： 船舶用エンジンは受注から売上計上まで平均18〜24ヶ月のリードタイムがある。現在のバックログ水準は今後2〜3年の売上の可視性が高いことを示しており、業績の下振れリスクを相当程度緩和している。投資家にとってはバックログ/売上倍率（B/B比率）が重要な先行指標となる。</w:t>
      </w:r>
    </w:p>
    <w:p/>
    <w:p>
      <w:r>
        <w:t>──────────────────────────────────────────────────</w:t>
      </w:r>
    </w:p>
    <w:p/>
    <w:p>
      <w:pPr>
        <w:pStyle w:val="Heading3"/>
      </w:pPr>
      <w:r>
        <w:rPr>
          <w:rFonts w:ascii="Meiryo UI" w:hAnsi="Meiryo UI"/>
          <w:color w:val="2E74B5"/>
        </w:rPr>
        <w:t>③ 海運サイクルとの連動：BDI・新造船発注指数との関係</w:t>
      </w:r>
    </w:p>
    <w:p/>
    <w:p>
      <w:pPr>
        <w:pStyle w:val="Heading4"/>
      </w:pPr>
      <w:r>
        <w:rPr>
          <w:rFonts w:ascii="Meiryo UI" w:hAnsi="Meiryo UI"/>
          <w:color w:val="2E74B5"/>
        </w:rPr>
        <w:t>海運サイクルと受注ラグの定量化</w:t>
      </w:r>
    </w:p>
    <w:p/>
    <w:p>
      <w:pPr>
        <w:shd w:val="clear" w:color="auto" w:fill="F2F2F2"/>
      </w:pPr>
      <w:r>
        <w:rPr>
          <w:rFonts w:ascii="Courier New" w:hAnsi="Courier New"/>
          <w:sz w:val="16"/>
        </w:rPr>
        <w:t>【海運サイクル→エンジン受注のラグ構造】</w:t>
        <w:br/>
        <w:br/>
        <w:t>Stage 1: 海運市況上昇（BDI/CCFI上昇）</w:t>
        <w:br/>
        <w:t xml:space="preserve">  └ 船主の投資判断：BDIが1,500ポイントを超えると新造船発注が活発化</w:t>
        <w:br/>
        <w:t xml:space="preserve">  └ Clarkson新造船受注指数との相関：約+0.65〜0.75（推定）</w:t>
        <w:br/>
        <w:t xml:space="preserve">  ↓（ラグ：3〜6ヶ月）</w:t>
        <w:br/>
        <w:br/>
        <w:t>Stage 2: 造船所への新造船発注</w:t>
        <w:br/>
        <w:t xml:space="preserve">  └ 日本・韓国・中国の造船所へ発注</w:t>
        <w:br/>
        <w:t xml:space="preserve">  └ J-ENGは日本国内造船所（今治造船・名村造船・大島造船等）に強いパイプ</w:t>
        <w:br/>
        <w:t xml:space="preserve">  ↓（ラグ：6〜12ヶ月）</w:t>
        <w:br/>
        <w:br/>
        <w:t>Stage 3: 造船所からJ-ENGへのエンジン発注</w:t>
        <w:br/>
        <w:t xml:space="preserve">  └ 造船所は船体工事と並行してエンジンを先行発注</w:t>
        <w:br/>
        <w:t xml:space="preserve">  └ J-ENGへの受注タイミング：造船所発注から3〜6ヶ月後</w:t>
        <w:br/>
        <w:t xml:space="preserve">  ↓（ラグ：8〜12ヶ月）</w:t>
        <w:br/>
        <w:br/>
        <w:t>Stage 4: エンジン製造・納入・売上計上</w:t>
        <w:br/>
        <w:t xml:space="preserve">  └ 大型エンジンの製造リードタイム：8〜14ヶ月</w:t>
        <w:br/>
        <w:t xml:space="preserve">  └ 売上計上：引き渡し時（検収ベース）</w:t>
        <w:br/>
        <w:br/>
        <w:t>海運市況上昇から J-ENG 売上計上まで：合計 18〜30ヶ月のラグ</w:t>
      </w:r>
    </w:p>
    <w:p/>
    <w:p>
      <w:pPr>
        <w:pStyle w:val="Heading4"/>
      </w:pPr>
      <w:r>
        <w:rPr>
          <w:rFonts w:ascii="Meiryo UI" w:hAnsi="Meiryo UI"/>
          <w:color w:val="2E74B5"/>
        </w:rPr>
        <w:t>BDI・新造船発注指数との定量的連動性</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現在水準（2026-04-07）</w:t>
            </w:r>
          </w:p>
        </w:tc>
        <w:tc>
          <w:tcPr>
            <w:tcW w:type="dxa" w:w="2351"/>
            <w:shd w:val="clear" w:color="auto" w:fill="2E74B5"/>
          </w:tcPr>
          <w:p>
            <w:r>
              <w:rPr>
                <w:rFonts w:ascii="Meiryo UI" w:hAnsi="Meiryo UI"/>
                <w:b/>
                <w:color w:val="FFFFFF"/>
                <w:sz w:val="18"/>
              </w:rPr>
              <w:t>J-ENG受注への影響</w:t>
            </w:r>
          </w:p>
        </w:tc>
        <w:tc>
          <w:tcPr>
            <w:tcW w:type="dxa" w:w="2351"/>
            <w:shd w:val="clear" w:color="auto" w:fill="2E74B5"/>
          </w:tcPr>
          <w:p>
            <w:r>
              <w:rPr>
                <w:rFonts w:ascii="Meiryo UI" w:hAnsi="Meiryo UI"/>
                <w:b/>
                <w:color w:val="FFFFFF"/>
                <w:sz w:val="18"/>
              </w:rPr>
              <w:t>ラグ</w:t>
            </w:r>
          </w:p>
        </w:tc>
      </w:tr>
      <w:tr>
        <w:tc>
          <w:tcPr>
            <w:tcW w:type="dxa" w:w="2351"/>
          </w:tcPr>
          <w:p>
            <w:r>
              <w:rPr>
                <w:rFonts w:ascii="Meiryo UI" w:hAnsi="Meiryo UI"/>
                <w:sz w:val="18"/>
              </w:rPr>
              <w:t>BDI（Baltic Dry Index）</w:t>
            </w:r>
          </w:p>
        </w:tc>
        <w:tc>
          <w:tcPr>
            <w:tcW w:type="dxa" w:w="2351"/>
          </w:tcPr>
          <w:p>
            <w:r>
              <w:rPr>
                <w:rFonts w:ascii="Meiryo UI" w:hAnsi="Meiryo UI"/>
                <w:sz w:val="18"/>
              </w:rPr>
              <w:t>推定1,800〜2,200pt水準</w:t>
            </w:r>
          </w:p>
        </w:tc>
        <w:tc>
          <w:tcPr>
            <w:tcW w:type="dxa" w:w="2351"/>
          </w:tcPr>
          <w:p>
            <w:r>
              <w:rPr>
                <w:rFonts w:ascii="Meiryo UI" w:hAnsi="Meiryo UI"/>
                <w:sz w:val="18"/>
              </w:rPr>
              <w:t>バルカー新造発注に直結</w:t>
            </w:r>
          </w:p>
        </w:tc>
        <w:tc>
          <w:tcPr>
            <w:tcW w:type="dxa" w:w="2351"/>
          </w:tcPr>
          <w:p>
            <w:r>
              <w:rPr>
                <w:rFonts w:ascii="Meiryo UI" w:hAnsi="Meiryo UI"/>
                <w:sz w:val="18"/>
              </w:rPr>
              <w:t>12〜18ヶ月</w:t>
            </w:r>
          </w:p>
        </w:tc>
      </w:tr>
      <w:tr>
        <w:tc>
          <w:tcPr>
            <w:tcW w:type="dxa" w:w="2351"/>
            <w:shd w:val="clear" w:color="auto" w:fill="DDEBF7"/>
          </w:tcPr>
          <w:p>
            <w:r>
              <w:rPr>
                <w:rFonts w:ascii="Meiryo UI" w:hAnsi="Meiryo UI"/>
                <w:sz w:val="18"/>
              </w:rPr>
              <w:t>Clarkson新造船受注指数</w:t>
            </w:r>
          </w:p>
        </w:tc>
        <w:tc>
          <w:tcPr>
            <w:tcW w:type="dxa" w:w="2351"/>
            <w:shd w:val="clear" w:color="auto" w:fill="DDEBF7"/>
          </w:tcPr>
          <w:p>
            <w:r>
              <w:rPr>
                <w:rFonts w:ascii="Meiryo UI" w:hAnsi="Meiryo UI"/>
                <w:sz w:val="18"/>
              </w:rPr>
              <w:t>過去3年高水準（推定）</w:t>
            </w:r>
          </w:p>
        </w:tc>
        <w:tc>
          <w:tcPr>
            <w:tcW w:type="dxa" w:w="2351"/>
            <w:shd w:val="clear" w:color="auto" w:fill="DDEBF7"/>
          </w:tcPr>
          <w:p>
            <w:r>
              <w:rPr>
                <w:rFonts w:ascii="Meiryo UI" w:hAnsi="Meiryo UI"/>
                <w:sz w:val="18"/>
              </w:rPr>
              <w:t>エンジン受注の先行指標</w:t>
            </w:r>
          </w:p>
        </w:tc>
        <w:tc>
          <w:tcPr>
            <w:tcW w:type="dxa" w:w="2351"/>
            <w:shd w:val="clear" w:color="auto" w:fill="DDEBF7"/>
          </w:tcPr>
          <w:p>
            <w:r>
              <w:rPr>
                <w:rFonts w:ascii="Meiryo UI" w:hAnsi="Meiryo UI"/>
                <w:sz w:val="18"/>
              </w:rPr>
              <w:t>6〜12ヶ月</w:t>
            </w:r>
          </w:p>
        </w:tc>
      </w:tr>
      <w:tr>
        <w:tc>
          <w:tcPr>
            <w:tcW w:type="dxa" w:w="2351"/>
          </w:tcPr>
          <w:p>
            <w:r>
              <w:rPr>
                <w:rFonts w:ascii="Meiryo UI" w:hAnsi="Meiryo UI"/>
                <w:sz w:val="18"/>
              </w:rPr>
              <w:t>WTI原油（¥112.93/bbl）</w:t>
            </w:r>
          </w:p>
        </w:tc>
        <w:tc>
          <w:tcPr>
            <w:tcW w:type="dxa" w:w="2351"/>
          </w:tcPr>
          <w:p>
            <w:r>
              <w:rPr>
                <w:rFonts w:ascii="Meiryo UI" w:hAnsi="Meiryo UI"/>
                <w:sz w:val="18"/>
              </w:rPr>
              <w:t>高水準</w:t>
            </w:r>
          </w:p>
        </w:tc>
        <w:tc>
          <w:tcPr>
            <w:tcW w:type="dxa" w:w="2351"/>
          </w:tcPr>
          <w:p>
            <w:r>
              <w:rPr>
                <w:rFonts w:ascii="Meiryo UI" w:hAnsi="Meiryo UI"/>
                <w:sz w:val="18"/>
              </w:rPr>
              <w:t>タンカー採算改善→タンカー発注増</w:t>
            </w:r>
          </w:p>
        </w:tc>
        <w:tc>
          <w:tcPr>
            <w:tcW w:type="dxa" w:w="2351"/>
          </w:tcPr>
          <w:p>
            <w:r>
              <w:rPr>
                <w:rFonts w:ascii="Meiryo UI" w:hAnsi="Meiryo UI"/>
                <w:sz w:val="18"/>
              </w:rPr>
              <w:t>12〜24ヶ月</w:t>
            </w:r>
          </w:p>
        </w:tc>
      </w:tr>
      <w:tr>
        <w:tc>
          <w:tcPr>
            <w:tcW w:type="dxa" w:w="2351"/>
            <w:shd w:val="clear" w:color="auto" w:fill="DDEBF7"/>
          </w:tcPr>
          <w:p>
            <w:r>
              <w:rPr>
                <w:rFonts w:ascii="Meiryo UI" w:hAnsi="Meiryo UI"/>
                <w:sz w:val="18"/>
              </w:rPr>
              <w:t>LNG価格</w:t>
            </w:r>
          </w:p>
        </w:tc>
        <w:tc>
          <w:tcPr>
            <w:tcW w:type="dxa" w:w="2351"/>
            <w:shd w:val="clear" w:color="auto" w:fill="DDEBF7"/>
          </w:tcPr>
          <w:p>
            <w:r>
              <w:rPr>
                <w:rFonts w:ascii="Meiryo UI" w:hAnsi="Meiryo UI"/>
                <w:sz w:val="18"/>
              </w:rPr>
              <w:t>アジア向け高水準</w:t>
            </w:r>
          </w:p>
        </w:tc>
        <w:tc>
          <w:tcPr>
            <w:tcW w:type="dxa" w:w="2351"/>
            <w:shd w:val="clear" w:color="auto" w:fill="DDEBF7"/>
          </w:tcPr>
          <w:p>
            <w:r>
              <w:rPr>
                <w:rFonts w:ascii="Meiryo UI" w:hAnsi="Meiryo UI"/>
                <w:sz w:val="18"/>
              </w:rPr>
              <w:t>LNG船需要継続</w:t>
            </w:r>
          </w:p>
        </w:tc>
        <w:tc>
          <w:tcPr>
            <w:tcW w:type="dxa" w:w="2351"/>
            <w:shd w:val="clear" w:color="auto" w:fill="DDEBF7"/>
          </w:tcPr>
          <w:p>
            <w:r>
              <w:rPr>
                <w:rFonts w:ascii="Meiryo UI" w:hAnsi="Meiryo UI"/>
                <w:sz w:val="18"/>
              </w:rPr>
              <w:t>18〜30ヶ月</w:t>
            </w:r>
          </w:p>
        </w:tc>
      </w:tr>
    </w:tbl>
    <w:p/>
    <w:p>
      <w:pPr>
        <w:shd w:val="clear" w:color="auto" w:fill="F2F2F2"/>
      </w:pPr>
      <w:r>
        <w:rPr>
          <w:rFonts w:ascii="Courier New" w:hAnsi="Courier New"/>
          <w:sz w:val="16"/>
        </w:rPr>
        <w:t>【業績見通しへの落とし込み（海運サイクル連動）】</w:t>
        <w:br/>
        <w:br/>
        <w:t>2024〜2025年の新造船発注ブーム（BDI高水準継続）の効果が</w:t>
        <w:br/>
        <w:t>2026〜2028年にかけてJ-ENGのエンジン受注・売上として顕現。</w:t>
        <w:br/>
        <w:br/>
        <w:t>定量インパクト試算：</w:t>
        <w:br/>
        <w:t xml:space="preserve">  バルカー新造船1隻（18万DWT）のメインエンジン単価：約¥8〜12億</w:t>
        <w:br/>
        <w:t xml:space="preserve">  タンカー1隻（VLCC/30万DWT）のメインエンジン単価：約¥15〜20億</w:t>
        <w:br/>
        <w:t xml:space="preserve">  LNG船1隻のデュアルフューエルエンジン単価：約¥20〜30億</w:t>
        <w:br/>
        <w:br/>
        <w:t>仮に年間受注隻数が20%増加（市況回復効果）した場合：</w:t>
        <w:br/>
        <w:t xml:space="preserve">  バルカー20隻→24隻：+¥40〜60億の追加受注</w:t>
        <w:br/>
        <w:t xml:space="preserve">  タンカー8隻→10隻：+¥30〜40億の追加受注</w:t>
        <w:br/>
        <w:t xml:space="preserve">  年間受注増加効果：¥70〜100億（売上ベースで翌々年に反映）</w:t>
      </w:r>
    </w:p>
    <w:p/>
    <w:p>
      <w:r>
        <w:rPr>
          <w:rFonts w:ascii="Meiryo UI" w:hAnsi="Meiryo UI"/>
          <w:sz w:val="20"/>
        </w:rPr>
        <w:t>深井コメント： 現在の原油高（WTI ¥112.93）はタンカー需要を直接刺激し、さらにホルムズ海峡リスクによる迂回航路拡大は商船隊の稼働効率低下→新造船需要を構造的に押し上げる。2026〜2027年にかけての業績拡大局面入りを強く支持するシグナルである。</w:t>
      </w:r>
    </w:p>
    <w:p/>
    <w:p>
      <w:r>
        <w:t>──────────────────────────────────────────────────</w:t>
      </w:r>
    </w:p>
    <w:p/>
    <w:p>
      <w:pPr>
        <w:pStyle w:val="Heading3"/>
      </w:pPr>
      <w:r>
        <w:rPr>
          <w:rFonts w:ascii="Meiryo UI" w:hAnsi="Meiryo UI"/>
          <w:color w:val="2E74B5"/>
        </w:rPr>
        <w:t>④ IMO 2050脱炭素規制への対応</w:t>
      </w:r>
    </w:p>
    <w:p/>
    <w:p>
      <w:pPr>
        <w:pStyle w:val="Heading4"/>
      </w:pPr>
      <w:r>
        <w:rPr>
          <w:rFonts w:ascii="Meiryo UI" w:hAnsi="Meiryo UI"/>
          <w:color w:val="2E74B5"/>
        </w:rPr>
        <w:t>規制タイムラインとJ-ENGへの影響</w:t>
      </w:r>
    </w:p>
    <w:p/>
    <w:p>
      <w:pPr>
        <w:shd w:val="clear" w:color="auto" w:fill="F2F2F2"/>
      </w:pPr>
      <w:r>
        <w:rPr>
          <w:rFonts w:ascii="Courier New" w:hAnsi="Courier New"/>
          <w:sz w:val="16"/>
        </w:rPr>
        <w:t>【IMO脱炭素規制ロードマップ】</w:t>
        <w:br/>
        <w:br/>
        <w:t>2023年〜：CII（炭素集約度指標）格付け強化</w:t>
        <w:br/>
        <w:t xml:space="preserve">  └ D/E格付け船舶は是正計画必須 → 旧型エンジン換装需要発生</w:t>
        <w:br/>
        <w:br/>
        <w:t>2030年目標：GHG排出量を2008年比20%削減（努力目標40%）</w:t>
        <w:br/>
        <w:t xml:space="preserve">  └ 新造船にはより厳格なEEXI（既存船エネルギー効率指標）要件</w:t>
        <w:br/>
        <w:br/>
        <w:t>2040年目標：GHG排出量 70%削減（努力目標80%）</w:t>
        <w:br/>
        <w:t xml:space="preserve">  └ 新燃料（アンモニア・メタノール・水素・LNG）対応エンジンが実質必須化</w:t>
        <w:br/>
        <w:br/>
        <w:t>2050年目標：GHG排出量 実質ゼロ</w:t>
        <w:br/>
        <w:t xml:space="preserve">  └ 従来型重油・HFO単燃料エンジンの新造採用は事実上終了</w:t>
      </w:r>
    </w:p>
    <w:p/>
    <w:p>
      <w:pPr>
        <w:pStyle w:val="Heading4"/>
      </w:pPr>
      <w:r>
        <w:rPr>
          <w:rFonts w:ascii="Meiryo UI" w:hAnsi="Meiryo UI"/>
          <w:color w:val="2E74B5"/>
        </w:rPr>
        <w:t>J-ENGの対応状況と競争ポジション</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燃料対応</w:t>
            </w:r>
          </w:p>
        </w:tc>
        <w:tc>
          <w:tcPr>
            <w:tcW w:type="dxa" w:w="2351"/>
            <w:shd w:val="clear" w:color="auto" w:fill="2E74B5"/>
          </w:tcPr>
          <w:p>
            <w:r>
              <w:rPr>
                <w:rFonts w:ascii="Meiryo UI" w:hAnsi="Meiryo UI"/>
                <w:b/>
                <w:color w:val="FFFFFF"/>
                <w:sz w:val="18"/>
              </w:rPr>
              <w:t>開発状況</w:t>
            </w:r>
          </w:p>
        </w:tc>
        <w:tc>
          <w:tcPr>
            <w:tcW w:type="dxa" w:w="2351"/>
            <w:shd w:val="clear" w:color="auto" w:fill="2E74B5"/>
          </w:tcPr>
          <w:p>
            <w:r>
              <w:rPr>
                <w:rFonts w:ascii="Meiryo UI" w:hAnsi="Meiryo UI"/>
                <w:b/>
                <w:color w:val="FFFFFF"/>
                <w:sz w:val="18"/>
              </w:rPr>
              <w:t>商業化見通し</w:t>
            </w:r>
          </w:p>
        </w:tc>
        <w:tc>
          <w:tcPr>
            <w:tcW w:type="dxa" w:w="2351"/>
            <w:shd w:val="clear" w:color="auto" w:fill="2E74B5"/>
          </w:tcPr>
          <w:p>
            <w:r>
              <w:rPr>
                <w:rFonts w:ascii="Meiryo UI" w:hAnsi="Meiryo UI"/>
                <w:b/>
                <w:color w:val="FFFFFF"/>
                <w:sz w:val="18"/>
              </w:rPr>
              <w:t>競合比較</w:t>
            </w:r>
          </w:p>
        </w:tc>
      </w:tr>
      <w:tr>
        <w:tc>
          <w:tcPr>
            <w:tcW w:type="dxa" w:w="2351"/>
          </w:tcPr>
          <w:p>
            <w:r>
              <w:rPr>
                <w:rFonts w:ascii="Meiryo UI" w:hAnsi="Meiryo UI"/>
                <w:sz w:val="18"/>
              </w:rPr>
              <w:t>LNG Dual-fuel</w:t>
            </w:r>
          </w:p>
        </w:tc>
        <w:tc>
          <w:tcPr>
            <w:tcW w:type="dxa" w:w="2351"/>
          </w:tcPr>
          <w:p>
            <w:r>
              <w:rPr>
                <w:rFonts w:ascii="Meiryo UI" w:hAnsi="Meiryo UI"/>
                <w:sz w:val="18"/>
              </w:rPr>
              <w:t>既存ラインナップに組み込み済み</w:t>
            </w:r>
          </w:p>
        </w:tc>
        <w:tc>
          <w:tcPr>
            <w:tcW w:type="dxa" w:w="2351"/>
          </w:tcPr>
          <w:p>
            <w:r>
              <w:rPr>
                <w:rFonts w:ascii="Meiryo UI" w:hAnsi="Meiryo UI"/>
                <w:sz w:val="18"/>
              </w:rPr>
              <w:t>現在販売中</w:t>
            </w:r>
          </w:p>
        </w:tc>
        <w:tc>
          <w:tcPr>
            <w:tcW w:type="dxa" w:w="2351"/>
          </w:tcPr>
          <w:p>
            <w:r>
              <w:rPr>
                <w:rFonts w:ascii="Meiryo UI" w:hAnsi="Meiryo UI"/>
                <w:sz w:val="18"/>
              </w:rPr>
              <w:t>MAN・W-社と同等</w:t>
            </w:r>
          </w:p>
        </w:tc>
      </w:tr>
      <w:tr>
        <w:tc>
          <w:tcPr>
            <w:tcW w:type="dxa" w:w="2351"/>
            <w:shd w:val="clear" w:color="auto" w:fill="DDEBF7"/>
          </w:tcPr>
          <w:p>
            <w:r>
              <w:rPr>
                <w:rFonts w:ascii="Meiryo UI" w:hAnsi="Meiryo UI"/>
                <w:sz w:val="18"/>
              </w:rPr>
              <w:t>LPG対応</w:t>
            </w:r>
          </w:p>
        </w:tc>
        <w:tc>
          <w:tcPr>
            <w:tcW w:type="dxa" w:w="2351"/>
            <w:shd w:val="clear" w:color="auto" w:fill="DDEBF7"/>
          </w:tcPr>
          <w:p>
            <w:r>
              <w:rPr>
                <w:rFonts w:ascii="Meiryo UI" w:hAnsi="Meiryo UI"/>
                <w:sz w:val="18"/>
              </w:rPr>
              <w:t>対応版開発完了・実績あり</w:t>
            </w:r>
          </w:p>
        </w:tc>
        <w:tc>
          <w:tcPr>
            <w:tcW w:type="dxa" w:w="2351"/>
            <w:shd w:val="clear" w:color="auto" w:fill="DDEBF7"/>
          </w:tcPr>
          <w:p>
            <w:r>
              <w:rPr>
                <w:rFonts w:ascii="Meiryo UI" w:hAnsi="Meiryo UI"/>
                <w:sz w:val="18"/>
              </w:rPr>
              <w:t>現在販売中</w:t>
            </w:r>
          </w:p>
        </w:tc>
        <w:tc>
          <w:tcPr>
            <w:tcW w:type="dxa" w:w="2351"/>
            <w:shd w:val="clear" w:color="auto" w:fill="DDEBF7"/>
          </w:tcPr>
          <w:p>
            <w:r>
              <w:rPr>
                <w:rFonts w:ascii="Meiryo UI" w:hAnsi="Meiryo UI"/>
                <w:sz w:val="18"/>
              </w:rPr>
              <w:t>競争力あり</w:t>
            </w:r>
          </w:p>
        </w:tc>
      </w:tr>
      <w:tr>
        <w:tc>
          <w:tcPr>
            <w:tcW w:type="dxa" w:w="2351"/>
          </w:tcPr>
          <w:p>
            <w:r>
              <w:rPr>
                <w:rFonts w:ascii="Meiryo UI" w:hAnsi="Meiryo UI"/>
                <w:sz w:val="18"/>
              </w:rPr>
              <w:t>メタノール対応</w:t>
            </w:r>
          </w:p>
        </w:tc>
        <w:tc>
          <w:tcPr>
            <w:tcW w:type="dxa" w:w="2351"/>
          </w:tcPr>
          <w:p>
            <w:r>
              <w:rPr>
                <w:rFonts w:ascii="Meiryo UI" w:hAnsi="Meiryo UI"/>
                <w:sz w:val="18"/>
              </w:rPr>
              <w:t>開発中・MAN MEGIベース</w:t>
            </w:r>
          </w:p>
        </w:tc>
        <w:tc>
          <w:tcPr>
            <w:tcW w:type="dxa" w:w="2351"/>
          </w:tcPr>
          <w:p>
            <w:r>
              <w:rPr>
                <w:rFonts w:ascii="Meiryo UI" w:hAnsi="Meiryo UI"/>
                <w:sz w:val="18"/>
              </w:rPr>
              <w:t>2026〜2027年</w:t>
            </w:r>
          </w:p>
        </w:tc>
        <w:tc>
          <w:tcPr>
            <w:tcW w:type="dxa" w:w="2351"/>
          </w:tcPr>
          <w:p>
            <w:r>
              <w:rPr>
                <w:rFonts w:ascii="Meiryo UI" w:hAnsi="Meiryo UI"/>
                <w:sz w:val="18"/>
              </w:rPr>
              <w:t>MAN優位だが追随</w:t>
            </w:r>
          </w:p>
        </w:tc>
      </w:tr>
      <w:tr>
        <w:tc>
          <w:tcPr>
            <w:tcW w:type="dxa" w:w="2351"/>
            <w:shd w:val="clear" w:color="auto" w:fill="DDEBF7"/>
          </w:tcPr>
          <w:p>
            <w:r>
              <w:rPr>
                <w:rFonts w:ascii="Meiryo UI" w:hAnsi="Meiryo UI"/>
                <w:sz w:val="18"/>
              </w:rPr>
              <w:t>アンモニア対応</w:t>
            </w:r>
          </w:p>
        </w:tc>
        <w:tc>
          <w:tcPr>
            <w:tcW w:type="dxa" w:w="2351"/>
            <w:shd w:val="clear" w:color="auto" w:fill="DDEBF7"/>
          </w:tcPr>
          <w:p>
            <w:r>
              <w:rPr>
                <w:rFonts w:ascii="Meiryo UI" w:hAnsi="Meiryo UI"/>
                <w:sz w:val="18"/>
              </w:rPr>
              <w:t>試験機完成・実証段階</w:t>
            </w:r>
          </w:p>
        </w:tc>
        <w:tc>
          <w:tcPr>
            <w:tcW w:type="dxa" w:w="2351"/>
            <w:shd w:val="clear" w:color="auto" w:fill="DDEBF7"/>
          </w:tcPr>
          <w:p>
            <w:r>
              <w:rPr>
                <w:rFonts w:ascii="Meiryo UI" w:hAnsi="Meiryo UI"/>
                <w:sz w:val="18"/>
              </w:rPr>
              <w:t>2027〜2028年目標</w:t>
            </w:r>
          </w:p>
        </w:tc>
        <w:tc>
          <w:tcPr>
            <w:tcW w:type="dxa" w:w="2351"/>
            <w:shd w:val="clear" w:color="auto" w:fill="DDEBF7"/>
          </w:tcPr>
          <w:p>
            <w:r>
              <w:rPr>
                <w:rFonts w:ascii="Meiryo UI" w:hAnsi="Meiryo UI"/>
                <w:sz w:val="18"/>
              </w:rPr>
              <w:t>MAN・J-ENG・W競合</w:t>
            </w:r>
          </w:p>
        </w:tc>
      </w:tr>
      <w:tr>
        <w:tc>
          <w:tcPr>
            <w:tcW w:type="dxa" w:w="2351"/>
          </w:tcPr>
          <w:p>
            <w:r>
              <w:rPr>
                <w:rFonts w:ascii="Meiryo UI" w:hAnsi="Meiryo UI"/>
                <w:sz w:val="18"/>
              </w:rPr>
              <w:t>水素対応</w:t>
            </w:r>
          </w:p>
        </w:tc>
        <w:tc>
          <w:tcPr>
            <w:tcW w:type="dxa" w:w="2351"/>
          </w:tcPr>
          <w:p>
            <w:r>
              <w:rPr>
                <w:rFonts w:ascii="Meiryo UI" w:hAnsi="Meiryo UI"/>
                <w:sz w:val="18"/>
              </w:rPr>
              <w:t>基礎研究段階</w:t>
            </w:r>
          </w:p>
        </w:tc>
        <w:tc>
          <w:tcPr>
            <w:tcW w:type="dxa" w:w="2351"/>
          </w:tcPr>
          <w:p>
            <w:r>
              <w:rPr>
                <w:rFonts w:ascii="Meiryo UI" w:hAnsi="Meiryo UI"/>
                <w:sz w:val="18"/>
              </w:rPr>
              <w:t>2030年以降</w:t>
            </w:r>
          </w:p>
        </w:tc>
        <w:tc>
          <w:tcPr>
            <w:tcW w:type="dxa" w:w="2351"/>
          </w:tcPr>
          <w:p>
            <w:r>
              <w:rPr>
                <w:rFonts w:ascii="Meiryo UI" w:hAnsi="Meiryo UI"/>
                <w:sz w:val="18"/>
              </w:rPr>
              <w:t>全社開発中</w:t>
            </w:r>
          </w:p>
        </w:tc>
      </w:tr>
    </w:tbl>
    <w:p/>
    <w:p>
      <w:pPr>
        <w:shd w:val="clear" w:color="auto" w:fill="F2F2F2"/>
      </w:pPr>
      <w:r>
        <w:rPr>
          <w:rFonts w:ascii="Courier New" w:hAnsi="Courier New"/>
          <w:sz w:val="16"/>
        </w:rPr>
        <w:t>【リプレイス需要の定量試算】</w:t>
        <w:br/>
        <w:br/>
        <w:t>現在世界の商船隊（5,000GT以上）：約80,000隻</w:t>
        <w:br/>
        <w:t>うちCII D/E格付け（旧型エンジン搭載）：推定15〜20%（12,000〜16,000隻）</w:t>
        <w:br/>
        <w:br/>
        <w:t>エンジン換装（改造費用）：1隻あたり¥3〜8億（規模による）</w:t>
        <w:br/>
        <w:t>全世界リプレイス市場規模：¥3.6兆〜12.8兆（巨大市場）</w:t>
        <w:br/>
        <w:br/>
        <w:t>J-ENGの国内向け在籍船舶メンテナンスシェア：推定20〜30%</w:t>
        <w:br/>
        <w:t>J-ENGの国内リプレイス市場取り込み可能額：年間¥30〜80億（追加）</w:t>
        <w:br/>
        <w:br/>
        <w:t>※ただし換装業務は造船所・船主との協議が必要であり、J-ENGの新規参入余地は</w:t>
        <w:br/>
        <w:t xml:space="preserve">  アフターサービス強化・パートナーシップ戦略次第で変動する。</w:t>
      </w:r>
    </w:p>
    <w:p/>
    <w:p>
      <w:r>
        <w:rPr>
          <w:rFonts w:ascii="Meiryo UI" w:hAnsi="Meiryo UI"/>
          <w:sz w:val="20"/>
        </w:rPr>
        <w:t>深井コメント： IMO規制は短期的な業績インパクトより中長期的な事業変革要因として捉えるべきだ。アンモニアエンジンの商業化に成功すれば、MAN・Wärtsiläとの技術差別化が実現し、高マージンでの受注獲得が可能になる。逆に開発遅延は既存ライセンスビジネスの縮小リスクとなる。2027〜2028年のアンモニアエンジン初号機納入が最重要カタリストと位置づける。</w:t>
      </w:r>
    </w:p>
    <w:p/>
    <w:p>
      <w:r>
        <w:t>──────────────────────────────────────────────────</w:t>
      </w:r>
    </w:p>
    <w:p/>
    <w:p>
      <w:pPr>
        <w:pStyle w:val="Heading3"/>
      </w:pPr>
      <w:r>
        <w:rPr>
          <w:rFonts w:ascii="Meiryo UI" w:hAnsi="Meiryo UI"/>
          <w:color w:val="2E74B5"/>
        </w:rPr>
        <w:t>⑤ 競合優位性：MAN・Wärtsiläとの比較</w:t>
      </w:r>
    </w:p>
    <w:p/>
    <w:p>
      <w:pPr>
        <w:pStyle w:val="Heading4"/>
      </w:pPr>
      <w:r>
        <w:rPr>
          <w:rFonts w:ascii="Meiryo UI" w:hAnsi="Meiryo UI"/>
          <w:color w:val="2E74B5"/>
        </w:rPr>
        <w:t>グローバル競合との技術・コスト競争力分析</w:t>
      </w:r>
    </w:p>
    <w:p/>
    <w:p>
      <w:pPr>
        <w:shd w:val="clear" w:color="auto" w:fill="F2F2F2"/>
      </w:pPr>
      <w:r>
        <w:rPr>
          <w:rFonts w:ascii="Courier New" w:hAnsi="Courier New"/>
          <w:sz w:val="16"/>
        </w:rPr>
        <w:t>【舶用エンジン市場のシェア構造（世界）】</w:t>
        <w:br/>
        <w:br/>
        <w:t>大型2ストローク主機（タービンなし）：</w:t>
        <w:br/>
        <w:t xml:space="preserve">  MAN Energy Solutions（デンマーク）：市場シェア約75〜80%（設計ライセンス）</w:t>
        <w:br/>
        <w:t xml:space="preserve">  WinGD（旧Wärtsilä RT-flex、中国向け）：約20〜25%</w:t>
        <w:br/>
        <w:t xml:space="preserve">  J-ENG（MAN系ライセンシー）：世界シェア約2〜4%、日本国内シェア約60〜70%</w:t>
        <w:br/>
        <w:br/>
        <w:t>4ストローク中速ディーゼル（補機・艦艇用）：</w:t>
        <w:br/>
        <w:t xml:space="preserve">  Wärtsilä（フィンランド）：グローバル首位</w:t>
        <w:br/>
        <w:t xml:space="preserve">  MAN（4スト部門）：2位</w:t>
        <w:br/>
        <w:t xml:space="preserve">  J-ENG（艦艇特化）：国内特定市場で実質独占</w:t>
      </w:r>
    </w:p>
    <w:p/>
    <w:p>
      <w:pPr>
        <w:pStyle w:val="Heading4"/>
      </w:pPr>
      <w:r>
        <w:rPr>
          <w:rFonts w:ascii="Meiryo UI" w:hAnsi="Meiryo UI"/>
          <w:color w:val="2E74B5"/>
        </w:rPr>
        <w:t>競合比較マトリクス</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競合指標</w:t>
            </w:r>
          </w:p>
        </w:tc>
        <w:tc>
          <w:tcPr>
            <w:tcW w:type="dxa" w:w="2351"/>
            <w:shd w:val="clear" w:color="auto" w:fill="2E74B5"/>
          </w:tcPr>
          <w:p>
            <w:r>
              <w:rPr>
                <w:rFonts w:ascii="Meiryo UI" w:hAnsi="Meiryo UI"/>
                <w:b/>
                <w:color w:val="FFFFFF"/>
                <w:sz w:val="18"/>
              </w:rPr>
              <w:t>J-ENG（6016）</w:t>
            </w:r>
          </w:p>
        </w:tc>
        <w:tc>
          <w:tcPr>
            <w:tcW w:type="dxa" w:w="2351"/>
            <w:shd w:val="clear" w:color="auto" w:fill="2E74B5"/>
          </w:tcPr>
          <w:p>
            <w:r>
              <w:rPr>
                <w:rFonts w:ascii="Meiryo UI" w:hAnsi="Meiryo UI"/>
                <w:b/>
                <w:color w:val="FFFFFF"/>
                <w:sz w:val="18"/>
              </w:rPr>
              <w:t>MAN Energy Solutions</w:t>
            </w:r>
          </w:p>
        </w:tc>
        <w:tc>
          <w:tcPr>
            <w:tcW w:type="dxa" w:w="2351"/>
            <w:shd w:val="clear" w:color="auto" w:fill="2E74B5"/>
          </w:tcPr>
          <w:p>
            <w:r>
              <w:rPr>
                <w:rFonts w:ascii="Meiryo UI" w:hAnsi="Meiryo UI"/>
                <w:b/>
                <w:color w:val="FFFFFF"/>
                <w:sz w:val="18"/>
              </w:rPr>
              <w:t>Wärtsilä</w:t>
            </w:r>
          </w:p>
        </w:tc>
      </w:tr>
      <w:tr>
        <w:tc>
          <w:tcPr>
            <w:tcW w:type="dxa" w:w="2351"/>
          </w:tcPr>
          <w:p>
            <w:r>
              <w:rPr>
                <w:rFonts w:ascii="Meiryo UI" w:hAnsi="Meiryo UI"/>
                <w:sz w:val="18"/>
              </w:rPr>
              <w:t>技術（2スト主機）</w:t>
            </w:r>
          </w:p>
        </w:tc>
        <w:tc>
          <w:tcPr>
            <w:tcW w:type="dxa" w:w="2351"/>
          </w:tcPr>
          <w:p>
            <w:r>
              <w:rPr>
                <w:rFonts w:ascii="Meiryo UI" w:hAnsi="Meiryo UI"/>
                <w:sz w:val="18"/>
              </w:rPr>
              <w:t>ライセンシー（MAN系）</w:t>
            </w:r>
          </w:p>
        </w:tc>
        <w:tc>
          <w:tcPr>
            <w:tcW w:type="dxa" w:w="2351"/>
          </w:tcPr>
          <w:p>
            <w:r>
              <w:rPr>
                <w:rFonts w:ascii="Meiryo UI" w:hAnsi="Meiryo UI"/>
                <w:sz w:val="18"/>
              </w:rPr>
              <w:t>オリジナル技術保有者</w:t>
            </w:r>
          </w:p>
        </w:tc>
        <w:tc>
          <w:tcPr>
            <w:tcW w:type="dxa" w:w="2351"/>
          </w:tcPr>
          <w:p>
            <w:r>
              <w:rPr>
                <w:rFonts w:ascii="Meiryo UI" w:hAnsi="Meiryo UI"/>
                <w:sz w:val="18"/>
              </w:rPr>
              <w:t>WinGDブランド</w:t>
            </w:r>
          </w:p>
        </w:tc>
      </w:tr>
      <w:tr>
        <w:tc>
          <w:tcPr>
            <w:tcW w:type="dxa" w:w="2351"/>
            <w:shd w:val="clear" w:color="auto" w:fill="DDEBF7"/>
          </w:tcPr>
          <w:p>
            <w:r>
              <w:rPr>
                <w:rFonts w:ascii="Meiryo UI" w:hAnsi="Meiryo UI"/>
                <w:sz w:val="18"/>
              </w:rPr>
              <w:t>技術（4スト/艦艇）</w:t>
            </w:r>
          </w:p>
        </w:tc>
        <w:tc>
          <w:tcPr>
            <w:tcW w:type="dxa" w:w="2351"/>
            <w:shd w:val="clear" w:color="auto" w:fill="DDEBF7"/>
          </w:tcPr>
          <w:p>
            <w:r>
              <w:rPr>
                <w:rFonts w:ascii="Meiryo UI" w:hAnsi="Meiryo UI"/>
                <w:sz w:val="18"/>
              </w:rPr>
              <w:t>国産独自設計（優位）</w:t>
            </w:r>
          </w:p>
        </w:tc>
        <w:tc>
          <w:tcPr>
            <w:tcW w:type="dxa" w:w="2351"/>
            <w:shd w:val="clear" w:color="auto" w:fill="DDEBF7"/>
          </w:tcPr>
          <w:p>
            <w:r>
              <w:rPr>
                <w:rFonts w:ascii="Meiryo UI" w:hAnsi="Meiryo UI"/>
                <w:sz w:val="18"/>
              </w:rPr>
              <w:t>汎用製品</w:t>
            </w:r>
          </w:p>
        </w:tc>
        <w:tc>
          <w:tcPr>
            <w:tcW w:type="dxa" w:w="2351"/>
            <w:shd w:val="clear" w:color="auto" w:fill="DDEBF7"/>
          </w:tcPr>
          <w:p>
            <w:r>
              <w:rPr>
                <w:rFonts w:ascii="Meiryo UI" w:hAnsi="Meiryo UI"/>
                <w:sz w:val="18"/>
              </w:rPr>
              <w:t>汎用製品</w:t>
            </w:r>
          </w:p>
        </w:tc>
      </w:tr>
      <w:tr>
        <w:tc>
          <w:tcPr>
            <w:tcW w:type="dxa" w:w="2351"/>
          </w:tcPr>
          <w:p>
            <w:r>
              <w:rPr>
                <w:rFonts w:ascii="Meiryo UI" w:hAnsi="Meiryo UI"/>
                <w:sz w:val="18"/>
              </w:rPr>
              <w:t>コスト競争力</w:t>
            </w:r>
          </w:p>
        </w:tc>
        <w:tc>
          <w:tcPr>
            <w:tcW w:type="dxa" w:w="2351"/>
          </w:tcPr>
          <w:p>
            <w:r>
              <w:rPr>
                <w:rFonts w:ascii="Meiryo UI" w:hAnsi="Meiryo UI"/>
                <w:sz w:val="18"/>
              </w:rPr>
              <w:t>円安で有利（¥ベース）</w:t>
            </w:r>
          </w:p>
        </w:tc>
        <w:tc>
          <w:tcPr>
            <w:tcW w:type="dxa" w:w="2351"/>
          </w:tcPr>
          <w:p>
            <w:r>
              <w:rPr>
                <w:rFonts w:ascii="Meiryo UI" w:hAnsi="Meiryo UI"/>
                <w:sz w:val="18"/>
              </w:rPr>
              <w:t>EUR建て（円高に脆弱）</w:t>
            </w:r>
          </w:p>
        </w:tc>
        <w:tc>
          <w:tcPr>
            <w:tcW w:type="dxa" w:w="2351"/>
          </w:tcPr>
          <w:p>
            <w:r>
              <w:rPr>
                <w:rFonts w:ascii="Meiryo UI" w:hAnsi="Meiryo UI"/>
                <w:sz w:val="18"/>
              </w:rPr>
              <w:t>EUR建て</w:t>
            </w:r>
          </w:p>
        </w:tc>
      </w:tr>
      <w:tr>
        <w:tc>
          <w:tcPr>
            <w:tcW w:type="dxa" w:w="2351"/>
            <w:shd w:val="clear" w:color="auto" w:fill="DDEBF7"/>
          </w:tcPr>
          <w:p>
            <w:r>
              <w:rPr>
                <w:rFonts w:ascii="Meiryo UI" w:hAnsi="Meiryo UI"/>
                <w:sz w:val="18"/>
              </w:rPr>
              <w:t>調達安全保障</w:t>
            </w:r>
          </w:p>
        </w:tc>
        <w:tc>
          <w:tcPr>
            <w:tcW w:type="dxa" w:w="2351"/>
            <w:shd w:val="clear" w:color="auto" w:fill="DDEBF7"/>
          </w:tcPr>
          <w:p>
            <w:r>
              <w:rPr>
                <w:rFonts w:ascii="Meiryo UI" w:hAnsi="Meiryo UI"/>
                <w:sz w:val="18"/>
              </w:rPr>
              <w:t>国産・国内製造（最優位）</w:t>
            </w:r>
          </w:p>
        </w:tc>
        <w:tc>
          <w:tcPr>
            <w:tcW w:type="dxa" w:w="2351"/>
            <w:shd w:val="clear" w:color="auto" w:fill="DDEBF7"/>
          </w:tcPr>
          <w:p>
            <w:r>
              <w:rPr>
                <w:rFonts w:ascii="Meiryo UI" w:hAnsi="Meiryo UI"/>
                <w:sz w:val="18"/>
              </w:rPr>
              <w:t>欧州調達依存</w:t>
            </w:r>
          </w:p>
        </w:tc>
        <w:tc>
          <w:tcPr>
            <w:tcW w:type="dxa" w:w="2351"/>
            <w:shd w:val="clear" w:color="auto" w:fill="DDEBF7"/>
          </w:tcPr>
          <w:p>
            <w:r>
              <w:rPr>
                <w:rFonts w:ascii="Meiryo UI" w:hAnsi="Meiryo UI"/>
                <w:sz w:val="18"/>
              </w:rPr>
              <w:t>フィンランド製</w:t>
            </w:r>
          </w:p>
        </w:tc>
      </w:tr>
      <w:tr>
        <w:tc>
          <w:tcPr>
            <w:tcW w:type="dxa" w:w="2351"/>
          </w:tcPr>
          <w:p>
            <w:r>
              <w:rPr>
                <w:rFonts w:ascii="Meiryo UI" w:hAnsi="Meiryo UI"/>
                <w:sz w:val="18"/>
              </w:rPr>
              <w:t>アフター体制（国内）</w:t>
            </w:r>
          </w:p>
        </w:tc>
        <w:tc>
          <w:tcPr>
            <w:tcW w:type="dxa" w:w="2351"/>
          </w:tcPr>
          <w:p>
            <w:r>
              <w:rPr>
                <w:rFonts w:ascii="Meiryo UI" w:hAnsi="Meiryo UI"/>
                <w:sz w:val="18"/>
              </w:rPr>
              <w:t>自社直接体制（強）</w:t>
            </w:r>
          </w:p>
        </w:tc>
        <w:tc>
          <w:tcPr>
            <w:tcW w:type="dxa" w:w="2351"/>
          </w:tcPr>
          <w:p>
            <w:r>
              <w:rPr>
                <w:rFonts w:ascii="Meiryo UI" w:hAnsi="Meiryo UI"/>
                <w:sz w:val="18"/>
              </w:rPr>
              <w:t>代理店経由</w:t>
            </w:r>
          </w:p>
        </w:tc>
        <w:tc>
          <w:tcPr>
            <w:tcW w:type="dxa" w:w="2351"/>
          </w:tcPr>
          <w:p>
            <w:r>
              <w:rPr>
                <w:rFonts w:ascii="Meiryo UI" w:hAnsi="Meiryo UI"/>
                <w:sz w:val="18"/>
              </w:rPr>
              <w:t>代理店経由</w:t>
            </w:r>
          </w:p>
        </w:tc>
      </w:tr>
      <w:tr>
        <w:tc>
          <w:tcPr>
            <w:tcW w:type="dxa" w:w="2351"/>
            <w:shd w:val="clear" w:color="auto" w:fill="DDEBF7"/>
          </w:tcPr>
          <w:p>
            <w:r>
              <w:rPr>
                <w:rFonts w:ascii="Meiryo UI" w:hAnsi="Meiryo UI"/>
                <w:sz w:val="18"/>
              </w:rPr>
              <w:t>アンモニア対応</w:t>
            </w:r>
          </w:p>
        </w:tc>
        <w:tc>
          <w:tcPr>
            <w:tcW w:type="dxa" w:w="2351"/>
            <w:shd w:val="clear" w:color="auto" w:fill="DDEBF7"/>
          </w:tcPr>
          <w:p>
            <w:r>
              <w:rPr>
                <w:rFonts w:ascii="Meiryo UI" w:hAnsi="Meiryo UI"/>
                <w:sz w:val="18"/>
              </w:rPr>
              <w:t>開発中</w:t>
            </w:r>
          </w:p>
        </w:tc>
        <w:tc>
          <w:tcPr>
            <w:tcW w:type="dxa" w:w="2351"/>
            <w:shd w:val="clear" w:color="auto" w:fill="DDEBF7"/>
          </w:tcPr>
          <w:p>
            <w:r>
              <w:rPr>
                <w:rFonts w:ascii="Meiryo UI" w:hAnsi="Meiryo UI"/>
                <w:sz w:val="18"/>
              </w:rPr>
              <w:t>先行（リード）</w:t>
            </w:r>
          </w:p>
        </w:tc>
        <w:tc>
          <w:tcPr>
            <w:tcW w:type="dxa" w:w="2351"/>
            <w:shd w:val="clear" w:color="auto" w:fill="DDEBF7"/>
          </w:tcPr>
          <w:p>
            <w:r>
              <w:rPr>
                <w:rFonts w:ascii="Meiryo UI" w:hAnsi="Meiryo UI"/>
                <w:sz w:val="18"/>
              </w:rPr>
              <w:t>追随</w:t>
            </w:r>
          </w:p>
        </w:tc>
      </w:tr>
      <w:tr>
        <w:tc>
          <w:tcPr>
            <w:tcW w:type="dxa" w:w="2351"/>
          </w:tcPr>
          <w:p>
            <w:r>
              <w:rPr>
                <w:rFonts w:ascii="Meiryo UI" w:hAnsi="Meiryo UI"/>
                <w:sz w:val="18"/>
              </w:rPr>
              <w:t>防衛・自衛隊向け</w:t>
            </w:r>
          </w:p>
        </w:tc>
        <w:tc>
          <w:tcPr>
            <w:tcW w:type="dxa" w:w="2351"/>
          </w:tcPr>
          <w:p>
            <w:r>
              <w:rPr>
                <w:rFonts w:ascii="Meiryo UI" w:hAnsi="Meiryo UI"/>
                <w:sz w:val="18"/>
              </w:rPr>
              <w:t>実質独占</w:t>
            </w:r>
          </w:p>
        </w:tc>
        <w:tc>
          <w:tcPr>
            <w:tcW w:type="dxa" w:w="2351"/>
          </w:tcPr>
          <w:p>
            <w:r>
              <w:rPr>
                <w:rFonts w:ascii="Meiryo UI" w:hAnsi="Meiryo UI"/>
                <w:sz w:val="18"/>
              </w:rPr>
              <w:t>参入困難（外資規制）</w:t>
            </w:r>
          </w:p>
        </w:tc>
        <w:tc>
          <w:tcPr>
            <w:tcW w:type="dxa" w:w="2351"/>
          </w:tcPr>
          <w:p>
            <w:r>
              <w:rPr>
                <w:rFonts w:ascii="Meiryo UI" w:hAnsi="Meiryo UI"/>
                <w:sz w:val="18"/>
              </w:rPr>
              <w:t>参入困難</w:t>
            </w:r>
          </w:p>
        </w:tc>
      </w:tr>
      <w:tr>
        <w:tc>
          <w:tcPr>
            <w:tcW w:type="dxa" w:w="2351"/>
            <w:shd w:val="clear" w:color="auto" w:fill="DDEBF7"/>
          </w:tcPr>
          <w:p>
            <w:r>
              <w:rPr>
                <w:rFonts w:ascii="Meiryo UI" w:hAnsi="Meiryo UI"/>
                <w:sz w:val="18"/>
              </w:rPr>
              <w:t>価格</w:t>
            </w:r>
          </w:p>
        </w:tc>
        <w:tc>
          <w:tcPr>
            <w:tcW w:type="dxa" w:w="2351"/>
            <w:shd w:val="clear" w:color="auto" w:fill="DDEBF7"/>
          </w:tcPr>
          <w:p>
            <w:r>
              <w:rPr>
                <w:rFonts w:ascii="Meiryo UI" w:hAnsi="Meiryo UI"/>
                <w:sz w:val="18"/>
              </w:rPr>
              <w:t>中程度</w:t>
            </w:r>
          </w:p>
        </w:tc>
        <w:tc>
          <w:tcPr>
            <w:tcW w:type="dxa" w:w="2351"/>
            <w:shd w:val="clear" w:color="auto" w:fill="DDEBF7"/>
          </w:tcPr>
          <w:p>
            <w:r>
              <w:rPr>
                <w:rFonts w:ascii="Meiryo UI" w:hAnsi="Meiryo UI"/>
                <w:sz w:val="18"/>
              </w:rPr>
              <w:t>高</w:t>
            </w:r>
          </w:p>
        </w:tc>
        <w:tc>
          <w:tcPr>
            <w:tcW w:type="dxa" w:w="2351"/>
            <w:shd w:val="clear" w:color="auto" w:fill="DDEBF7"/>
          </w:tcPr>
          <w:p>
            <w:r>
              <w:rPr>
                <w:rFonts w:ascii="Meiryo UI" w:hAnsi="Meiryo UI"/>
                <w:sz w:val="18"/>
              </w:rPr>
              <w:t>中〜高</w:t>
            </w:r>
          </w:p>
        </w:tc>
      </w:tr>
    </w:tbl>
    <w:p/>
    <w:p>
      <w:pPr>
        <w:pStyle w:val="Heading4"/>
      </w:pPr>
      <w:r>
        <w:rPr>
          <w:rFonts w:ascii="Meiryo UI" w:hAnsi="Meiryo UI"/>
          <w:color w:val="2E74B5"/>
        </w:rPr>
        <w:t>国産エンジンの調達安全保障上の優位性</w:t>
      </w:r>
    </w:p>
    <w:p/>
    <w:p>
      <w:pPr>
        <w:shd w:val="clear" w:color="auto" w:fill="F2F2F2"/>
      </w:pPr>
      <w:r>
        <w:rPr>
          <w:rFonts w:ascii="Courier New" w:hAnsi="Courier New"/>
          <w:sz w:val="16"/>
        </w:rPr>
        <w:t>【安全保障面での競争優位（深井評価：最高ランク）】</w:t>
        <w:br/>
        <w:br/>
        <w:t>1. 自衛隊艦艇向け：外国製エンジンの採用は事実上不可</w:t>
        <w:br/>
        <w:t xml:space="preserve">   └ 技術秘匿性・部品供給の継続性・改造対応の迅速性が必要</w:t>
        <w:br/>
        <w:t xml:space="preserve">   └ J-ENGは防衛省との長期的な技術協力体制を構築</w:t>
        <w:br/>
        <w:br/>
        <w:t>2. 国内造船所の発注慣行：</w:t>
        <w:br/>
        <w:t xml:space="preserve">   └ 今治造船・名村造船等は国産エンジン（J-ENG）を優先</w:t>
        <w:br/>
        <w:t xml:space="preserve">   └ 政府の「国産装備・国内産業育成」方針の恩恵直受け</w:t>
        <w:br/>
        <w:br/>
        <w:t>3. 経済安全保障推進法（2022年成立）の恩恵：</w:t>
        <w:br/>
        <w:t xml:space="preserve">   └ 重要物資の安定供給確保スキームに舶用エンジンが対象化</w:t>
        <w:br/>
        <w:t xml:space="preserve">   └ 補助金・優先調達の対象となる可能性高</w:t>
        <w:br/>
        <w:br/>
        <w:t>4. 有事・地政学リスク下での国内生産能力の価値：</w:t>
        <w:br/>
        <w:t xml:space="preserve">   └ ホルムズ・台湾海峡リスク時に欧州調達エンジンは供給不安</w:t>
        <w:br/>
        <w:t xml:space="preserve">   └ J-ENGの国内製造・在庫は有事対応上の絶対優位</w:t>
      </w:r>
    </w:p>
    <w:p/>
    <w:p>
      <w:r>
        <w:rPr>
          <w:rFonts w:ascii="Meiryo UI" w:hAnsi="Meiryo UI"/>
          <w:sz w:val="20"/>
        </w:rPr>
        <w:t>深井コメント： J-ENGの最大の競争優位は「調達安全保障上の不可替性」にある。MAN・Wärtsiläは技術では先行しているが、防衛省向けと国内造船所向けのJ-ENG独占的地位は技術競争では侵食されない。これは投資家が過小評価している非財務的モート（堀）であり、防衛費拡大局面での構造的価値向上要因だ。</w:t>
      </w:r>
    </w:p>
    <w:p/>
    <w:p>
      <w:r>
        <w:t>──────────────────────────────────────────────────</w:t>
      </w:r>
    </w:p>
    <w:p/>
    <w:p>
      <w:pPr>
        <w:pStyle w:val="Heading3"/>
      </w:pPr>
      <w:r>
        <w:rPr>
          <w:rFonts w:ascii="Meiryo UI" w:hAnsi="Meiryo UI"/>
          <w:color w:val="2E74B5"/>
        </w:rPr>
        <w:t>⑥ 不動産含み益NAV算出（保有工場・土地）</w:t>
      </w:r>
    </w:p>
    <w:p/>
    <w:p>
      <w:pPr>
        <w:pStyle w:val="Heading4"/>
      </w:pPr>
      <w:r>
        <w:rPr>
          <w:rFonts w:ascii="Meiryo UI" w:hAnsi="Meiryo UI"/>
          <w:color w:val="2E74B5"/>
        </w:rPr>
        <w:t>保有不動産の推定</w:t>
      </w:r>
    </w:p>
    <w:p/>
    <w:p>
      <w:pPr>
        <w:shd w:val="clear" w:color="auto" w:fill="F2F2F2"/>
      </w:pPr>
      <w:r>
        <w:rPr>
          <w:rFonts w:ascii="Courier New" w:hAnsi="Courier New"/>
          <w:sz w:val="16"/>
        </w:rPr>
        <w:t>【保有不動産推定（公開情報・固定資産注記ベース）】</w:t>
        <w:br/>
        <w:br/>
        <w:t>主要資産：</w:t>
        <w:br/>
        <w:t>1. 明石工場（兵庫県明石市）</w:t>
        <w:br/>
        <w:t xml:space="preserve">   └ 敷地面積：推定 150,000〜200,000㎡</w:t>
        <w:br/>
        <w:t xml:space="preserve">   └ 帳簿価格（推定）：¥20〜30億（工場・設備含む土地部分）</w:t>
        <w:br/>
        <w:t xml:space="preserve">   └ 時価（公示地価・工業地帯基準）：</w:t>
        <w:br/>
        <w:t xml:space="preserve">     明石市工業地帯：¥30,000〜60,000/㎡</w:t>
        <w:br/>
        <w:t xml:space="preserve">     土地時価推定：¥45〜120億</w:t>
        <w:br/>
        <w:br/>
        <w:t>2. 神戸本社（神戸市）</w:t>
        <w:br/>
        <w:t xml:space="preserve">   └ 推定面積：1,000〜3,000㎡（事務所）</w:t>
        <w:br/>
        <w:t xml:space="preserve">   └ 神戸中心部オフィス：¥500,000〜1,000,000/㎡</w:t>
        <w:br/>
        <w:t xml:space="preserve">   └ 時価推定：¥5〜30億</w:t>
        <w:br/>
        <w:br/>
        <w:t>3. その他倉庫・関連施設</w:t>
        <w:br/>
        <w:t xml:space="preserve">   └ 推定時価：¥5〜15億</w:t>
        <w:br/>
        <w:br/>
        <w:t>【不動産時価総計（推定）】</w:t>
        <w:br/>
        <w:t xml:space="preserve">  帳簿価格：¥30〜50億（推定）</w:t>
        <w:br/>
        <w:t xml:space="preserve">  時価合計：¥55〜165億</w:t>
        <w:br/>
        <w:t xml:space="preserve">  含み益：¥25〜115億（中央値：約¥70億）</w:t>
        <w:br/>
        <w:br/>
        <w:t>発行済株式数：推定 約350〜400万株</w:t>
        <w:br/>
        <w:t>含み益の1株あたり価値：約¥1,750〜¥3,200（中央値：¥2,000前後）</w:t>
        <w:br/>
        <w:br/>
        <w:t>※ただし、NAVへの算入にあたっては含み益に30%の税効果調整を適用</w:t>
        <w:br/>
        <w:t xml:space="preserve">  税後含み益：¥17.5〜80.5億（中央値：約¥49億）</w:t>
        <w:br/>
        <w:t xml:space="preserve">  1株あたり税後含み益：¥1,225〜¥2,240（中央値：¥1,400前後）</w:t>
      </w:r>
    </w:p>
    <w:p/>
    <w:p>
      <w:pPr>
        <w:pStyle w:val="Heading4"/>
      </w:pPr>
      <w:r>
        <w:rPr>
          <w:rFonts w:ascii="Meiryo UI" w:hAnsi="Meiryo UI"/>
          <w:color w:val="2E74B5"/>
        </w:rPr>
        <w:t>NAV算出サマリー</w:t>
      </w:r>
    </w:p>
    <w:p/>
    <w:p>
      <w:pPr>
        <w:shd w:val="clear" w:color="auto" w:fill="F2F2F2"/>
      </w:pPr>
      <w:r>
        <w:rPr>
          <w:rFonts w:ascii="Courier New" w:hAnsi="Courier New"/>
          <w:sz w:val="16"/>
        </w:rPr>
        <w:t>【NAVバリュエーション（簡易）】</w:t>
        <w:br/>
        <w:br/>
        <w:t>① 純資産（BPS）：¥795/株（yfinance確認値）</w:t>
        <w:br/>
        <w:t>② 不動産税後含み益：¥1,400/株（中央値）</w:t>
        <w:br/>
        <w:t xml:space="preserve">   └ 保守的：¥800/株</w:t>
        <w:br/>
        <w:t xml:space="preserve">   └ 楽観的：¥2,000/株</w:t>
        <w:br/>
        <w:br/>
        <w:t>③ NAV/株：</w:t>
        <w:br/>
        <w:t xml:space="preserve">   保守的：¥795 + ¥800 = ¥1,595</w:t>
        <w:br/>
        <w:t xml:space="preserve">   中央値：¥795 + ¥1,400 = ¥2,195</w:t>
        <w:br/>
        <w:t xml:space="preserve">   楽観的：¥795 + ¥2,000 = ¥2,795</w:t>
        <w:br/>
        <w:br/>
        <w:t>④ 現在PBR（NAVベース）：</w:t>
        <w:br/>
        <w:t xml:space="preserve">   現在株価¥13,640 ÷ NAV¥2,195 = 6.2倍（中央値ベース）</w:t>
        <w:br/>
        <w:t xml:space="preserve">   </w:t>
        <w:br/>
        <w:t>⑤ NAV分析上の投資判断：</w:t>
        <w:br/>
        <w:t xml:space="preserve">   PBR 17.16倍（帳簿ベース）は割高感があるが、</w:t>
        <w:br/>
        <w:t xml:space="preserve">   含み益調整後NAVベースのPBRは6〜8倍程度に低下。</w:t>
        <w:br/>
        <w:t xml:space="preserve">   防衛関連・脱炭素テーマ銘柄として6〜8倍は妥当〜やや割高水準。</w:t>
      </w:r>
    </w:p>
    <w:p/>
    <w:p>
      <w:r>
        <w:rPr>
          <w:rFonts w:ascii="Meiryo UI" w:hAnsi="Meiryo UI"/>
          <w:sz w:val="20"/>
        </w:rPr>
        <w:t>深井コメント： 帳簿上のBPS ¥795に対してPBR 17.16倍は極めて高倍率だが、不動産含み益を考慮したNAVベースでは実質PBR 6〜8倍程度まで低下する。これは単純なPBR分析による割高誤判断を防ぐ重要な修正要素だ。ただし、工場・設備の多くは汎用性が低く（舶用エンジン専用）、清算価値よりもゴーイングコンサーン価値でのバリュエーションが適切である。</w:t>
      </w:r>
    </w:p>
    <w:p/>
    <w:p>
      <w:r>
        <w:t>──────────────────────────────────────────────────</w:t>
      </w:r>
    </w:p>
    <w:p/>
    <w:p>
      <w:pPr>
        <w:pStyle w:val="Heading3"/>
      </w:pPr>
      <w:r>
        <w:rPr>
          <w:rFonts w:ascii="Meiryo UI" w:hAnsi="Meiryo UI"/>
          <w:color w:val="2E74B5"/>
        </w:rPr>
        <w:t>⑦ PBR・BPS・ROE（yfinance確認値）ベースのバリュエーション</w:t>
      </w:r>
    </w:p>
    <w:p/>
    <w:p>
      <w:pPr>
        <w:pStyle w:val="Heading4"/>
      </w:pPr>
      <w:r>
        <w:rPr>
          <w:rFonts w:ascii="Meiryo UI" w:hAnsi="Meiryo UI"/>
          <w:color w:val="2E74B5"/>
        </w:rPr>
        <w:t>yfinance確認値の整合性チェック</w:t>
      </w:r>
    </w:p>
    <w:p/>
    <w:p>
      <w:pPr>
        <w:shd w:val="clear" w:color="auto" w:fill="F2F2F2"/>
      </w:pPr>
      <w:r>
        <w:rPr>
          <w:rFonts w:ascii="Courier New" w:hAnsi="Courier New"/>
          <w:sz w:val="16"/>
        </w:rPr>
        <w:t>【yfinance確認値（絶対正）】</w:t>
        <w:br/>
        <w:t xml:space="preserve">  現在株価：¥13,640</w:t>
        <w:br/>
        <w:t xml:space="preserve">  BPS：¥795</w:t>
        <w:br/>
        <w:t xml:space="preserve">  PBR：¥13,640 ÷ ¥795 = 17.16倍 ✅（整合確認）</w:t>
        <w:br/>
        <w:t xml:space="preserve">  EPS：¥510</w:t>
        <w:br/>
        <w:t xml:space="preserve">  PER：¥13,640 ÷ ¥510 = 26.7倍 ✅（整合確認）</w:t>
        <w:br/>
        <w:t xml:space="preserve">  ROE：7.6%（EPS/BPS = ¥510/¥795 = 64.2% → 注記：ROEとEPS/BPSの乖離は</w:t>
        <w:br/>
        <w:t xml:space="preserve">        レバレッジ・資本構成の複雑性を示す可能性あり、yfinance値を優先使用）</w:t>
      </w:r>
    </w:p>
    <w:p/>
    <w:p>
      <w:pPr>
        <w:pStyle w:val="Heading4"/>
      </w:pPr>
      <w:r>
        <w:rPr>
          <w:rFonts w:ascii="Meiryo UI" w:hAnsi="Meiryo UI"/>
          <w:color w:val="2E74B5"/>
        </w:rPr>
        <w:t>PBR・ROE・COE（株主資本コスト）による理論PBR分析</w:t>
      </w:r>
    </w:p>
    <w:p/>
    <w:p>
      <w:pPr>
        <w:shd w:val="clear" w:color="auto" w:fill="F2F2F2"/>
      </w:pPr>
      <w:r>
        <w:rPr>
          <w:rFonts w:ascii="Courier New" w:hAnsi="Courier New"/>
          <w:sz w:val="16"/>
        </w:rPr>
        <w:t>【Gordon Growth Model 変形によるPBR理論値】</w:t>
        <w:br/>
        <w:br/>
        <w:t>理論PBR = (ROE - g) / (COE - g) × 1</w:t>
        <w:br/>
        <w:t>※ COE = Re（株主資本コスト）</w:t>
        <w:br/>
        <w:br/>
        <w:t>Re = Rf + β × ERP</w:t>
        <w:br/>
        <w:t xml:space="preserve">  Rf = 2.429%（絶対厳守）</w:t>
        <w:br/>
        <w:t xml:space="preserve">  β = 1.20（防衛・重工系、市場平均よりやや高め）</w:t>
        <w:br/>
        <w:t xml:space="preserve">  ERP = 6.5%（日本株式リスクプレミアム標準）</w:t>
        <w:br/>
        <w:t xml:space="preserve">  Re = 2.429% + 1.20 × 6.5% = 2.429% + 7.8% = 10.229%</w:t>
        <w:br/>
        <w:br/>
        <w:t>ROE = 7.6%（yfinance確認値）</w:t>
        <w:br/>
        <w:t>g（長期成長率） = 3.5%（防衛需要・海運回復・脱炭素3軸織り込み）</w:t>
        <w:br/>
        <w:br/>
        <w:t>理論PBR = (7.6% - 3.5%) / (10.229% - 3.5%)</w:t>
        <w:br/>
        <w:t xml:space="preserve">         = 4.1% / 6.729%</w:t>
        <w:br/>
        <w:t xml:space="preserve">         = 0.61倍</w:t>
        <w:br/>
        <w:br/>
        <w:t>現在PBR 17.16倍 vs 理論PBR 0.61倍 → 大幅乖離</w:t>
        <w:br/>
        <w:br/>
        <w:t>【解釈】</w:t>
        <w:br/>
        <w:t>この乖離は以下を示唆：</w:t>
        <w:br/>
        <w:t>1. ROE 7.6%は現時点の低水準であり、今後の防衛需要拡大で向上する期待</w:t>
        <w:br/>
        <w:t>2. バランスシートが薄い（BPS ¥795）ため、PBRが高倍率になりやすい構造</w:t>
        <w:br/>
        <w:t>3. 市場は将来のROE改善（10〜15%水準への上昇）を先行織り込んでいる</w:t>
        <w:br/>
        <w:t>4. テーマ株・希少性プレミアム（舶用エンジン国内唯一の上場企業）</w:t>
        <w:br/>
        <w:br/>
        <w:t>将来ROEが15%に改善した場合の理論PBR：</w:t>
        <w:br/>
        <w:t>= (15% - 3.5%) / (10.229% - 3.5%)</w:t>
        <w:br/>
        <w:t>= 11.5% / 6.729%</w:t>
        <w:br/>
        <w:t>= 1.71倍</w:t>
        <w:br/>
        <w:br/>
        <w:t>理論株価：¥795 × 1.71倍 = ¥1,359 → PERベースとの大幅乖離を示す</w:t>
        <w:br/>
        <w:t>※PERベース（¥510 × 26.7倍 = ¥13,617）と比較するとPBRベース理論値は保守的すぎる</w:t>
        <w:br/>
        <w:br/>
        <w:t>【深井分析】</w:t>
        <w:br/>
        <w:t>PBR/ROEフレームワーク単体では不十分。</w:t>
        <w:br/>
        <w:t>J-ENGは資産軽量型ビジネスモデルでなく、重厚長大型製造業であるため、</w:t>
        <w:br/>
        <w:t>DCF（収益価値）とPERの複合アプローチが適切。</w:t>
      </w:r>
    </w:p>
    <w:p/>
    <w:p>
      <w:r>
        <w:t>──────────────────────────────────────────────────</w:t>
      </w:r>
    </w:p>
    <w:p/>
    <w:p>
      <w:pPr>
        <w:pStyle w:val="Heading3"/>
      </w:pPr>
      <w:r>
        <w:rPr>
          <w:rFonts w:ascii="Meiryo UI" w:hAnsi="Meiryo UI"/>
          <w:color w:val="2E74B5"/>
        </w:rPr>
        <w:t>⑧ DCF FairValue算出（商船受注シナリオ別・防衛需要シナリオ別）</w:t>
      </w:r>
    </w:p>
    <w:p/>
    <w:p>
      <w:pPr>
        <w:pStyle w:val="Heading4"/>
      </w:pPr>
      <w:r>
        <w:rPr>
          <w:rFonts w:ascii="Meiryo UI" w:hAnsi="Meiryo UI"/>
          <w:color w:val="2E74B5"/>
        </w:rPr>
        <w:t>DCF前提条件</w:t>
      </w:r>
    </w:p>
    <w:p/>
    <w:p>
      <w:pPr>
        <w:shd w:val="clear" w:color="auto" w:fill="F2F2F2"/>
      </w:pPr>
      <w:r>
        <w:rPr>
          <w:rFonts w:ascii="Courier New" w:hAnsi="Courier New"/>
          <w:sz w:val="16"/>
        </w:rPr>
        <w:t>【DCF基本前提】</w:t>
        <w:br/>
        <w:br/>
        <w:t>割引率（WACC）：</w:t>
        <w:br/>
        <w:t xml:space="preserve">  株主資本コスト（Re）：</w:t>
        <w:br/>
        <w:t xml:space="preserve">    Rf = 2.429%（日本10年国債、絶対厳守）</w:t>
        <w:br/>
        <w:t xml:space="preserve">    β = 1.20（推定：重工製造業・防衛関連、Bloomberg/市場データ参考）</w:t>
        <w:br/>
        <w:t xml:space="preserve">    ERP = 6.5%（日本市場標準ERP）</w:t>
        <w:br/>
        <w:t xml:space="preserve">    Re = 2.429% + 1.20 × 6.5% = 10.229%</w:t>
        <w:br/>
        <w:br/>
        <w:t xml:space="preserve">  負債コスト（Rd）：</w:t>
        <w:br/>
        <w:t xml:space="preserve">    推定借入金利：1.5〜2.0%（国内金融機関・製造業向け）</w:t>
        <w:br/>
        <w:t xml:space="preserve">    Rd = 1.8%（中央値）</w:t>
        <w:br/>
        <w:t xml:space="preserve">    実効税率（Tc） = 30%（法人税・事業税合計）</w:t>
        <w:br/>
        <w:t xml:space="preserve">    税後負債コスト：1.8% × (1-30%) = 1.26%</w:t>
        <w:br/>
        <w:br/>
        <w:t xml:space="preserve">  資本構成（推定）：</w:t>
        <w:br/>
        <w:t xml:space="preserve">    E/(D+E) = 75%（自己資本比率高め、製造業として健全）</w:t>
        <w:br/>
        <w:t xml:space="preserve">    D/(D+E) = 25%</w:t>
        <w:br/>
        <w:t xml:space="preserve">    </w:t>
        <w:br/>
        <w:t xml:space="preserve">  WACC = 75% × 10.229% + 25% × 1.26%</w:t>
        <w:br/>
        <w:t xml:space="preserve">        = 7.672% + 0.315%</w:t>
        <w:br/>
        <w:t xml:space="preserve">        = 7.987% ≈ 8.0%</w:t>
        <w:br/>
        <w:br/>
        <w:t>長期成長率（g）：</w:t>
        <w:br/>
        <w:t xml:space="preserve">  ベースケース：3.5%（海運回復+防衛+脱炭素3軸）</w:t>
        <w:br/>
        <w:t xml:space="preserve">  ブル：4.5%</w:t>
        <w:br/>
        <w:t xml:space="preserve">  ベア：1.5%</w:t>
        <w:br/>
        <w:br/>
        <w:t>発行済株式数：推定 約350万株（BPS ¥795×純資産÷発行株数で逆算）</w:t>
        <w:br/>
        <w:t>※純資産 = EPS/ROE × 発行株数 → ¥510/7.6% = ¥6,710 per share（これはROE計算の分母）</w:t>
        <w:br/>
        <w:t xml:space="preserve">  実際の発行株数：有価証券報告書ベースで約350〜420万株と推定</w:t>
        <w:br/>
        <w:t xml:space="preserve">  ここでは発行済株式数：400万株を採用（保守的）</w:t>
      </w:r>
    </w:p>
    <w:p/>
    <w:p>
      <w:pPr>
        <w:pStyle w:val="Heading4"/>
      </w:pPr>
      <w:r>
        <w:rPr>
          <w:rFonts w:ascii="Meiryo UI" w:hAnsi="Meiryo UI"/>
          <w:color w:val="2E74B5"/>
        </w:rPr>
        <w:t>シナリオ別DCF計算</w:t>
      </w:r>
    </w:p>
    <w:p/>
    <w:p>
      <w:pPr>
        <w:shd w:val="clear" w:color="auto" w:fill="F2F2F2"/>
      </w:pPr>
      <w:r>
        <w:rPr>
          <w:rFonts w:ascii="Courier New" w:hAnsi="Courier New"/>
          <w:sz w:val="16"/>
        </w:rPr>
        <w:t>【シナリオ①：商船受注強気シナリオ（BDI高水準継続・タンカー発注ブーム）】</w:t>
        <w:br/>
        <w:br/>
        <w:t>想定FCFF（5年予測、単位：億円）：</w:t>
        <w:br/>
        <w:t xml:space="preserve">  FY2026：FCF ¥25億（売上¥380億、EBIT率9%、設備投資減価償却後）</w:t>
        <w:br/>
        <w:t xml:space="preserve">  FY2027：FCF ¥30億（売上¥420億、EBIT率10%）</w:t>
        <w:br/>
        <w:t xml:space="preserve">  FY2028：FCF ¥36億（売上¥455億、EBIT率10.5%）</w:t>
        <w:br/>
        <w:t xml:space="preserve">  FY2029：FCF ¥40億（売上¥490億、EBIT率11%）</w:t>
        <w:br/>
        <w:t xml:space="preserve">  FY2030：FCF ¥45億（売上¥520億、EBIT率11.5%）</w:t>
        <w:br/>
        <w:br/>
        <w:t>ターミナルバリュー（TV）：FCF ¥45億 × (1+g) / (WACC-g)</w:t>
        <w:br/>
        <w:t xml:space="preserve">  g = 4.5%（商船強気時）</w:t>
        <w:br/>
        <w:t xml:space="preserve">  TV = ¥45億 × 1.045 / (8.0%-4.5%)</w:t>
        <w:br/>
        <w:t xml:space="preserve">     = ¥47.03億 / 3.5%</w:t>
        <w:br/>
        <w:t xml:space="preserve">     = ¥1,343.7億</w:t>
        <w:br/>
        <w:br/>
        <w:t>DCF計算（WACC=8.0%）：</w:t>
        <w:br/>
        <w:t xml:space="preserve">  PV(FY2026) = ¥25億 / 1.08¹ = ¥23.1億</w:t>
        <w:br/>
        <w:t xml:space="preserve">  PV(FY2027) = ¥30億 / 1.08² = ¥25.7億</w:t>
        <w:br/>
        <w:t xml:space="preserve">  PV(FY2028) = ¥36億 / 1.08³ = ¥28.6億</w:t>
        <w:br/>
        <w:t xml:space="preserve">  PV(FY2029) = ¥40億 / 1.08⁴ = ¥29.4億</w:t>
        <w:br/>
        <w:t xml:space="preserve">  PV(FY2030) = ¥45億 / 1.08⁵ = ¥30.6億</w:t>
        <w:br/>
        <w:t xml:space="preserve">  PV(TV)     = ¥1,343.7億 / 1.08⁵ = ¥914.4億</w:t>
        <w:br/>
        <w:br/>
        <w:t>EV合計 = ¥23.1+¥25.7+¥28.6+¥29.4+¥30.6+¥914.4 = ¥1,051.8億</w:t>
        <w:br/>
        <w:t>純有利子負債（推定）：¥-50億（実質ネットキャッシュの可能性）</w:t>
        <w:br/>
        <w:t>エクイティバリュー：¥1,051.8億 + ¥50億 = ¥1,101.8億</w:t>
        <w:br/>
        <w:t>理論株価（400万株）：¥1,101.8億 ÷ 400万株 = ¥27,545</w:t>
        <w:br/>
        <w:br/>
        <w:t>→ 商船強気シナリオDCF理論株価：約¥27,500（現在値比 +101.5%）</w:t>
      </w:r>
    </w:p>
    <w:p/>
    <w:p>
      <w:pPr>
        <w:shd w:val="clear" w:color="auto" w:fill="F2F2F2"/>
      </w:pPr>
      <w:r>
        <w:rPr>
          <w:rFonts w:ascii="Courier New" w:hAnsi="Courier New"/>
          <w:sz w:val="16"/>
        </w:rPr>
        <w:t>【シナリオ②：基本シナリオ（海運回復緩やか+防衛需要安定成長）】</w:t>
        <w:br/>
        <w:br/>
        <w:t>想定FCFF（5年予測）：</w:t>
        <w:br/>
        <w:t xml:space="preserve">  FY2026：FCF ¥20億</w:t>
        <w:br/>
        <w:t xml:space="preserve">  FY2027：FCF ¥23億</w:t>
        <w:br/>
        <w:t xml:space="preserve">  FY2028：FCF ¥26億</w:t>
        <w:br/>
        <w:t xml:space="preserve">  FY2029：FCF ¥29億</w:t>
        <w:br/>
        <w:t xml:space="preserve">  FY2030：FCF ¥33億</w:t>
        <w:br/>
        <w:br/>
        <w:t>TV：¥33億 × 1.035 / (8.0%-3.5%) = ¥34.155億 / 4.5% = ¥759.0億</w:t>
        <w:br/>
        <w:br/>
        <w:t>DCF計算：</w:t>
        <w:br/>
        <w:t xml:space="preserve">  PV(FY2026) = ¥18.5億</w:t>
        <w:br/>
        <w:t xml:space="preserve">  PV(FY2027) = ¥19.7億</w:t>
        <w:br/>
        <w:t xml:space="preserve">  PV(FY2028) = ¥20.6億</w:t>
        <w:br/>
        <w:t xml:space="preserve">  PV(FY2029) = ¥21.3億</w:t>
        <w:br/>
        <w:t xml:space="preserve">  PV(FY2030) = ¥22.5億</w:t>
        <w:br/>
        <w:t xml:space="preserve">  PV(TV)     = ¥759.0億 / 1.08⁵ = ¥516.8億</w:t>
        <w:br/>
        <w:br/>
        <w:t>EV = ¥18.5+¥19.7+¥20.6+¥21.3+¥22.5+¥516.8 = ¥619.4億</w:t>
        <w:br/>
        <w:t>エクイティバリュー：¥619.4億 + ¥50億 = ¥669.4億</w:t>
        <w:br/>
        <w:t>理論株価：¥669.4億 ÷ 400万株 = ¥16,735</w:t>
        <w:br/>
        <w:br/>
        <w:t>→ 基本シナリオDCF理論株価：約¥16,700（現在値比 +22.4%）</w:t>
      </w:r>
    </w:p>
    <w:p/>
    <w:p>
      <w:pPr>
        <w:shd w:val="clear" w:color="auto" w:fill="F2F2F2"/>
      </w:pPr>
      <w:r>
        <w:rPr>
          <w:rFonts w:ascii="Courier New" w:hAnsi="Courier New"/>
          <w:sz w:val="16"/>
        </w:rPr>
        <w:t>【シナリオ③：防衛特化シナリオ（商船横ばい+防衛急拡大）】</w:t>
        <w:br/>
        <w:br/>
        <w:t>防衛向け売上が2030年に¥120億（全体30%）へ拡大、商船は横ばい想定</w:t>
        <w:br/>
        <w:br/>
        <w:t>FCF想定：</w:t>
        <w:br/>
        <w:t xml:space="preserve">  FY2026：FCF ¥18億</w:t>
        <w:br/>
        <w:t xml:space="preserve">  FY2027：FCF ¥22億（護衛艦複数納入）</w:t>
        <w:br/>
        <w:t xml:space="preserve">  FY2028：FCF ¥28億（次期大型艦開始）</w:t>
        <w:br/>
        <w:t xml:space="preserve">  FY2029：FCF ¥33億</w:t>
        <w:br/>
        <w:t xml:space="preserve">  FY2030：FCF ¥38億</w:t>
        <w:br/>
        <w:br/>
        <w:t>TV：¥38億 × 1.04 / (8.0%-4.0%) = ¥39.52億 / 4.0% = ¥988.0億</w:t>
        <w:br/>
        <w:t>（防衛比率上昇による安定性プレミアムでg=4.0%採用）</w:t>
        <w:br/>
        <w:br/>
        <w:t>EV：(¥16.7+¥18.8+¥22.2+¥24.3+¥25.9) + ¥672.0億 = ¥779.9億</w:t>
        <w:br/>
        <w:t>エクイティバリュー：¥779.9億 + ¥50億 = ¥829.9億</w:t>
        <w:br/>
        <w:t>理論株価：¥829.9億 ÷ 400万株 = ¥20,748</w:t>
        <w:br/>
        <w:br/>
        <w:t>→ 防衛特化シナリオDCF理論株価：約¥20,700（現在値比 +51.8%）</w:t>
      </w:r>
    </w:p>
    <w:p/>
    <w:p>
      <w:pPr>
        <w:shd w:val="clear" w:color="auto" w:fill="F2F2F2"/>
      </w:pPr>
      <w:r>
        <w:rPr>
          <w:rFonts w:ascii="Courier New" w:hAnsi="Courier New"/>
          <w:sz w:val="16"/>
        </w:rPr>
        <w:t>【シナリオ④：弱気シナリオ（海運急落+防衛調達遅延+円高）】</w:t>
        <w:br/>
        <w:br/>
        <w:t>FCF想定：</w:t>
        <w:br/>
        <w:t xml:space="preserve">  FY2026：FCF ¥12億（海運急落で受注減）</w:t>
        <w:br/>
        <w:t xml:space="preserve">  FY2027：FCF ¥10億（追い打ち・減益）</w:t>
        <w:br/>
        <w:t xml:space="preserve">  FY2028：FCF ¥12億（底打ち）</w:t>
        <w:br/>
        <w:t xml:space="preserve">  FY2029：FCF ¥14億</w:t>
        <w:br/>
        <w:t xml:space="preserve">  FY2030：FCF ¥16億</w:t>
        <w:br/>
        <w:br/>
        <w:t>TV：¥16億 × 1.015 / (8.0%-1.5%) = ¥16.24億 / 6.5% = ¥249.8億</w:t>
        <w:br/>
        <w:br/>
        <w:t>EV：(¥11.1+¥8.6+¥9.5+¥10.3+¥10.9) + ¥170.0億 = ¥220.4億</w:t>
        <w:br/>
        <w:t>エクイティバリュー：¥220.4億 + ¥50億 = ¥270.4億</w:t>
        <w:br/>
        <w:t>理論株価：¥270.4億 ÷ 400万株 = ¥6,760</w:t>
        <w:br/>
        <w:br/>
        <w:t>→ 弱気シナリオDCF理論株価：約¥6,800（現在値比 -50.1%）</w:t>
      </w:r>
    </w:p>
    <w:p/>
    <w:p>
      <w:pPr>
        <w:pStyle w:val="Heading4"/>
      </w:pPr>
      <w:r>
        <w:rPr>
          <w:rFonts w:ascii="Meiryo UI" w:hAnsi="Meiryo UI"/>
          <w:color w:val="2E74B5"/>
        </w:rPr>
        <w:t>DCFシナリオ別理論株価サマリー</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シナリオ</w:t>
            </w:r>
          </w:p>
        </w:tc>
        <w:tc>
          <w:tcPr>
            <w:tcW w:type="dxa" w:w="2351"/>
            <w:shd w:val="clear" w:color="auto" w:fill="2E74B5"/>
          </w:tcPr>
          <w:p>
            <w:r>
              <w:rPr>
                <w:rFonts w:ascii="Meiryo UI" w:hAnsi="Meiryo UI"/>
                <w:b/>
                <w:color w:val="FFFFFF"/>
                <w:sz w:val="18"/>
              </w:rPr>
              <w:t>DCF理論株価</w:t>
            </w:r>
          </w:p>
        </w:tc>
        <w:tc>
          <w:tcPr>
            <w:tcW w:type="dxa" w:w="2351"/>
            <w:shd w:val="clear" w:color="auto" w:fill="2E74B5"/>
          </w:tcPr>
          <w:p>
            <w:r>
              <w:rPr>
                <w:rFonts w:ascii="Meiryo UI" w:hAnsi="Meiryo UI"/>
                <w:b/>
                <w:color w:val="FFFFFF"/>
                <w:sz w:val="18"/>
              </w:rPr>
              <w:t>現在値比</w:t>
            </w:r>
          </w:p>
        </w:tc>
        <w:tc>
          <w:tcPr>
            <w:tcW w:type="dxa" w:w="2351"/>
            <w:shd w:val="clear" w:color="auto" w:fill="2E74B5"/>
          </w:tcPr>
          <w:p>
            <w:r>
              <w:rPr>
                <w:rFonts w:ascii="Meiryo UI" w:hAnsi="Meiryo UI"/>
                <w:b/>
                <w:color w:val="FFFFFF"/>
                <w:sz w:val="18"/>
              </w:rPr>
              <w:t>確率ウェイト</w:t>
            </w:r>
          </w:p>
        </w:tc>
      </w:tr>
      <w:tr>
        <w:tc>
          <w:tcPr>
            <w:tcW w:type="dxa" w:w="2351"/>
          </w:tcPr>
          <w:p>
            <w:r>
              <w:rPr>
                <w:rFonts w:ascii="Meiryo UI" w:hAnsi="Meiryo UI"/>
                <w:sz w:val="18"/>
              </w:rPr>
              <w:t>商船強気</w:t>
            </w:r>
          </w:p>
        </w:tc>
        <w:tc>
          <w:tcPr>
            <w:tcW w:type="dxa" w:w="2351"/>
          </w:tcPr>
          <w:p>
            <w:r>
              <w:rPr>
                <w:rFonts w:ascii="Meiryo UI" w:hAnsi="Meiryo UI"/>
                <w:sz w:val="18"/>
              </w:rPr>
              <w:t>¥27,500</w:t>
            </w:r>
          </w:p>
        </w:tc>
        <w:tc>
          <w:tcPr>
            <w:tcW w:type="dxa" w:w="2351"/>
          </w:tcPr>
          <w:p>
            <w:r>
              <w:rPr>
                <w:rFonts w:ascii="Meiryo UI" w:hAnsi="Meiryo UI"/>
                <w:sz w:val="18"/>
              </w:rPr>
              <w:t>+101.5%</w:t>
            </w:r>
          </w:p>
        </w:tc>
        <w:tc>
          <w:tcPr>
            <w:tcW w:type="dxa" w:w="2351"/>
          </w:tcPr>
          <w:p>
            <w:r>
              <w:rPr>
                <w:rFonts w:ascii="Meiryo UI" w:hAnsi="Meiryo UI"/>
                <w:sz w:val="18"/>
              </w:rPr>
              <w:t>20%</w:t>
            </w:r>
          </w:p>
        </w:tc>
      </w:tr>
      <w:tr>
        <w:tc>
          <w:tcPr>
            <w:tcW w:type="dxa" w:w="2351"/>
            <w:shd w:val="clear" w:color="auto" w:fill="DDEBF7"/>
          </w:tcPr>
          <w:p>
            <w:r>
              <w:rPr>
                <w:rFonts w:ascii="Meiryo UI" w:hAnsi="Meiryo UI"/>
                <w:sz w:val="18"/>
              </w:rPr>
              <w:t>基本</w:t>
            </w:r>
          </w:p>
        </w:tc>
        <w:tc>
          <w:tcPr>
            <w:tcW w:type="dxa" w:w="2351"/>
            <w:shd w:val="clear" w:color="auto" w:fill="DDEBF7"/>
          </w:tcPr>
          <w:p>
            <w:r>
              <w:rPr>
                <w:rFonts w:ascii="Meiryo UI" w:hAnsi="Meiryo UI"/>
                <w:sz w:val="18"/>
              </w:rPr>
              <w:t>¥16,700</w:t>
            </w:r>
          </w:p>
        </w:tc>
        <w:tc>
          <w:tcPr>
            <w:tcW w:type="dxa" w:w="2351"/>
            <w:shd w:val="clear" w:color="auto" w:fill="DDEBF7"/>
          </w:tcPr>
          <w:p>
            <w:r>
              <w:rPr>
                <w:rFonts w:ascii="Meiryo UI" w:hAnsi="Meiryo UI"/>
                <w:sz w:val="18"/>
              </w:rPr>
              <w:t>+22.4%</w:t>
            </w:r>
          </w:p>
        </w:tc>
        <w:tc>
          <w:tcPr>
            <w:tcW w:type="dxa" w:w="2351"/>
            <w:shd w:val="clear" w:color="auto" w:fill="DDEBF7"/>
          </w:tcPr>
          <w:p>
            <w:r>
              <w:rPr>
                <w:rFonts w:ascii="Meiryo UI" w:hAnsi="Meiryo UI"/>
                <w:sz w:val="18"/>
              </w:rPr>
              <w:t>40%</w:t>
            </w:r>
          </w:p>
        </w:tc>
      </w:tr>
      <w:tr>
        <w:tc>
          <w:tcPr>
            <w:tcW w:type="dxa" w:w="2351"/>
          </w:tcPr>
          <w:p>
            <w:r>
              <w:rPr>
                <w:rFonts w:ascii="Meiryo UI" w:hAnsi="Meiryo UI"/>
                <w:sz w:val="18"/>
              </w:rPr>
              <w:t>防衛特化</w:t>
            </w:r>
          </w:p>
        </w:tc>
        <w:tc>
          <w:tcPr>
            <w:tcW w:type="dxa" w:w="2351"/>
          </w:tcPr>
          <w:p>
            <w:r>
              <w:rPr>
                <w:rFonts w:ascii="Meiryo UI" w:hAnsi="Meiryo UI"/>
                <w:sz w:val="18"/>
              </w:rPr>
              <w:t>¥20,700</w:t>
            </w:r>
          </w:p>
        </w:tc>
        <w:tc>
          <w:tcPr>
            <w:tcW w:type="dxa" w:w="2351"/>
          </w:tcPr>
          <w:p>
            <w:r>
              <w:rPr>
                <w:rFonts w:ascii="Meiryo UI" w:hAnsi="Meiryo UI"/>
                <w:sz w:val="18"/>
              </w:rPr>
              <w:t>+51.8%</w:t>
            </w:r>
          </w:p>
        </w:tc>
        <w:tc>
          <w:tcPr>
            <w:tcW w:type="dxa" w:w="2351"/>
          </w:tcPr>
          <w:p>
            <w:r>
              <w:rPr>
                <w:rFonts w:ascii="Meiryo UI" w:hAnsi="Meiryo UI"/>
                <w:sz w:val="18"/>
              </w:rPr>
              <w:t>25%</w:t>
            </w:r>
          </w:p>
        </w:tc>
      </w:tr>
      <w:tr>
        <w:tc>
          <w:tcPr>
            <w:tcW w:type="dxa" w:w="2351"/>
            <w:shd w:val="clear" w:color="auto" w:fill="DDEBF7"/>
          </w:tcPr>
          <w:p>
            <w:r>
              <w:rPr>
                <w:rFonts w:ascii="Meiryo UI" w:hAnsi="Meiryo UI"/>
                <w:sz w:val="18"/>
              </w:rPr>
              <w:t>弱気</w:t>
            </w:r>
          </w:p>
        </w:tc>
        <w:tc>
          <w:tcPr>
            <w:tcW w:type="dxa" w:w="2351"/>
            <w:shd w:val="clear" w:color="auto" w:fill="DDEBF7"/>
          </w:tcPr>
          <w:p>
            <w:r>
              <w:rPr>
                <w:rFonts w:ascii="Meiryo UI" w:hAnsi="Meiryo UI"/>
                <w:sz w:val="18"/>
              </w:rPr>
              <w:t>¥6,800</w:t>
            </w:r>
          </w:p>
        </w:tc>
        <w:tc>
          <w:tcPr>
            <w:tcW w:type="dxa" w:w="2351"/>
            <w:shd w:val="clear" w:color="auto" w:fill="DDEBF7"/>
          </w:tcPr>
          <w:p>
            <w:r>
              <w:rPr>
                <w:rFonts w:ascii="Meiryo UI" w:hAnsi="Meiryo UI"/>
                <w:sz w:val="18"/>
              </w:rPr>
              <w:t>-50.1%</w:t>
            </w:r>
          </w:p>
        </w:tc>
        <w:tc>
          <w:tcPr>
            <w:tcW w:type="dxa" w:w="2351"/>
            <w:shd w:val="clear" w:color="auto" w:fill="DDEBF7"/>
          </w:tcPr>
          <w:p>
            <w:r>
              <w:rPr>
                <w:rFonts w:ascii="Meiryo UI" w:hAnsi="Meiryo UI"/>
                <w:sz w:val="18"/>
              </w:rPr>
              <w:t>15%</w:t>
            </w:r>
          </w:p>
        </w:tc>
      </w:tr>
      <w:tr>
        <w:tc>
          <w:tcPr>
            <w:tcW w:type="dxa" w:w="2351"/>
          </w:tcPr>
          <w:p>
            <w:r>
              <w:rPr>
                <w:rFonts w:ascii="Meiryo UI" w:hAnsi="Meiryo UI"/>
                <w:sz w:val="18"/>
              </w:rPr>
              <w:t>加重平均</w:t>
            </w:r>
          </w:p>
        </w:tc>
        <w:tc>
          <w:tcPr>
            <w:tcW w:type="dxa" w:w="2351"/>
          </w:tcPr>
          <w:p>
            <w:r>
              <w:rPr>
                <w:rFonts w:ascii="Meiryo UI" w:hAnsi="Meiryo UI"/>
                <w:sz w:val="18"/>
              </w:rPr>
              <w:t>¥18,385</w:t>
            </w:r>
          </w:p>
        </w:tc>
        <w:tc>
          <w:tcPr>
            <w:tcW w:type="dxa" w:w="2351"/>
          </w:tcPr>
          <w:p>
            <w:r>
              <w:rPr>
                <w:rFonts w:ascii="Meiryo UI" w:hAnsi="Meiryo UI"/>
                <w:sz w:val="18"/>
              </w:rPr>
              <w:t>+34.8%</w:t>
            </w:r>
          </w:p>
        </w:tc>
        <w:tc>
          <w:tcPr>
            <w:tcW w:type="dxa" w:w="2351"/>
          </w:tcPr>
          <w:p>
            <w:r>
              <w:rPr>
                <w:rFonts w:ascii="Meiryo UI" w:hAnsi="Meiryo UI"/>
                <w:sz w:val="18"/>
              </w:rPr>
              <w:t>100%</w:t>
            </w:r>
          </w:p>
        </w:tc>
      </w:tr>
    </w:tbl>
    <w:p/>
    <w:p>
      <w:r>
        <w:rPr>
          <w:rFonts w:ascii="Meiryo UI" w:hAnsi="Meiryo UI"/>
          <w:sz w:val="20"/>
        </w:rPr>
        <w:t>確率加重DCF理論株価：約¥18,400</w:t>
      </w:r>
    </w:p>
    <w:p/>
    <w:p>
      <w:r>
        <w:t>──────────────────────────────────────────────────</w:t>
      </w:r>
    </w:p>
    <w:p/>
    <w:p>
      <w:pPr>
        <w:pStyle w:val="Heading3"/>
      </w:pPr>
      <w:r>
        <w:rPr>
          <w:rFonts w:ascii="Meiryo UI" w:hAnsi="Meiryo UI"/>
          <w:color w:val="2E74B5"/>
        </w:rPr>
        <w:t>⑨ リスクシナリオ：定量ストレステスト</w:t>
      </w:r>
    </w:p>
    <w:p/>
    <w:p>
      <w:pPr>
        <w:pStyle w:val="Heading4"/>
      </w:pPr>
      <w:r>
        <w:rPr>
          <w:rFonts w:ascii="Meiryo UI" w:hAnsi="Meiryo UI"/>
          <w:color w:val="2E74B5"/>
        </w:rPr>
        <w:t>複合ストレスシナリオ</w:t>
      </w:r>
    </w:p>
    <w:p/>
    <w:p>
      <w:pPr>
        <w:shd w:val="clear" w:color="auto" w:fill="F2F2F2"/>
      </w:pPr>
      <w:r>
        <w:rPr>
          <w:rFonts w:ascii="Courier New" w:hAnsi="Courier New"/>
          <w:sz w:val="16"/>
        </w:rPr>
        <w:t>【ストレステスト：海運急落×防衛調達遅延×円高複合発生時】</w:t>
        <w:br/>
        <w:br/>
        <w:t>前提条件：</w:t>
        <w:br/>
        <w:t xml:space="preserve">  BDI：現在水準から50%下落（1,800pt → 900pt）</w:t>
        <w:br/>
        <w:t xml:space="preserve">  防衛省発注遅延：2年間スリップ（NGO・予算審議遅延）</w:t>
        <w:br/>
        <w:t xml:space="preserve">  為替：¥145/USD → ¥115/USD（円高進行 -20.7%）</w:t>
        <w:br/>
        <w:br/>
        <w:t>影響試算：</w:t>
        <w:br/>
        <w:br/>
        <w:t>① 海運急落インパクト</w:t>
        <w:br/>
        <w:t xml:space="preserve">  商船受注：年間¥230億 → ¥150億（-35%減）</w:t>
        <w:br/>
        <w:t xml:space="preserve">  利益率：9% → 5%（値引き圧力・稼働率低下）</w:t>
        <w:br/>
        <w:t xml:space="preserve">  売上インパクト：¥-80億</w:t>
        <w:br/>
        <w:br/>
        <w:t>② 防衛調達遅延インパクト</w:t>
        <w:br/>
        <w:t xml:space="preserve">  防衛向け：年間¥70億 → ¥35億（-50%、2年遅延）</w:t>
        <w:br/>
        <w:t xml:space="preserve">  利益率影響：防衛向け高マージン減少</w:t>
        <w:br/>
        <w:t xml:space="preserve">  売上インパクト：¥-35億</w:t>
        <w:br/>
        <w:br/>
        <w:t>③ 円高進行インパクト</w:t>
        <w:br/>
        <w:t xml:space="preserve">  輸出向けエンジン（USD建て受注）：</w:t>
        <w:br/>
        <w:t xml:space="preserve">    USD建て受注額の円換算が20%目減り</w:t>
        <w:br/>
        <w:t xml:space="preserve">  エンジン製造コストの一部はJPY固定なので、円高は輸出競争力を低下</w:t>
        <w:br/>
        <w:t xml:space="preserve">  売上インパクト：¥-20〜30億（USD建て受注分に対して）</w:t>
        <w:br/>
        <w:t xml:space="preserve">  </w:t>
        <w:br/>
        <w:t xml:space="preserve">  ただし、原材料（鋼材等）の一部が輸入コストに依存している部分は</w:t>
        <w:br/>
        <w:t xml:space="preserve">  円高でコストが下がる相殺効果も発生</w:t>
        <w:br/>
        <w:br/>
        <w:t>複合ストレス時の業績推定（FY2027ピーク損失年度）：</w:t>
        <w:br/>
        <w:t xml:space="preserve">  通常売上：¥420億 → ストレス後：¥270〜300億（-30〜35%）</w:t>
        <w:br/>
        <w:t xml:space="preserve">  営業利益率：10% → 3〜4%</w:t>
        <w:br/>
        <w:t xml:space="preserve">  営業利益：¥8〜12億（通常時¥42億から大幅減）</w:t>
        <w:br/>
        <w:t xml:space="preserve">  EPS：¥150〜200（通常EPS ¥510の30〜40%水準）</w:t>
        <w:br/>
        <w:br/>
        <w:t>ストレス時PER試算：</w:t>
        <w:br/>
        <w:t xml:space="preserve">  EPS ¥175 × PER 20倍（ストレス時マルチプル縮小）= ¥3,500</w:t>
        <w:br/>
        <w:t xml:space="preserve">  EPS ¥175 × PER 25倍（防衛優位性プレミアム残存）= ¥4,375</w:t>
        <w:br/>
        <w:br/>
        <w:t>ストレス時DCF理論株価：¥6,800（上記⑧弱気シナリオ参照）</w:t>
        <w:br/>
        <w:br/>
        <w:t>【ストレス時想定株価レンジ】</w:t>
        <w:br/>
        <w:t xml:space="preserve">  最大下落シナリオ：¥6,000〜¥7,500</w:t>
        <w:br/>
        <w:t xml:space="preserve">  現在値比：-45.0〜-55.1%</w:t>
        <w:br/>
        <w:t xml:space="preserve">  PBR（ストレス後、BPS¥795）：約7.5〜9.4倍（帳簿BPS基準）</w:t>
        <w:br/>
        <w:br/>
        <w:t>損切りライン設定根拠：¥11,500</w:t>
        <w:br/>
        <w:t xml:space="preserve">  └ 現在値比-15.7%</w:t>
        <w:br/>
        <w:t xml:space="preserve">  └ 複合ストレスの前兆（受注急減・防衛予算動向）を早期察知した場合の</w:t>
        <w:br/>
        <w:t xml:space="preserve">    先行的ロスカット水準</w:t>
        <w:br/>
        <w:t xml:space="preserve">  └ PER 22.5倍（EPS ¥510）水準、技術的サポートライン参考</w:t>
      </w:r>
    </w:p>
    <w:p/>
    <w:p>
      <w:pPr>
        <w:pStyle w:val="Heading4"/>
      </w:pPr>
      <w:r>
        <w:rPr>
          <w:rFonts w:ascii="Meiryo UI" w:hAnsi="Meiryo UI"/>
          <w:color w:val="2E74B5"/>
        </w:rPr>
        <w:t>ストレステスト定量サマリー</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リスク要因</w:t>
            </w:r>
          </w:p>
        </w:tc>
        <w:tc>
          <w:tcPr>
            <w:tcW w:type="dxa" w:w="2351"/>
            <w:shd w:val="clear" w:color="auto" w:fill="2E74B5"/>
          </w:tcPr>
          <w:p>
            <w:r>
              <w:rPr>
                <w:rFonts w:ascii="Meiryo UI" w:hAnsi="Meiryo UI"/>
                <w:b/>
                <w:color w:val="FFFFFF"/>
                <w:sz w:val="18"/>
              </w:rPr>
              <w:t>単独発生時の株価影響</w:t>
            </w:r>
          </w:p>
        </w:tc>
        <w:tc>
          <w:tcPr>
            <w:tcW w:type="dxa" w:w="2351"/>
            <w:shd w:val="clear" w:color="auto" w:fill="2E74B5"/>
          </w:tcPr>
          <w:p>
            <w:r>
              <w:rPr>
                <w:rFonts w:ascii="Meiryo UI" w:hAnsi="Meiryo UI"/>
                <w:b/>
                <w:color w:val="FFFFFF"/>
                <w:sz w:val="18"/>
              </w:rPr>
              <w:t>確率</w:t>
            </w:r>
          </w:p>
        </w:tc>
        <w:tc>
          <w:tcPr>
            <w:tcW w:type="dxa" w:w="2351"/>
            <w:shd w:val="clear" w:color="auto" w:fill="2E74B5"/>
          </w:tcPr>
          <w:p>
            <w:r>
              <w:rPr>
                <w:rFonts w:ascii="Meiryo UI" w:hAnsi="Meiryo UI"/>
                <w:b/>
                <w:color w:val="FFFFFF"/>
                <w:sz w:val="18"/>
              </w:rPr>
              <w:t>期待値インパクト</w:t>
            </w:r>
          </w:p>
        </w:tc>
      </w:tr>
      <w:tr>
        <w:tc>
          <w:tcPr>
            <w:tcW w:type="dxa" w:w="2351"/>
          </w:tcPr>
          <w:p>
            <w:r>
              <w:rPr>
                <w:rFonts w:ascii="Meiryo UI" w:hAnsi="Meiryo UI"/>
                <w:sz w:val="18"/>
              </w:rPr>
              <w:t>BDI 50%急落</w:t>
            </w:r>
          </w:p>
        </w:tc>
        <w:tc>
          <w:tcPr>
            <w:tcW w:type="dxa" w:w="2351"/>
          </w:tcPr>
          <w:p>
            <w:r>
              <w:rPr>
                <w:rFonts w:ascii="Meiryo UI" w:hAnsi="Meiryo UI"/>
                <w:sz w:val="18"/>
              </w:rPr>
              <w:t>¥-3,000〜¥-4,000</w:t>
            </w:r>
          </w:p>
        </w:tc>
        <w:tc>
          <w:tcPr>
            <w:tcW w:type="dxa" w:w="2351"/>
          </w:tcPr>
          <w:p>
            <w:r>
              <w:rPr>
                <w:rFonts w:ascii="Meiryo UI" w:hAnsi="Meiryo UI"/>
                <w:sz w:val="18"/>
              </w:rPr>
              <w:t>15%</w:t>
            </w:r>
          </w:p>
        </w:tc>
        <w:tc>
          <w:tcPr>
            <w:tcW w:type="dxa" w:w="2351"/>
          </w:tcPr>
          <w:p>
            <w:r>
              <w:rPr>
                <w:rFonts w:ascii="Meiryo UI" w:hAnsi="Meiryo UI"/>
                <w:sz w:val="18"/>
              </w:rPr>
              <w:t>¥-450〜¥-600</w:t>
            </w:r>
          </w:p>
        </w:tc>
      </w:tr>
      <w:tr>
        <w:tc>
          <w:tcPr>
            <w:tcW w:type="dxa" w:w="2351"/>
            <w:shd w:val="clear" w:color="auto" w:fill="DDEBF7"/>
          </w:tcPr>
          <w:p>
            <w:r>
              <w:rPr>
                <w:rFonts w:ascii="Meiryo UI" w:hAnsi="Meiryo UI"/>
                <w:sz w:val="18"/>
              </w:rPr>
              <w:t>防衛調達2年遅延</w:t>
            </w:r>
          </w:p>
        </w:tc>
        <w:tc>
          <w:tcPr>
            <w:tcW w:type="dxa" w:w="2351"/>
            <w:shd w:val="clear" w:color="auto" w:fill="DDEBF7"/>
          </w:tcPr>
          <w:p>
            <w:r>
              <w:rPr>
                <w:rFonts w:ascii="Meiryo UI" w:hAnsi="Meiryo UI"/>
                <w:sz w:val="18"/>
              </w:rPr>
              <w:t>¥-1,500〜¥-2,500</w:t>
            </w:r>
          </w:p>
        </w:tc>
        <w:tc>
          <w:tcPr>
            <w:tcW w:type="dxa" w:w="2351"/>
            <w:shd w:val="clear" w:color="auto" w:fill="DDEBF7"/>
          </w:tcPr>
          <w:p>
            <w:r>
              <w:rPr>
                <w:rFonts w:ascii="Meiryo UI" w:hAnsi="Meiryo UI"/>
                <w:sz w:val="18"/>
              </w:rPr>
              <w:t>20%</w:t>
            </w:r>
          </w:p>
        </w:tc>
        <w:tc>
          <w:tcPr>
            <w:tcW w:type="dxa" w:w="2351"/>
            <w:shd w:val="clear" w:color="auto" w:fill="DDEBF7"/>
          </w:tcPr>
          <w:p>
            <w:r>
              <w:rPr>
                <w:rFonts w:ascii="Meiryo UI" w:hAnsi="Meiryo UI"/>
                <w:sz w:val="18"/>
              </w:rPr>
              <w:t>¥-300〜¥-500</w:t>
            </w:r>
          </w:p>
        </w:tc>
      </w:tr>
      <w:tr>
        <w:tc>
          <w:tcPr>
            <w:tcW w:type="dxa" w:w="2351"/>
          </w:tcPr>
          <w:p>
            <w:r>
              <w:rPr>
                <w:rFonts w:ascii="Meiryo UI" w:hAnsi="Meiryo UI"/>
                <w:sz w:val="18"/>
              </w:rPr>
              <w:t>円高¥115水準</w:t>
            </w:r>
          </w:p>
        </w:tc>
        <w:tc>
          <w:tcPr>
            <w:tcW w:type="dxa" w:w="2351"/>
          </w:tcPr>
          <w:p>
            <w:r>
              <w:rPr>
                <w:rFonts w:ascii="Meiryo UI" w:hAnsi="Meiryo UI"/>
                <w:sz w:val="18"/>
              </w:rPr>
              <w:t>¥-1,000〜¥-2,000</w:t>
            </w:r>
          </w:p>
        </w:tc>
        <w:tc>
          <w:tcPr>
            <w:tcW w:type="dxa" w:w="2351"/>
          </w:tcPr>
          <w:p>
            <w:r>
              <w:rPr>
                <w:rFonts w:ascii="Meiryo UI" w:hAnsi="Meiryo UI"/>
                <w:sz w:val="18"/>
              </w:rPr>
              <w:t>25%</w:t>
            </w:r>
          </w:p>
        </w:tc>
        <w:tc>
          <w:tcPr>
            <w:tcW w:type="dxa" w:w="2351"/>
          </w:tcPr>
          <w:p>
            <w:r>
              <w:rPr>
                <w:rFonts w:ascii="Meiryo UI" w:hAnsi="Meiryo UI"/>
                <w:sz w:val="18"/>
              </w:rPr>
              <w:t>¥-250〜¥-500</w:t>
            </w:r>
          </w:p>
        </w:tc>
      </w:tr>
      <w:tr>
        <w:tc>
          <w:tcPr>
            <w:tcW w:type="dxa" w:w="2351"/>
            <w:shd w:val="clear" w:color="auto" w:fill="DDEBF7"/>
          </w:tcPr>
          <w:p>
            <w:r>
              <w:rPr>
                <w:rFonts w:ascii="Meiryo UI" w:hAnsi="Meiryo UI"/>
                <w:sz w:val="18"/>
              </w:rPr>
              <w:t>アンモニア開発遅延</w:t>
            </w:r>
          </w:p>
        </w:tc>
        <w:tc>
          <w:tcPr>
            <w:tcW w:type="dxa" w:w="2351"/>
            <w:shd w:val="clear" w:color="auto" w:fill="DDEBF7"/>
          </w:tcPr>
          <w:p>
            <w:r>
              <w:rPr>
                <w:rFonts w:ascii="Meiryo UI" w:hAnsi="Meiryo UI"/>
                <w:sz w:val="18"/>
              </w:rPr>
              <w:t>¥-500〜¥-1,500</w:t>
            </w:r>
          </w:p>
        </w:tc>
        <w:tc>
          <w:tcPr>
            <w:tcW w:type="dxa" w:w="2351"/>
            <w:shd w:val="clear" w:color="auto" w:fill="DDEBF7"/>
          </w:tcPr>
          <w:p>
            <w:r>
              <w:rPr>
                <w:rFonts w:ascii="Meiryo UI" w:hAnsi="Meiryo UI"/>
                <w:sz w:val="18"/>
              </w:rPr>
              <w:t>30%</w:t>
            </w:r>
          </w:p>
        </w:tc>
        <w:tc>
          <w:tcPr>
            <w:tcW w:type="dxa" w:w="2351"/>
            <w:shd w:val="clear" w:color="auto" w:fill="DDEBF7"/>
          </w:tcPr>
          <w:p>
            <w:r>
              <w:rPr>
                <w:rFonts w:ascii="Meiryo UI" w:hAnsi="Meiryo UI"/>
                <w:sz w:val="18"/>
              </w:rPr>
              <w:t>¥-150〜¥-450</w:t>
            </w:r>
          </w:p>
        </w:tc>
      </w:tr>
      <w:tr>
        <w:tc>
          <w:tcPr>
            <w:tcW w:type="dxa" w:w="2351"/>
          </w:tcPr>
          <w:p>
            <w:r>
              <w:rPr>
                <w:rFonts w:ascii="Meiryo UI" w:hAnsi="Meiryo UI"/>
                <w:sz w:val="18"/>
              </w:rPr>
              <w:t>複合発生（最悪）</w:t>
            </w:r>
          </w:p>
        </w:tc>
        <w:tc>
          <w:tcPr>
            <w:tcW w:type="dxa" w:w="2351"/>
          </w:tcPr>
          <w:p>
            <w:r>
              <w:rPr>
                <w:rFonts w:ascii="Meiryo UI" w:hAnsi="Meiryo UI"/>
                <w:sz w:val="18"/>
              </w:rPr>
              <w:t>¥-6,000〜¥-7,600</w:t>
            </w:r>
          </w:p>
        </w:tc>
        <w:tc>
          <w:tcPr>
            <w:tcW w:type="dxa" w:w="2351"/>
          </w:tcPr>
          <w:p>
            <w:r>
              <w:rPr>
                <w:rFonts w:ascii="Meiryo UI" w:hAnsi="Meiryo UI"/>
                <w:sz w:val="18"/>
              </w:rPr>
              <w:t>10%</w:t>
            </w:r>
          </w:p>
        </w:tc>
        <w:tc>
          <w:tcPr>
            <w:tcW w:type="dxa" w:w="2351"/>
          </w:tcPr>
          <w:p>
            <w:r>
              <w:rPr>
                <w:rFonts w:ascii="Meiryo UI" w:hAnsi="Meiryo UI"/>
                <w:sz w:val="18"/>
              </w:rPr>
              <w:t>¥-600〜¥-760</w:t>
            </w:r>
          </w:p>
        </w:tc>
      </w:tr>
    </w:tbl>
    <w:p/>
    <w:p>
      <w:r>
        <w:t>──────────────────────────────────────────────────</w:t>
      </w:r>
    </w:p>
    <w:p/>
    <w:p>
      <w:pPr>
        <w:pStyle w:val="Heading3"/>
      </w:pPr>
      <w:r>
        <w:rPr>
          <w:rFonts w:ascii="Meiryo UI" w:hAnsi="Meiryo UI"/>
          <w:color w:val="2E74B5"/>
        </w:rPr>
        <w:t>⑩ 最終判断：海運×防衛×脱炭素3軸の仕込みタイミング評価</w:t>
      </w:r>
    </w:p>
    <w:p/>
    <w:p>
      <w:pPr>
        <w:pStyle w:val="Heading4"/>
      </w:pPr>
      <w:r>
        <w:rPr>
          <w:rFonts w:ascii="Meiryo UI" w:hAnsi="Meiryo UI"/>
          <w:color w:val="2E74B5"/>
        </w:rPr>
        <w:t>3軸投資テーマのフェーズ評価</w:t>
      </w:r>
    </w:p>
    <w:p/>
    <w:p>
      <w:pPr>
        <w:shd w:val="clear" w:color="auto" w:fill="F2F2F2"/>
      </w:pPr>
      <w:r>
        <w:rPr>
          <w:rFonts w:ascii="Courier New" w:hAnsi="Courier New"/>
          <w:sz w:val="16"/>
        </w:rPr>
        <w:t>【3軸テーマの現在フェーズと今後のカタリスト】</w:t>
        <w:br/>
        <w:br/>
        <w:t>軸①：海運市況回復</w:t>
        <w:br/>
        <w:t xml:space="preserve">  現在フェーズ：回復中盤〜後半（BDI回復、タンカー市況高水準）</w:t>
        <w:br/>
        <w:t xml:space="preserve">  J-ENG業績への反映：2026〜2027年にピーク貢献</w:t>
        <w:br/>
        <w:t xml:space="preserve">  仕込みタイミング：✅ 現在は適切なエントリー時期（ラグ18ヶ月で業績反映前）</w:t>
        <w:br/>
        <w:t xml:space="preserve">  リスク：BDI調整、中国造船所との競合</w:t>
        <w:br/>
        <w:br/>
        <w:t>軸②：防衛需要</w:t>
        <w:br/>
        <w:t xml:space="preserve">  現在フェーズ：立ち上がり期（43兆円計画実行フェーズ）</w:t>
        <w:br/>
        <w:t xml:space="preserve">  J-ENG業績への反映：2026〜2030年にかけて段階的に拡大</w:t>
        <w:br/>
        <w:t xml:space="preserve">  仕込みタイミング：✅ 最適なエントリー時期（防衛需要まだ株価に十分織り込まれず）</w:t>
        <w:br/>
        <w:t xml:space="preserve">  リスク：防衛省予算執行遅延、政治リスク</w:t>
        <w:br/>
        <w:br/>
        <w:t>軸③：脱炭素・IMO規制</w:t>
        <w:br/>
        <w:t xml:space="preserve">  現在フェーズ：準備期（2030年規制強化前の技術開発期）</w:t>
        <w:br/>
        <w:t xml:space="preserve">  J-ENG業績への反映：2027〜2030年に加速（アンモニアエンジン商業化後）</w:t>
        <w:br/>
        <w:t xml:space="preserve">  仕込みタイミング：⚡ やや先行き（2027年が本命、今はテーマ先買いの機会）</w:t>
        <w:br/>
        <w:t xml:space="preserve">  リスク：技術開発遅延、規制スケジュール変更</w:t>
        <w:br/>
        <w:br/>
        <w:t>【総合仕込みタイミング評価】</w:t>
        <w:br/>
        <w:t xml:space="preserve">  現時点（2026年4月）は3軸が同時進行中の珍しい相乗期。</w:t>
        <w:br/>
        <w:t xml:space="preserve">  海運回復の業績反映（2026〜2027年）と防衛需要拡大（2026〜2030年）が</w:t>
        <w:br/>
        <w:t xml:space="preserve">  重なるタイミングであり、今後12〜18ヶ月が最も業績カタリストが集中する局面。</w:t>
        <w:br/>
        <w:t xml:space="preserve">  </w:t>
        <w:br/>
        <w:t xml:space="preserve">  理想的なエントリー戦略：</w:t>
        <w:br/>
        <w:t xml:space="preserve">  ① 第1弾（即時）：¥13,000〜¥13,800で30%ポジション構築</w:t>
        <w:br/>
        <w:t xml:space="preserve">  ② 第2弾（業績確認後）：Q1決算（2026年5月）で受注残増加確認後、¥14,000〜¥14,500で40%追加</w:t>
        <w:br/>
        <w:t xml:space="preserve">  ③ 第3弾（防衛カタリスト）：護衛艦受注発表・防衛省入札結果後、¥14,500〜¥15,500で30%追加</w:t>
      </w:r>
    </w:p>
    <w:p/>
    <w:p>
      <w:r>
        <w:t>──────────────────────────────────────────────────</w:t>
      </w:r>
    </w:p>
    <w:p/>
    <w:p>
      <w:pPr>
        <w:pStyle w:val="Heading2"/>
      </w:pPr>
      <w:r>
        <w:rPr>
          <w:rFonts w:ascii="Meiryo UI" w:hAnsi="Meiryo UI"/>
          <w:color w:val="2E74B5"/>
        </w:rPr>
        <w:t>3. 財務ハイライト</w:t>
      </w:r>
    </w:p>
    <w:p/>
    <w:p>
      <w:pPr>
        <w:pStyle w:val="Heading3"/>
      </w:pPr>
      <w:r>
        <w:rPr>
          <w:rFonts w:ascii="Meiryo UI" w:hAnsi="Meiryo UI"/>
          <w:color w:val="2E74B5"/>
        </w:rPr>
        <w:t>3.1 直近FY実績（公開情報ベース推定）</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FY2024実績（推定）</w:t>
            </w:r>
          </w:p>
        </w:tc>
        <w:tc>
          <w:tcPr>
            <w:tcW w:type="dxa" w:w="2351"/>
            <w:shd w:val="clear" w:color="auto" w:fill="2E74B5"/>
          </w:tcPr>
          <w:p>
            <w:r>
              <w:rPr>
                <w:rFonts w:ascii="Meiryo UI" w:hAnsi="Meiryo UI"/>
                <w:b/>
                <w:color w:val="FFFFFF"/>
                <w:sz w:val="18"/>
              </w:rPr>
              <w:t>FY2025実績（推定）</w:t>
            </w:r>
          </w:p>
        </w:tc>
        <w:tc>
          <w:tcPr>
            <w:tcW w:type="dxa" w:w="2351"/>
            <w:shd w:val="clear" w:color="auto" w:fill="2E74B5"/>
          </w:tcPr>
          <w:p>
            <w:r>
              <w:rPr>
                <w:rFonts w:ascii="Meiryo UI" w:hAnsi="Meiryo UI"/>
                <w:b/>
                <w:color w:val="FFFFFF"/>
                <w:sz w:val="18"/>
              </w:rPr>
              <w:t>YoY変化率</w:t>
            </w:r>
          </w:p>
        </w:tc>
      </w:tr>
      <w:tr>
        <w:tc>
          <w:tcPr>
            <w:tcW w:type="dxa" w:w="2351"/>
          </w:tcPr>
          <w:p>
            <w:r>
              <w:rPr>
                <w:rFonts w:ascii="Meiryo UI" w:hAnsi="Meiryo UI"/>
                <w:sz w:val="18"/>
              </w:rPr>
              <w:t>売上高</w:t>
            </w:r>
          </w:p>
        </w:tc>
        <w:tc>
          <w:tcPr>
            <w:tcW w:type="dxa" w:w="2351"/>
          </w:tcPr>
          <w:p>
            <w:r>
              <w:rPr>
                <w:rFonts w:ascii="Meiryo UI" w:hAnsi="Meiryo UI"/>
                <w:sz w:val="18"/>
              </w:rPr>
              <w:t>¥310億</w:t>
            </w:r>
          </w:p>
        </w:tc>
        <w:tc>
          <w:tcPr>
            <w:tcW w:type="dxa" w:w="2351"/>
          </w:tcPr>
          <w:p>
            <w:r>
              <w:rPr>
                <w:rFonts w:ascii="Meiryo UI" w:hAnsi="Meiryo UI"/>
                <w:sz w:val="18"/>
              </w:rPr>
              <w:t>¥345億</w:t>
            </w:r>
          </w:p>
        </w:tc>
        <w:tc>
          <w:tcPr>
            <w:tcW w:type="dxa" w:w="2351"/>
          </w:tcPr>
          <w:p>
            <w:r>
              <w:rPr>
                <w:rFonts w:ascii="Meiryo UI" w:hAnsi="Meiryo UI"/>
                <w:sz w:val="18"/>
              </w:rPr>
              <w:t>+11.3%</w:t>
            </w:r>
          </w:p>
        </w:tc>
      </w:tr>
      <w:tr>
        <w:tc>
          <w:tcPr>
            <w:tcW w:type="dxa" w:w="2351"/>
            <w:shd w:val="clear" w:color="auto" w:fill="DDEBF7"/>
          </w:tcPr>
          <w:p>
            <w:r>
              <w:rPr>
                <w:rFonts w:ascii="Meiryo UI" w:hAnsi="Meiryo UI"/>
                <w:sz w:val="18"/>
              </w:rPr>
              <w:t>売上総利益率</w:t>
            </w:r>
          </w:p>
        </w:tc>
        <w:tc>
          <w:tcPr>
            <w:tcW w:type="dxa" w:w="2351"/>
            <w:shd w:val="clear" w:color="auto" w:fill="DDEBF7"/>
          </w:tcPr>
          <w:p>
            <w:r>
              <w:rPr>
                <w:rFonts w:ascii="Meiryo UI" w:hAnsi="Meiryo UI"/>
                <w:sz w:val="18"/>
              </w:rPr>
              <w:t>18〜20%</w:t>
            </w:r>
          </w:p>
        </w:tc>
        <w:tc>
          <w:tcPr>
            <w:tcW w:type="dxa" w:w="2351"/>
            <w:shd w:val="clear" w:color="auto" w:fill="DDEBF7"/>
          </w:tcPr>
          <w:p>
            <w:r>
              <w:rPr>
                <w:rFonts w:ascii="Meiryo UI" w:hAnsi="Meiryo UI"/>
                <w:sz w:val="18"/>
              </w:rPr>
              <w:t>19〜22%</w:t>
            </w:r>
          </w:p>
        </w:tc>
        <w:tc>
          <w:tcPr>
            <w:tcW w:type="dxa" w:w="2351"/>
            <w:shd w:val="clear" w:color="auto" w:fill="DDEBF7"/>
          </w:tcPr>
          <w:p>
            <w:r>
              <w:rPr>
                <w:rFonts w:ascii="Meiryo UI" w:hAnsi="Meiryo UI"/>
                <w:sz w:val="18"/>
              </w:rPr>
              <w:t>改善</w:t>
            </w:r>
          </w:p>
        </w:tc>
      </w:tr>
      <w:tr>
        <w:tc>
          <w:tcPr>
            <w:tcW w:type="dxa" w:w="2351"/>
          </w:tcPr>
          <w:p>
            <w:r>
              <w:rPr>
                <w:rFonts w:ascii="Meiryo UI" w:hAnsi="Meiryo UI"/>
                <w:sz w:val="18"/>
              </w:rPr>
              <w:t>営業利益</w:t>
            </w:r>
          </w:p>
        </w:tc>
        <w:tc>
          <w:tcPr>
            <w:tcW w:type="dxa" w:w="2351"/>
          </w:tcPr>
          <w:p>
            <w:r>
              <w:rPr>
                <w:rFonts w:ascii="Meiryo UI" w:hAnsi="Meiryo UI"/>
                <w:sz w:val="18"/>
              </w:rPr>
              <w:t>¥25〜28億</w:t>
            </w:r>
          </w:p>
        </w:tc>
        <w:tc>
          <w:tcPr>
            <w:tcW w:type="dxa" w:w="2351"/>
          </w:tcPr>
          <w:p>
            <w:r>
              <w:rPr>
                <w:rFonts w:ascii="Meiryo UI" w:hAnsi="Meiryo UI"/>
                <w:sz w:val="18"/>
              </w:rPr>
              <w:t>¥30〜35億</w:t>
            </w:r>
          </w:p>
        </w:tc>
        <w:tc>
          <w:tcPr>
            <w:tcW w:type="dxa" w:w="2351"/>
          </w:tcPr>
          <w:p>
            <w:r>
              <w:rPr>
                <w:rFonts w:ascii="Meiryo UI" w:hAnsi="Meiryo UI"/>
                <w:sz w:val="18"/>
              </w:rPr>
              <w:t>+12〜18%</w:t>
            </w:r>
          </w:p>
        </w:tc>
      </w:tr>
      <w:tr>
        <w:tc>
          <w:tcPr>
            <w:tcW w:type="dxa" w:w="2351"/>
            <w:shd w:val="clear" w:color="auto" w:fill="DDEBF7"/>
          </w:tcPr>
          <w:p>
            <w:r>
              <w:rPr>
                <w:rFonts w:ascii="Meiryo UI" w:hAnsi="Meiryo UI"/>
                <w:sz w:val="18"/>
              </w:rPr>
              <w:t>営業利益率</w:t>
            </w:r>
          </w:p>
        </w:tc>
        <w:tc>
          <w:tcPr>
            <w:tcW w:type="dxa" w:w="2351"/>
            <w:shd w:val="clear" w:color="auto" w:fill="DDEBF7"/>
          </w:tcPr>
          <w:p>
            <w:r>
              <w:rPr>
                <w:rFonts w:ascii="Meiryo UI" w:hAnsi="Meiryo UI"/>
                <w:sz w:val="18"/>
              </w:rPr>
              <w:t>8.1〜9.0%</w:t>
            </w:r>
          </w:p>
        </w:tc>
        <w:tc>
          <w:tcPr>
            <w:tcW w:type="dxa" w:w="2351"/>
            <w:shd w:val="clear" w:color="auto" w:fill="DDEBF7"/>
          </w:tcPr>
          <w:p>
            <w:r>
              <w:rPr>
                <w:rFonts w:ascii="Meiryo UI" w:hAnsi="Meiryo UI"/>
                <w:sz w:val="18"/>
              </w:rPr>
              <w:t>8.7〜10.1%</w:t>
            </w:r>
          </w:p>
        </w:tc>
        <w:tc>
          <w:tcPr>
            <w:tcW w:type="dxa" w:w="2351"/>
            <w:shd w:val="clear" w:color="auto" w:fill="DDEBF7"/>
          </w:tcPr>
          <w:p>
            <w:r>
              <w:rPr>
                <w:rFonts w:ascii="Meiryo UI" w:hAnsi="Meiryo UI"/>
                <w:sz w:val="18"/>
              </w:rPr>
              <w:t>拡大</w:t>
            </w:r>
          </w:p>
        </w:tc>
      </w:tr>
      <w:tr>
        <w:tc>
          <w:tcPr>
            <w:tcW w:type="dxa" w:w="2351"/>
          </w:tcPr>
          <w:p>
            <w:r>
              <w:rPr>
                <w:rFonts w:ascii="Meiryo UI" w:hAnsi="Meiryo UI"/>
                <w:sz w:val="18"/>
              </w:rPr>
              <w:t>純利益</w:t>
            </w:r>
          </w:p>
        </w:tc>
        <w:tc>
          <w:tcPr>
            <w:tcW w:type="dxa" w:w="2351"/>
          </w:tcPr>
          <w:p>
            <w:r>
              <w:rPr>
                <w:rFonts w:ascii="Meiryo UI" w:hAnsi="Meiryo UI"/>
                <w:sz w:val="18"/>
              </w:rPr>
              <w:t>¥18〜22億</w:t>
            </w:r>
          </w:p>
        </w:tc>
        <w:tc>
          <w:tcPr>
            <w:tcW w:type="dxa" w:w="2351"/>
          </w:tcPr>
          <w:p>
            <w:r>
              <w:rPr>
                <w:rFonts w:ascii="Meiryo UI" w:hAnsi="Meiryo UI"/>
                <w:sz w:val="18"/>
              </w:rPr>
              <w:t>¥20〜25億</w:t>
            </w:r>
          </w:p>
        </w:tc>
        <w:tc>
          <w:tcPr>
            <w:tcW w:type="dxa" w:w="2351"/>
          </w:tcPr>
          <w:p>
            <w:r>
              <w:rPr>
                <w:rFonts w:ascii="Meiryo UI" w:hAnsi="Meiryo UI"/>
                <w:sz w:val="18"/>
              </w:rPr>
              <w:t>+5〜15%</w:t>
            </w:r>
          </w:p>
        </w:tc>
      </w:tr>
      <w:tr>
        <w:tc>
          <w:tcPr>
            <w:tcW w:type="dxa" w:w="2351"/>
            <w:shd w:val="clear" w:color="auto" w:fill="DDEBF7"/>
          </w:tcPr>
          <w:p>
            <w:r>
              <w:rPr>
                <w:rFonts w:ascii="Meiryo UI" w:hAnsi="Meiryo UI"/>
                <w:sz w:val="18"/>
              </w:rPr>
              <w:t>EPS</w:t>
            </w:r>
          </w:p>
        </w:tc>
        <w:tc>
          <w:tcPr>
            <w:tcW w:type="dxa" w:w="2351"/>
            <w:shd w:val="clear" w:color="auto" w:fill="DDEBF7"/>
          </w:tcPr>
          <w:p>
            <w:r>
              <w:rPr>
                <w:rFonts w:ascii="Meiryo UI" w:hAnsi="Meiryo UI"/>
                <w:sz w:val="18"/>
              </w:rPr>
              <w:t>¥450〜480</w:t>
            </w:r>
          </w:p>
        </w:tc>
        <w:tc>
          <w:tcPr>
            <w:tcW w:type="dxa" w:w="2351"/>
            <w:shd w:val="clear" w:color="auto" w:fill="DDEBF7"/>
          </w:tcPr>
          <w:p>
            <w:r>
              <w:rPr>
                <w:rFonts w:ascii="Meiryo UI" w:hAnsi="Meiryo UI"/>
                <w:sz w:val="18"/>
              </w:rPr>
              <w:t>¥510（確認値）</w:t>
            </w:r>
          </w:p>
        </w:tc>
        <w:tc>
          <w:tcPr>
            <w:tcW w:type="dxa" w:w="2351"/>
            <w:shd w:val="clear" w:color="auto" w:fill="DDEBF7"/>
          </w:tcPr>
          <w:p>
            <w:r>
              <w:rPr>
                <w:rFonts w:ascii="Meiryo UI" w:hAnsi="Meiryo UI"/>
                <w:sz w:val="18"/>
              </w:rPr>
              <w:t>—</w:t>
            </w:r>
          </w:p>
        </w:tc>
      </w:tr>
      <w:tr>
        <w:tc>
          <w:tcPr>
            <w:tcW w:type="dxa" w:w="2351"/>
          </w:tcPr>
          <w:p>
            <w:r>
              <w:rPr>
                <w:rFonts w:ascii="Meiryo UI" w:hAnsi="Meiryo UI"/>
                <w:sz w:val="18"/>
              </w:rPr>
              <w:t>ROE</w:t>
            </w:r>
          </w:p>
        </w:tc>
        <w:tc>
          <w:tcPr>
            <w:tcW w:type="dxa" w:w="2351"/>
          </w:tcPr>
          <w:p>
            <w:r>
              <w:rPr>
                <w:rFonts w:ascii="Meiryo UI" w:hAnsi="Meiryo UI"/>
                <w:sz w:val="18"/>
              </w:rPr>
              <w:t>6.5〜7.0%</w:t>
            </w:r>
          </w:p>
        </w:tc>
        <w:tc>
          <w:tcPr>
            <w:tcW w:type="dxa" w:w="2351"/>
          </w:tcPr>
          <w:p>
            <w:r>
              <w:rPr>
                <w:rFonts w:ascii="Meiryo UI" w:hAnsi="Meiryo UI"/>
                <w:sz w:val="18"/>
              </w:rPr>
              <w:t>7.6%（確認値）</w:t>
            </w:r>
          </w:p>
        </w:tc>
        <w:tc>
          <w:tcPr>
            <w:tcW w:type="dxa" w:w="2351"/>
          </w:tcPr>
          <w:p>
            <w:r>
              <w:rPr>
                <w:rFonts w:ascii="Meiryo UI" w:hAnsi="Meiryo UI"/>
                <w:sz w:val="18"/>
              </w:rPr>
              <w:t>改善</w:t>
            </w:r>
          </w:p>
        </w:tc>
      </w:tr>
      <w:tr>
        <w:tc>
          <w:tcPr>
            <w:tcW w:type="dxa" w:w="2351"/>
            <w:shd w:val="clear" w:color="auto" w:fill="DDEBF7"/>
          </w:tcPr>
          <w:p>
            <w:r>
              <w:rPr>
                <w:rFonts w:ascii="Meiryo UI" w:hAnsi="Meiryo UI"/>
                <w:sz w:val="18"/>
              </w:rPr>
              <w:t>受注残（推定）</w:t>
            </w:r>
          </w:p>
        </w:tc>
        <w:tc>
          <w:tcPr>
            <w:tcW w:type="dxa" w:w="2351"/>
            <w:shd w:val="clear" w:color="auto" w:fill="DDEBF7"/>
          </w:tcPr>
          <w:p>
            <w:r>
              <w:rPr>
                <w:rFonts w:ascii="Meiryo UI" w:hAnsi="Meiryo UI"/>
                <w:sz w:val="18"/>
              </w:rPr>
              <w:t>¥500〜600億</w:t>
            </w:r>
          </w:p>
        </w:tc>
        <w:tc>
          <w:tcPr>
            <w:tcW w:type="dxa" w:w="2351"/>
            <w:shd w:val="clear" w:color="auto" w:fill="DDEBF7"/>
          </w:tcPr>
          <w:p>
            <w:r>
              <w:rPr>
                <w:rFonts w:ascii="Meiryo UI" w:hAnsi="Meiryo UI"/>
                <w:sz w:val="18"/>
              </w:rPr>
              <w:t>¥620〜750億</w:t>
            </w:r>
          </w:p>
        </w:tc>
        <w:tc>
          <w:tcPr>
            <w:tcW w:type="dxa" w:w="2351"/>
            <w:shd w:val="clear" w:color="auto" w:fill="DDEBF7"/>
          </w:tcPr>
          <w:p>
            <w:r>
              <w:rPr>
                <w:rFonts w:ascii="Meiryo UI" w:hAnsi="Meiryo UI"/>
                <w:sz w:val="18"/>
              </w:rPr>
              <w:t>拡大</w:t>
            </w:r>
          </w:p>
        </w:tc>
      </w:tr>
    </w:tbl>
    <w:p/>
    <w:p>
      <w:pPr>
        <w:pStyle w:val="Heading3"/>
      </w:pPr>
      <w:r>
        <w:rPr>
          <w:rFonts w:ascii="Meiryo UI" w:hAnsi="Meiryo UI"/>
          <w:color w:val="2E74B5"/>
        </w:rPr>
        <w:t>3.2 キャッシュフロー分析（推定）</w:t>
      </w:r>
    </w:p>
    <w:p/>
    <w:p>
      <w:pPr>
        <w:shd w:val="clear" w:color="auto" w:fill="F2F2F2"/>
      </w:pPr>
      <w:r>
        <w:rPr>
          <w:rFonts w:ascii="Courier New" w:hAnsi="Courier New"/>
          <w:sz w:val="16"/>
        </w:rPr>
        <w:t>【FCF構造推定】</w:t>
        <w:br/>
        <w:br/>
        <w:t>営業CF：¥35〜45億/年（利益+減価償却、運転資本の変動）</w:t>
        <w:br/>
        <w:t>投資CF：¥-15〜-25億/年（設備維持+将来対応設備への投資）</w:t>
        <w:br/>
        <w:t>FCF：¥20〜30億/年（推定）</w:t>
        <w:br/>
        <w:t>FCFマージン：5.8〜8.7%（売上¥345億ベース）</w:t>
        <w:br/>
        <w:br/>
        <w:t>財務安全性：</w:t>
        <w:br/>
        <w:t xml:space="preserve">  有利子負債/EBITDA：推定1.5〜2.5倍（健全水準）</w:t>
        <w:br/>
        <w:t xml:space="preserve">  自己資本比率：推定30〜40%（重厚長大製造業として標準的）</w:t>
        <w:br/>
        <w:t xml:space="preserve">  </w:t>
        <w:br/>
        <w:t>配当：</w:t>
        <w:br/>
        <w:t xml:space="preserve">  DOE（純資産配当率）ベース推定：¥100〜150/株（利回り0.7〜1.1%）</w:t>
        <w:br/>
        <w:t xml:space="preserve">  PER・成長局面では配当より再投資優先の可能性</w:t>
      </w:r>
    </w:p>
    <w:p/>
    <w:p>
      <w:r>
        <w:t>──────────────────────────────────────────────────</w:t>
      </w:r>
    </w:p>
    <w:p/>
    <w:p>
      <w:pPr>
        <w:pStyle w:val="Heading2"/>
      </w:pPr>
      <w:r>
        <w:rPr>
          <w:rFonts w:ascii="Meiryo UI" w:hAnsi="Meiryo UI"/>
          <w:color w:val="2E74B5"/>
        </w:rPr>
        <w:t>4. DCFバリュエーション（前提条件明記）</w:t>
      </w:r>
    </w:p>
    <w:p/>
    <w:p>
      <w:pPr>
        <w:pStyle w:val="Heading3"/>
      </w:pPr>
      <w:r>
        <w:rPr>
          <w:rFonts w:ascii="Meiryo UI" w:hAnsi="Meiryo UI"/>
          <w:color w:val="2E74B5"/>
        </w:rPr>
        <w:t>4.1 WACC計算詳細</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パラメータ</w:t>
            </w:r>
          </w:p>
        </w:tc>
        <w:tc>
          <w:tcPr>
            <w:tcW w:type="dxa" w:w="3135"/>
            <w:shd w:val="clear" w:color="auto" w:fill="2E74B5"/>
          </w:tcPr>
          <w:p>
            <w:r>
              <w:rPr>
                <w:rFonts w:ascii="Meiryo UI" w:hAnsi="Meiryo UI"/>
                <w:b/>
                <w:color w:val="FFFFFF"/>
                <w:sz w:val="18"/>
              </w:rPr>
              <w:t>採用値</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Rf（リスクフリーレート）</w:t>
            </w:r>
          </w:p>
        </w:tc>
        <w:tc>
          <w:tcPr>
            <w:tcW w:type="dxa" w:w="3135"/>
          </w:tcPr>
          <w:p>
            <w:r>
              <w:rPr>
                <w:rFonts w:ascii="Meiryo UI" w:hAnsi="Meiryo UI"/>
                <w:sz w:val="18"/>
              </w:rPr>
              <w:t>2.429%</w:t>
            </w:r>
          </w:p>
        </w:tc>
        <w:tc>
          <w:tcPr>
            <w:tcW w:type="dxa" w:w="3135"/>
          </w:tcPr>
          <w:p>
            <w:r>
              <w:rPr>
                <w:rFonts w:ascii="Meiryo UI" w:hAnsi="Meiryo UI"/>
                <w:sz w:val="18"/>
              </w:rPr>
              <w:t>日本10年国債 2026-04-07（絶対厳守）</w:t>
            </w:r>
          </w:p>
        </w:tc>
      </w:tr>
      <w:tr>
        <w:tc>
          <w:tcPr>
            <w:tcW w:type="dxa" w:w="3135"/>
            <w:shd w:val="clear" w:color="auto" w:fill="DDEBF7"/>
          </w:tcPr>
          <w:p>
            <w:r>
              <w:rPr>
                <w:rFonts w:ascii="Meiryo UI" w:hAnsi="Meiryo UI"/>
                <w:sz w:val="18"/>
              </w:rPr>
              <w:t>β（ベータ）</w:t>
            </w:r>
          </w:p>
        </w:tc>
        <w:tc>
          <w:tcPr>
            <w:tcW w:type="dxa" w:w="3135"/>
            <w:shd w:val="clear" w:color="auto" w:fill="DDEBF7"/>
          </w:tcPr>
          <w:p>
            <w:r>
              <w:rPr>
                <w:rFonts w:ascii="Meiryo UI" w:hAnsi="Meiryo UI"/>
                <w:sz w:val="18"/>
              </w:rPr>
              <w:t>1.20</w:t>
            </w:r>
          </w:p>
        </w:tc>
        <w:tc>
          <w:tcPr>
            <w:tcW w:type="dxa" w:w="3135"/>
            <w:shd w:val="clear" w:color="auto" w:fill="DDEBF7"/>
          </w:tcPr>
          <w:p>
            <w:r>
              <w:rPr>
                <w:rFonts w:ascii="Meiryo UI" w:hAnsi="Meiryo UI"/>
                <w:sz w:val="18"/>
              </w:rPr>
              <w:t>重工製造業・防衛関連 市場推定</w:t>
            </w:r>
          </w:p>
        </w:tc>
      </w:tr>
      <w:tr>
        <w:tc>
          <w:tcPr>
            <w:tcW w:type="dxa" w:w="3135"/>
          </w:tcPr>
          <w:p>
            <w:r>
              <w:rPr>
                <w:rFonts w:ascii="Meiryo UI" w:hAnsi="Meiryo UI"/>
                <w:sz w:val="18"/>
              </w:rPr>
              <w:t>ERP（株式リスクプレミアム）</w:t>
            </w:r>
          </w:p>
        </w:tc>
        <w:tc>
          <w:tcPr>
            <w:tcW w:type="dxa" w:w="3135"/>
          </w:tcPr>
          <w:p>
            <w:r>
              <w:rPr>
                <w:rFonts w:ascii="Meiryo UI" w:hAnsi="Meiryo UI"/>
                <w:sz w:val="18"/>
              </w:rPr>
              <w:t>6.5%</w:t>
            </w:r>
          </w:p>
        </w:tc>
        <w:tc>
          <w:tcPr>
            <w:tcW w:type="dxa" w:w="3135"/>
          </w:tcPr>
          <w:p>
            <w:r>
              <w:rPr>
                <w:rFonts w:ascii="Meiryo UI" w:hAnsi="Meiryo UI"/>
                <w:sz w:val="18"/>
              </w:rPr>
              <w:t>日本市場標準</w:t>
            </w:r>
          </w:p>
        </w:tc>
      </w:tr>
      <w:tr>
        <w:tc>
          <w:tcPr>
            <w:tcW w:type="dxa" w:w="3135"/>
            <w:shd w:val="clear" w:color="auto" w:fill="DDEBF7"/>
          </w:tcPr>
          <w:p>
            <w:r>
              <w:rPr>
                <w:rFonts w:ascii="Meiryo UI" w:hAnsi="Meiryo UI"/>
                <w:sz w:val="18"/>
              </w:rPr>
              <w:t>Re（株主資本コスト）</w:t>
            </w:r>
          </w:p>
        </w:tc>
        <w:tc>
          <w:tcPr>
            <w:tcW w:type="dxa" w:w="3135"/>
            <w:shd w:val="clear" w:color="auto" w:fill="DDEBF7"/>
          </w:tcPr>
          <w:p>
            <w:r>
              <w:rPr>
                <w:rFonts w:ascii="Meiryo UI" w:hAnsi="Meiryo UI"/>
                <w:sz w:val="18"/>
              </w:rPr>
              <w:t>10.229%</w:t>
            </w:r>
          </w:p>
        </w:tc>
        <w:tc>
          <w:tcPr>
            <w:tcW w:type="dxa" w:w="3135"/>
            <w:shd w:val="clear" w:color="auto" w:fill="DDEBF7"/>
          </w:tcPr>
          <w:p>
            <w:r>
              <w:rPr>
                <w:rFonts w:ascii="Meiryo UI" w:hAnsi="Meiryo UI"/>
                <w:sz w:val="18"/>
              </w:rPr>
              <w:t>2.429% + 1.20 × 6.5%</w:t>
            </w:r>
          </w:p>
        </w:tc>
      </w:tr>
      <w:tr>
        <w:tc>
          <w:tcPr>
            <w:tcW w:type="dxa" w:w="3135"/>
          </w:tcPr>
          <w:p>
            <w:r>
              <w:rPr>
                <w:rFonts w:ascii="Meiryo UI" w:hAnsi="Meiryo UI"/>
                <w:sz w:val="18"/>
              </w:rPr>
              <w:t>Rd（負債コスト）</w:t>
            </w:r>
          </w:p>
        </w:tc>
        <w:tc>
          <w:tcPr>
            <w:tcW w:type="dxa" w:w="3135"/>
          </w:tcPr>
          <w:p>
            <w:r>
              <w:rPr>
                <w:rFonts w:ascii="Meiryo UI" w:hAnsi="Meiryo UI"/>
                <w:sz w:val="18"/>
              </w:rPr>
              <w:t>1.8%</w:t>
            </w:r>
          </w:p>
        </w:tc>
        <w:tc>
          <w:tcPr>
            <w:tcW w:type="dxa" w:w="3135"/>
          </w:tcPr>
          <w:p>
            <w:r>
              <w:rPr>
                <w:rFonts w:ascii="Meiryo UI" w:hAnsi="Meiryo UI"/>
                <w:sz w:val="18"/>
              </w:rPr>
              <w:t>国内製造業向け借入金利推定</w:t>
            </w:r>
          </w:p>
        </w:tc>
      </w:tr>
      <w:tr>
        <w:tc>
          <w:tcPr>
            <w:tcW w:type="dxa" w:w="3135"/>
            <w:shd w:val="clear" w:color="auto" w:fill="DDEBF7"/>
          </w:tcPr>
          <w:p>
            <w:r>
              <w:rPr>
                <w:rFonts w:ascii="Meiryo UI" w:hAnsi="Meiryo UI"/>
                <w:sz w:val="18"/>
              </w:rPr>
              <w:t>Tc（実効税率）</w:t>
            </w:r>
          </w:p>
        </w:tc>
        <w:tc>
          <w:tcPr>
            <w:tcW w:type="dxa" w:w="3135"/>
            <w:shd w:val="clear" w:color="auto" w:fill="DDEBF7"/>
          </w:tcPr>
          <w:p>
            <w:r>
              <w:rPr>
                <w:rFonts w:ascii="Meiryo UI" w:hAnsi="Meiryo UI"/>
                <w:sz w:val="18"/>
              </w:rPr>
              <w:t>30%</w:t>
            </w:r>
          </w:p>
        </w:tc>
        <w:tc>
          <w:tcPr>
            <w:tcW w:type="dxa" w:w="3135"/>
            <w:shd w:val="clear" w:color="auto" w:fill="DDEBF7"/>
          </w:tcPr>
          <w:p>
            <w:r>
              <w:rPr>
                <w:rFonts w:ascii="Meiryo UI" w:hAnsi="Meiryo UI"/>
                <w:sz w:val="18"/>
              </w:rPr>
              <w:t>法人税・地方税合計</w:t>
            </w:r>
          </w:p>
        </w:tc>
      </w:tr>
      <w:tr>
        <w:tc>
          <w:tcPr>
            <w:tcW w:type="dxa" w:w="3135"/>
          </w:tcPr>
          <w:p>
            <w:r>
              <w:rPr>
                <w:rFonts w:ascii="Meiryo UI" w:hAnsi="Meiryo UI"/>
                <w:sz w:val="18"/>
              </w:rPr>
              <w:t>E/(D+E)</w:t>
            </w:r>
          </w:p>
        </w:tc>
        <w:tc>
          <w:tcPr>
            <w:tcW w:type="dxa" w:w="3135"/>
          </w:tcPr>
          <w:p>
            <w:r>
              <w:rPr>
                <w:rFonts w:ascii="Meiryo UI" w:hAnsi="Meiryo UI"/>
                <w:sz w:val="18"/>
              </w:rPr>
              <w:t>75%</w:t>
            </w:r>
          </w:p>
        </w:tc>
        <w:tc>
          <w:tcPr>
            <w:tcW w:type="dxa" w:w="3135"/>
          </w:tcPr>
          <w:p>
            <w:r>
              <w:rPr>
                <w:rFonts w:ascii="Meiryo UI" w:hAnsi="Meiryo UI"/>
                <w:sz w:val="18"/>
              </w:rPr>
              <w:t>自己資本比率推定</w:t>
            </w:r>
          </w:p>
        </w:tc>
      </w:tr>
      <w:tr>
        <w:tc>
          <w:tcPr>
            <w:tcW w:type="dxa" w:w="3135"/>
            <w:shd w:val="clear" w:color="auto" w:fill="DDEBF7"/>
          </w:tcPr>
          <w:p>
            <w:r>
              <w:rPr>
                <w:rFonts w:ascii="Meiryo UI" w:hAnsi="Meiryo UI"/>
                <w:sz w:val="18"/>
              </w:rPr>
              <w:t>D/(D+E)</w:t>
            </w:r>
          </w:p>
        </w:tc>
        <w:tc>
          <w:tcPr>
            <w:tcW w:type="dxa" w:w="3135"/>
            <w:shd w:val="clear" w:color="auto" w:fill="DDEBF7"/>
          </w:tcPr>
          <w:p>
            <w:r>
              <w:rPr>
                <w:rFonts w:ascii="Meiryo UI" w:hAnsi="Meiryo UI"/>
                <w:sz w:val="18"/>
              </w:rPr>
              <w:t>25%</w:t>
            </w:r>
          </w:p>
        </w:tc>
        <w:tc>
          <w:tcPr>
            <w:tcW w:type="dxa" w:w="3135"/>
            <w:shd w:val="clear" w:color="auto" w:fill="DDEBF7"/>
          </w:tcPr>
          <w:p>
            <w:r>
              <w:rPr>
                <w:rFonts w:ascii="Meiryo UI" w:hAnsi="Meiryo UI"/>
                <w:sz w:val="18"/>
              </w:rPr>
              <w:t>推定</w:t>
            </w:r>
          </w:p>
        </w:tc>
      </w:tr>
      <w:tr>
        <w:tc>
          <w:tcPr>
            <w:tcW w:type="dxa" w:w="3135"/>
          </w:tcPr>
          <w:p>
            <w:r>
              <w:rPr>
                <w:rFonts w:ascii="Meiryo UI" w:hAnsi="Meiryo UI"/>
                <w:sz w:val="18"/>
              </w:rPr>
              <w:t>WACC</w:t>
            </w:r>
          </w:p>
        </w:tc>
        <w:tc>
          <w:tcPr>
            <w:tcW w:type="dxa" w:w="3135"/>
          </w:tcPr>
          <w:p>
            <w:r>
              <w:rPr>
                <w:rFonts w:ascii="Meiryo UI" w:hAnsi="Meiryo UI"/>
                <w:sz w:val="18"/>
              </w:rPr>
              <w:t>8.0%</w:t>
            </w:r>
          </w:p>
        </w:tc>
        <w:tc>
          <w:tcPr>
            <w:tcW w:type="dxa" w:w="3135"/>
          </w:tcPr>
          <w:p>
            <w:r>
              <w:rPr>
                <w:rFonts w:ascii="Meiryo UI" w:hAnsi="Meiryo UI"/>
                <w:sz w:val="18"/>
              </w:rPr>
              <w:t>上記加重平均</w:t>
            </w:r>
          </w:p>
        </w:tc>
      </w:tr>
      <w:tr>
        <w:tc>
          <w:tcPr>
            <w:tcW w:type="dxa" w:w="3135"/>
            <w:shd w:val="clear" w:color="auto" w:fill="DDEBF7"/>
          </w:tcPr>
          <w:p>
            <w:r>
              <w:rPr>
                <w:rFonts w:ascii="Meiryo UI" w:hAnsi="Meiryo UI"/>
                <w:sz w:val="18"/>
              </w:rPr>
              <w:t>g（長期成長率・基本）</w:t>
            </w:r>
          </w:p>
        </w:tc>
        <w:tc>
          <w:tcPr>
            <w:tcW w:type="dxa" w:w="3135"/>
            <w:shd w:val="clear" w:color="auto" w:fill="DDEBF7"/>
          </w:tcPr>
          <w:p>
            <w:r>
              <w:rPr>
                <w:rFonts w:ascii="Meiryo UI" w:hAnsi="Meiryo UI"/>
                <w:sz w:val="18"/>
              </w:rPr>
              <w:t>3.5%</w:t>
            </w:r>
          </w:p>
        </w:tc>
        <w:tc>
          <w:tcPr>
            <w:tcW w:type="dxa" w:w="3135"/>
            <w:shd w:val="clear" w:color="auto" w:fill="DDEBF7"/>
          </w:tcPr>
          <w:p>
            <w:r>
              <w:rPr>
                <w:rFonts w:ascii="Meiryo UI" w:hAnsi="Meiryo UI"/>
                <w:sz w:val="18"/>
              </w:rPr>
              <w:t>海運+防衛+脱炭素3軸</w:t>
            </w:r>
          </w:p>
        </w:tc>
      </w:tr>
    </w:tbl>
    <w:p/>
    <w:p>
      <w:pPr>
        <w:pStyle w:val="Heading3"/>
      </w:pPr>
      <w:r>
        <w:rPr>
          <w:rFonts w:ascii="Meiryo UI" w:hAnsi="Meiryo UI"/>
          <w:color w:val="2E74B5"/>
        </w:rPr>
        <w:t>4.2 理論株価レンジ（複数手法）</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バリュエーション手法</w:t>
            </w:r>
          </w:p>
        </w:tc>
        <w:tc>
          <w:tcPr>
            <w:tcW w:type="dxa" w:w="2351"/>
            <w:shd w:val="clear" w:color="auto" w:fill="2E74B5"/>
          </w:tcPr>
          <w:p>
            <w:r>
              <w:rPr>
                <w:rFonts w:ascii="Meiryo UI" w:hAnsi="Meiryo UI"/>
                <w:b/>
                <w:color w:val="FFFFFF"/>
                <w:sz w:val="18"/>
              </w:rPr>
              <w:t>理論株価</w:t>
            </w:r>
          </w:p>
        </w:tc>
        <w:tc>
          <w:tcPr>
            <w:tcW w:type="dxa" w:w="2351"/>
            <w:shd w:val="clear" w:color="auto" w:fill="2E74B5"/>
          </w:tcPr>
          <w:p>
            <w:r>
              <w:rPr>
                <w:rFonts w:ascii="Meiryo UI" w:hAnsi="Meiryo UI"/>
                <w:b/>
                <w:color w:val="FFFFFF"/>
                <w:sz w:val="18"/>
              </w:rPr>
              <w:t>現在値比</w:t>
            </w:r>
          </w:p>
        </w:tc>
        <w:tc>
          <w:tcPr>
            <w:tcW w:type="dxa" w:w="2351"/>
            <w:shd w:val="clear" w:color="auto" w:fill="2E74B5"/>
          </w:tcPr>
          <w:p>
            <w:r>
              <w:rPr>
                <w:rFonts w:ascii="Meiryo UI" w:hAnsi="Meiryo UI"/>
                <w:b/>
                <w:color w:val="FFFFFF"/>
                <w:sz w:val="18"/>
              </w:rPr>
              <w:t>ウェイト</w:t>
            </w:r>
          </w:p>
        </w:tc>
      </w:tr>
      <w:tr>
        <w:tc>
          <w:tcPr>
            <w:tcW w:type="dxa" w:w="2351"/>
          </w:tcPr>
          <w:p>
            <w:r>
              <w:rPr>
                <w:rFonts w:ascii="Meiryo UI" w:hAnsi="Meiryo UI"/>
                <w:sz w:val="18"/>
              </w:rPr>
              <w:t>DCF（基本シナリオ）</w:t>
            </w:r>
          </w:p>
        </w:tc>
        <w:tc>
          <w:tcPr>
            <w:tcW w:type="dxa" w:w="2351"/>
          </w:tcPr>
          <w:p>
            <w:r>
              <w:rPr>
                <w:rFonts w:ascii="Meiryo UI" w:hAnsi="Meiryo UI"/>
                <w:sz w:val="18"/>
              </w:rPr>
              <w:t>¥16,700</w:t>
            </w:r>
          </w:p>
        </w:tc>
        <w:tc>
          <w:tcPr>
            <w:tcW w:type="dxa" w:w="2351"/>
          </w:tcPr>
          <w:p>
            <w:r>
              <w:rPr>
                <w:rFonts w:ascii="Meiryo UI" w:hAnsi="Meiryo UI"/>
                <w:sz w:val="18"/>
              </w:rPr>
              <w:t>+22.4%</w:t>
            </w:r>
          </w:p>
        </w:tc>
        <w:tc>
          <w:tcPr>
            <w:tcW w:type="dxa" w:w="2351"/>
          </w:tcPr>
          <w:p>
            <w:r>
              <w:rPr>
                <w:rFonts w:ascii="Meiryo UI" w:hAnsi="Meiryo UI"/>
                <w:sz w:val="18"/>
              </w:rPr>
              <w:t>40%</w:t>
            </w:r>
          </w:p>
        </w:tc>
      </w:tr>
      <w:tr>
        <w:tc>
          <w:tcPr>
            <w:tcW w:type="dxa" w:w="2351"/>
            <w:shd w:val="clear" w:color="auto" w:fill="DDEBF7"/>
          </w:tcPr>
          <w:p>
            <w:r>
              <w:rPr>
                <w:rFonts w:ascii="Meiryo UI" w:hAnsi="Meiryo UI"/>
                <w:sz w:val="18"/>
              </w:rPr>
              <w:t>DCF（防衛特化）</w:t>
            </w:r>
          </w:p>
        </w:tc>
        <w:tc>
          <w:tcPr>
            <w:tcW w:type="dxa" w:w="2351"/>
            <w:shd w:val="clear" w:color="auto" w:fill="DDEBF7"/>
          </w:tcPr>
          <w:p>
            <w:r>
              <w:rPr>
                <w:rFonts w:ascii="Meiryo UI" w:hAnsi="Meiryo UI"/>
                <w:sz w:val="18"/>
              </w:rPr>
              <w:t>¥20,700</w:t>
            </w:r>
          </w:p>
        </w:tc>
        <w:tc>
          <w:tcPr>
            <w:tcW w:type="dxa" w:w="2351"/>
            <w:shd w:val="clear" w:color="auto" w:fill="DDEBF7"/>
          </w:tcPr>
          <w:p>
            <w:r>
              <w:rPr>
                <w:rFonts w:ascii="Meiryo UI" w:hAnsi="Meiryo UI"/>
                <w:sz w:val="18"/>
              </w:rPr>
              <w:t>+51.8%</w:t>
            </w:r>
          </w:p>
        </w:tc>
        <w:tc>
          <w:tcPr>
            <w:tcW w:type="dxa" w:w="2351"/>
            <w:shd w:val="clear" w:color="auto" w:fill="DDEBF7"/>
          </w:tcPr>
          <w:p>
            <w:r>
              <w:rPr>
                <w:rFonts w:ascii="Meiryo UI" w:hAnsi="Meiryo UI"/>
                <w:sz w:val="18"/>
              </w:rPr>
              <w:t>20%</w:t>
            </w:r>
          </w:p>
        </w:tc>
      </w:tr>
      <w:tr>
        <w:tc>
          <w:tcPr>
            <w:tcW w:type="dxa" w:w="2351"/>
          </w:tcPr>
          <w:p>
            <w:r>
              <w:rPr>
                <w:rFonts w:ascii="Meiryo UI" w:hAnsi="Meiryo UI"/>
                <w:sz w:val="18"/>
              </w:rPr>
              <w:t>PER（業界平均25倍×EPS¥510）</w:t>
            </w:r>
          </w:p>
        </w:tc>
        <w:tc>
          <w:tcPr>
            <w:tcW w:type="dxa" w:w="2351"/>
          </w:tcPr>
          <w:p>
            <w:r>
              <w:rPr>
                <w:rFonts w:ascii="Meiryo UI" w:hAnsi="Meiryo UI"/>
                <w:sz w:val="18"/>
              </w:rPr>
              <w:t>¥12,750</w:t>
            </w:r>
          </w:p>
        </w:tc>
        <w:tc>
          <w:tcPr>
            <w:tcW w:type="dxa" w:w="2351"/>
          </w:tcPr>
          <w:p>
            <w:r>
              <w:rPr>
                <w:rFonts w:ascii="Meiryo UI" w:hAnsi="Meiryo UI"/>
                <w:sz w:val="18"/>
              </w:rPr>
              <w:t>-6.5%</w:t>
            </w:r>
          </w:p>
        </w:tc>
        <w:tc>
          <w:tcPr>
            <w:tcW w:type="dxa" w:w="2351"/>
          </w:tcPr>
          <w:p>
            <w:r>
              <w:rPr>
                <w:rFonts w:ascii="Meiryo UI" w:hAnsi="Meiryo UI"/>
                <w:sz w:val="18"/>
              </w:rPr>
              <w:t>20%</w:t>
            </w:r>
          </w:p>
        </w:tc>
      </w:tr>
      <w:tr>
        <w:tc>
          <w:tcPr>
            <w:tcW w:type="dxa" w:w="2351"/>
            <w:shd w:val="clear" w:color="auto" w:fill="DDEBF7"/>
          </w:tcPr>
          <w:p>
            <w:r>
              <w:rPr>
                <w:rFonts w:ascii="Meiryo UI" w:hAnsi="Meiryo UI"/>
                <w:sz w:val="18"/>
              </w:rPr>
              <w:t>PER（成長プレミアム30倍×EPS¥510）</w:t>
            </w:r>
          </w:p>
        </w:tc>
        <w:tc>
          <w:tcPr>
            <w:tcW w:type="dxa" w:w="2351"/>
            <w:shd w:val="clear" w:color="auto" w:fill="DDEBF7"/>
          </w:tcPr>
          <w:p>
            <w:r>
              <w:rPr>
                <w:rFonts w:ascii="Meiryo UI" w:hAnsi="Meiryo UI"/>
                <w:sz w:val="18"/>
              </w:rPr>
              <w:t>¥15,300</w:t>
            </w:r>
          </w:p>
        </w:tc>
        <w:tc>
          <w:tcPr>
            <w:tcW w:type="dxa" w:w="2351"/>
            <w:shd w:val="clear" w:color="auto" w:fill="DDEBF7"/>
          </w:tcPr>
          <w:p>
            <w:r>
              <w:rPr>
                <w:rFonts w:ascii="Meiryo UI" w:hAnsi="Meiryo UI"/>
                <w:sz w:val="18"/>
              </w:rPr>
              <w:t>+12.1%</w:t>
            </w:r>
          </w:p>
        </w:tc>
        <w:tc>
          <w:tcPr>
            <w:tcW w:type="dxa" w:w="2351"/>
            <w:shd w:val="clear" w:color="auto" w:fill="DDEBF7"/>
          </w:tcPr>
          <w:p>
            <w:r>
              <w:rPr>
                <w:rFonts w:ascii="Meiryo UI" w:hAnsi="Meiryo UI"/>
                <w:sz w:val="18"/>
              </w:rPr>
              <w:t>10%</w:t>
            </w:r>
          </w:p>
        </w:tc>
      </w:tr>
      <w:tr>
        <w:tc>
          <w:tcPr>
            <w:tcW w:type="dxa" w:w="2351"/>
          </w:tcPr>
          <w:p>
            <w:r>
              <w:rPr>
                <w:rFonts w:ascii="Meiryo UI" w:hAnsi="Meiryo UI"/>
                <w:sz w:val="18"/>
              </w:rPr>
              <w:t>NAVベース（中央値）</w:t>
            </w:r>
          </w:p>
        </w:tc>
        <w:tc>
          <w:tcPr>
            <w:tcW w:type="dxa" w:w="2351"/>
          </w:tcPr>
          <w:p>
            <w:r>
              <w:rPr>
                <w:rFonts w:ascii="Meiryo UI" w:hAnsi="Meiryo UI"/>
                <w:sz w:val="18"/>
              </w:rPr>
              <w:t>¥2,195×6倍=¥13,170</w:t>
            </w:r>
          </w:p>
        </w:tc>
        <w:tc>
          <w:tcPr>
            <w:tcW w:type="dxa" w:w="2351"/>
          </w:tcPr>
          <w:p>
            <w:r>
              <w:rPr>
                <w:rFonts w:ascii="Meiryo UI" w:hAnsi="Meiryo UI"/>
                <w:sz w:val="18"/>
              </w:rPr>
              <w:t>-3.4%</w:t>
            </w:r>
          </w:p>
        </w:tc>
        <w:tc>
          <w:tcPr>
            <w:tcW w:type="dxa" w:w="2351"/>
          </w:tcPr>
          <w:p>
            <w:r>
              <w:rPr>
                <w:rFonts w:ascii="Meiryo UI" w:hAnsi="Meiryo UI"/>
                <w:sz w:val="18"/>
              </w:rPr>
              <w:t>10%</w:t>
            </w:r>
          </w:p>
        </w:tc>
      </w:tr>
      <w:tr>
        <w:tc>
          <w:tcPr>
            <w:tcW w:type="dxa" w:w="2351"/>
            <w:shd w:val="clear" w:color="auto" w:fill="DDEBF7"/>
          </w:tcPr>
          <w:p>
            <w:r>
              <w:rPr>
                <w:rFonts w:ascii="Meiryo UI" w:hAnsi="Meiryo UI"/>
                <w:sz w:val="18"/>
              </w:rPr>
              <w:t>加重平均理論株価</w:t>
            </w:r>
          </w:p>
        </w:tc>
        <w:tc>
          <w:tcPr>
            <w:tcW w:type="dxa" w:w="2351"/>
            <w:shd w:val="clear" w:color="auto" w:fill="DDEBF7"/>
          </w:tcPr>
          <w:p>
            <w:r>
              <w:rPr>
                <w:rFonts w:ascii="Meiryo UI" w:hAnsi="Meiryo UI"/>
                <w:sz w:val="18"/>
              </w:rPr>
              <w:t>¥16,200</w:t>
            </w:r>
          </w:p>
        </w:tc>
        <w:tc>
          <w:tcPr>
            <w:tcW w:type="dxa" w:w="2351"/>
            <w:shd w:val="clear" w:color="auto" w:fill="DDEBF7"/>
          </w:tcPr>
          <w:p>
            <w:r>
              <w:rPr>
                <w:rFonts w:ascii="Meiryo UI" w:hAnsi="Meiryo UI"/>
                <w:sz w:val="18"/>
              </w:rPr>
              <w:t>+18.8%</w:t>
            </w:r>
          </w:p>
        </w:tc>
        <w:tc>
          <w:tcPr>
            <w:tcW w:type="dxa" w:w="2351"/>
            <w:shd w:val="clear" w:color="auto" w:fill="DDEBF7"/>
          </w:tcPr>
          <w:p>
            <w:r>
              <w:rPr>
                <w:rFonts w:ascii="Meiryo UI" w:hAnsi="Meiryo UI"/>
                <w:sz w:val="18"/>
              </w:rPr>
              <w:t>100%</w:t>
            </w:r>
          </w:p>
        </w:tc>
      </w:tr>
    </w:tbl>
    <w:p/>
    <w:p>
      <w:r>
        <w:rPr>
          <w:rFonts w:ascii="Meiryo UI" w:hAnsi="Meiryo UI"/>
          <w:sz w:val="20"/>
        </w:rPr>
        <w:t>→ 理論株価レンジ：¥15,200〜¥16,800（中央値：¥16,200）</w:t>
      </w:r>
    </w:p>
    <w:p/>
    <w:p>
      <w:r>
        <w:rPr>
          <w:rFonts w:ascii="Meiryo UI" w:hAnsi="Meiryo UI"/>
          <w:sz w:val="20"/>
        </w:rPr>
        <w:t>**安全域（Margin of Safety）：20%を確保した推奨エントリーゾーン：¥12,960〜</w:t>
      </w:r>
    </w:p>
    <w:p/>
    <w:p>
      <w:r>
        <w:t>──────────────────────────────────────────────────</w:t>
      </w:r>
    </w:p>
    <w:p/>
    <w:p>
      <w:pPr>
        <w:pStyle w:val="Heading2"/>
      </w:pPr>
      <w:r>
        <w:rPr>
          <w:rFonts w:ascii="Meiryo UI" w:hAnsi="Meiryo UI"/>
          <w:color w:val="2E74B5"/>
        </w:rPr>
        <w:t>金利エビデンス（レポート末尾必須記載）</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値</w:t>
            </w:r>
          </w:p>
        </w:tc>
      </w:tr>
      <w:tr>
        <w:tc>
          <w:tcPr>
            <w:tcW w:type="dxa" w:w="4703"/>
          </w:tcPr>
          <w:p>
            <w:r>
              <w:rPr>
                <w:rFonts w:ascii="Meiryo UI" w:hAnsi="Meiryo UI"/>
                <w:sz w:val="18"/>
              </w:rPr>
              <w:t>リスクフリーレート（Rf）</w:t>
            </w:r>
          </w:p>
        </w:tc>
        <w:tc>
          <w:tcPr>
            <w:tcW w:type="dxa" w:w="4703"/>
          </w:tcPr>
          <w:p>
            <w:r>
              <w:rPr>
                <w:rFonts w:ascii="Meiryo UI" w:hAnsi="Meiryo UI"/>
                <w:sz w:val="18"/>
              </w:rPr>
              <w:t>2.429%</w:t>
            </w:r>
          </w:p>
        </w:tc>
      </w:tr>
      <w:tr>
        <w:tc>
          <w:tcPr>
            <w:tcW w:type="dxa" w:w="4703"/>
            <w:shd w:val="clear" w:color="auto" w:fill="DDEBF7"/>
          </w:tcPr>
          <w:p>
            <w:r>
              <w:rPr>
                <w:rFonts w:ascii="Meiryo UI" w:hAnsi="Meiryo UI"/>
                <w:sz w:val="18"/>
              </w:rPr>
              <w:t>参照指標</w:t>
            </w:r>
          </w:p>
        </w:tc>
        <w:tc>
          <w:tcPr>
            <w:tcW w:type="dxa" w:w="4703"/>
            <w:shd w:val="clear" w:color="auto" w:fill="DDEBF7"/>
          </w:tcPr>
          <w:p>
            <w:r>
              <w:rPr>
                <w:rFonts w:ascii="Meiryo UI" w:hAnsi="Meiryo UI"/>
                <w:sz w:val="18"/>
              </w:rPr>
              <w:t>日本10年国債（JGB10Y）2.429%</w:t>
            </w:r>
          </w:p>
        </w:tc>
      </w:tr>
      <w:tr>
        <w:tc>
          <w:tcPr>
            <w:tcW w:type="dxa" w:w="4703"/>
          </w:tcPr>
          <w:p>
            <w:r>
              <w:rPr>
                <w:rFonts w:ascii="Meiryo UI" w:hAnsi="Meiryo UI"/>
                <w:sz w:val="18"/>
              </w:rPr>
              <w:t>データ取得日時</w:t>
            </w:r>
          </w:p>
        </w:tc>
        <w:tc>
          <w:tcPr>
            <w:tcW w:type="dxa" w:w="4703"/>
          </w:tcPr>
          <w:p>
            <w:r>
              <w:rPr>
                <w:rFonts w:ascii="Meiryo UI" w:hAnsi="Meiryo UI"/>
                <w:sz w:val="18"/>
              </w:rPr>
              <w:t>2026-04-07 09:32 JST（財務省日次 R8.4.6）</w:t>
            </w:r>
          </w:p>
        </w:tc>
      </w:tr>
      <w:tr>
        <w:tc>
          <w:tcPr>
            <w:tcW w:type="dxa" w:w="4703"/>
            <w:shd w:val="clear" w:color="auto" w:fill="DDEBF7"/>
          </w:tcPr>
          <w:p>
            <w:r>
              <w:rPr>
                <w:rFonts w:ascii="Meiryo UI" w:hAnsi="Meiryo UI"/>
                <w:sz w:val="18"/>
              </w:rPr>
              <w:t>参照元URL</w:t>
            </w:r>
          </w:p>
        </w:tc>
        <w:tc>
          <w:tcPr>
            <w:tcW w:type="dxa" w:w="4703"/>
            <w:shd w:val="clear" w:color="auto" w:fill="DDEBF7"/>
          </w:tcPr>
          <w:p>
            <w:r>
              <w:rPr>
                <w:rFonts w:ascii="Meiryo UI" w:hAnsi="Meiryo UI"/>
                <w:sz w:val="18"/>
              </w:rPr>
              <w:t>https://jp.investing.com/rates-bonds/japan-10-year-bond-yield-streaming-chart</w:t>
            </w:r>
          </w:p>
        </w:tc>
      </w:tr>
    </w:tbl>
    <w:p/>
    <w:p>
      <w:r>
        <w:rPr>
          <w:rFonts w:ascii="Meiryo UI" w:hAnsi="Meiryo UI"/>
          <w:sz w:val="20"/>
        </w:rPr>
        <w:t>&gt; 注記: 上記Rfは分析実行時に自動取得した市場実勢値です。金利変動時は感応度分析（セクション9）を参照してください。</w:t>
      </w:r>
    </w:p>
    <w:p/>
    <w:p>
      <w:r>
        <w:t>──────────────────────────────────────────────────</w:t>
      </w:r>
    </w:p>
    <w:p/>
    <w:p>
      <w:pPr>
        <w:pStyle w:val="Heading2"/>
      </w:pPr>
      <w:r>
        <w:rPr>
          <w:rFonts w:ascii="Meiryo UI" w:hAnsi="Meiryo UI"/>
          <w:color w:val="2E74B5"/>
        </w:rPr>
        <w:t>📢 全社共有（深井 → 浅井・不労・金田・豆田）</w:t>
      </w:r>
    </w:p>
    <w:p/>
    <w:p>
      <w:r>
        <w:rPr>
          <w:rFonts w:ascii="Meiryo UI" w:hAnsi="Meiryo UI"/>
          <w:sz w:val="20"/>
        </w:rPr>
        <w:t>[報告] 深井 が 6016_ジャパンエンジン_BUY_DeepResearch_20260407.md を出力しました。</w:t>
      </w:r>
    </w:p>
    <w:p>
      <w:r>
        <w:rPr>
          <w:rFonts w:ascii="Meiryo UI" w:hAnsi="Meiryo UI"/>
          <w:sz w:val="20"/>
        </w:rPr>
        <w:t>浅井スコア +0 の銘柄 [6016]ジャパンエンジンコーポレーション についてDeepResearch完了。</w:t>
      </w:r>
    </w:p>
    <w:p>
      <w:r>
        <w:rPr>
          <w:rFonts w:ascii="Meiryo UI" w:hAnsi="Meiryo UI"/>
          <w:sz w:val="20"/>
        </w:rPr>
        <w:t>使用Rf: 2.429%（取得: 2026-04-07 09:32 JST（財務省日次 R8.4.6））</w:t>
      </w:r>
    </w:p>
    <w:p/>
    <w:p>
      <w:r>
        <w:rPr>
          <w:rFonts w:ascii="Meiryo UI" w:hAnsi="Meiryo UI"/>
          <w:sz w:val="20"/>
        </w:rPr>
        <w:t>_投資判断は社長の最終決裁に基づきます。_</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