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[6161] エスティック【低PBR×高自己資本×4/28決算18日前】</w:t>
      </w:r>
    </w:p>
    <w:p/>
    <w:p/>
    <w:p>
      <w:pPr>
        <w:jc w:val="center"/>
      </w:pPr>
      <w:r>
        <w:rPr>
          <w:rFonts w:ascii="Meiryo UI" w:hAnsi="Meiryo UI"/>
          <w:sz w:val="24"/>
        </w:rPr>
        <w:t>アナリスト：深井（AI浅井）｜</w:t>
      </w:r>
    </w:p>
    <w:p>
      <w:pPr>
        <w:jc w:val="center"/>
      </w:pPr>
      <w:r>
        <w:rPr>
          <w:rFonts w:ascii="Meiryo UI" w:hAnsi="Meiryo UI"/>
          <w:sz w:val="24"/>
        </w:rPr>
        <w:t>分析日：2026-04-10｜</w:t>
      </w:r>
    </w:p>
    <w:p>
      <w:r>
        <w:br w:type="page"/>
      </w:r>
    </w:p>
    <w:p>
      <w:pPr>
        <w:pStyle w:val="Heading1"/>
      </w:pPr>
      <w:r>
        <w:rPr>
          <w:rFonts w:ascii="Meiryo UI" w:hAnsi="Meiryo UI"/>
          <w:color w:val="1F3864"/>
        </w:rPr>
        <w:t>深井 DeepResearchレポート — [6161] エスティック【低PBR×高自己資本×4/28決算18日前】</w:t>
      </w:r>
    </w:p>
    <w:p>
      <w:r>
        <w:rPr>
          <w:rFonts w:ascii="Meiryo UI" w:hAnsi="Meiryo UI"/>
          <w:sz w:val="20"/>
        </w:rPr>
        <w:t>作成日: 2026-04-10｜アナリスト: 深井（AI浅井）｜分類: BUY / 優先度2</w:t>
      </w:r>
    </w:p>
    <w:p>
      <w:r>
        <w:rPr>
          <w:rFonts w:ascii="Meiryo UI" w:hAnsi="Meiryo UI"/>
          <w:sz w:val="20"/>
        </w:rPr>
        <w:t>浅井スコア: 判定中｜ソース: estic.co.jp/ir + Yahoo Finance + 公開情報</w:t>
      </w:r>
    </w:p>
    <w:p/>
    <w:p>
      <w:r>
        <w:t>──────────────────────────────────────────────────</w:t>
      </w:r>
    </w:p>
    <w:p/>
    <w:p>
      <w:r>
        <w:rPr>
          <w:rFonts w:ascii="Meiryo UI" w:hAnsi="Meiryo UI"/>
          <w:sz w:val="20"/>
        </w:rPr>
        <w:t>&gt; ⚠️ データ使用宣言（2026-04-10）</w:t>
      </w:r>
    </w:p>
    <w:p>
      <w:r>
        <w:rPr>
          <w:rFonts w:ascii="Meiryo UI" w:hAnsi="Meiryo UI"/>
          <w:sz w:val="20"/>
        </w:rPr>
        <w:t>&gt; 株価=¥1,020（2026-04-10 マスターDB）/ PBR=0.957x / BPS=¥1,066</w:t>
      </w:r>
    </w:p>
    <w:p>
      <w:r>
        <w:rPr>
          <w:rFonts w:ascii="Meiryo UI" w:hAnsi="Meiryo UI"/>
          <w:sz w:val="20"/>
        </w:rPr>
        <w:t>&gt; EPS（FY2026E）=¥103 / PER=9.87x / 配当=¥29（利回り2.84%）</w:t>
      </w:r>
    </w:p>
    <w:p>
      <w:r>
        <w:rPr>
          <w:rFonts w:ascii="Meiryo UI" w:hAnsi="Meiryo UI"/>
          <w:sz w:val="20"/>
        </w:rPr>
        <w:t>&gt; JGB10Y=2.425%（財務省CSV）/ ADV=12,096株/日（25日）⚠️流動性注意</w:t>
      </w:r>
    </w:p>
    <w:p>
      <w:r>
        <w:rPr>
          <w:rFonts w:ascii="Meiryo UI" w:hAnsi="Meiryo UI"/>
          <w:sz w:val="20"/>
        </w:rPr>
        <w:t>&gt; テーマ: 低PBR×高自己資本比率×4/28決算カタリスト</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BUY（優先度2）— ただし4/28決算Q4確認が必須条件</w:t>
            </w:r>
          </w:p>
        </w:tc>
      </w:tr>
      <w:tr>
        <w:tc>
          <w:tcPr>
            <w:tcW w:type="dxa" w:w="4703"/>
            <w:shd w:val="clear" w:color="auto" w:fill="DDEBF7"/>
          </w:tcPr>
          <w:p>
            <w:r>
              <w:rPr>
                <w:rFonts w:ascii="Meiryo UI" w:hAnsi="Meiryo UI"/>
                <w:sz w:val="18"/>
              </w:rPr>
              <w:t>低PBR根拠</w:t>
            </w:r>
          </w:p>
        </w:tc>
        <w:tc>
          <w:tcPr>
            <w:tcW w:type="dxa" w:w="4703"/>
            <w:shd w:val="clear" w:color="auto" w:fill="DDEBF7"/>
          </w:tcPr>
          <w:p>
            <w:r>
              <w:rPr>
                <w:rFonts w:ascii="Meiryo UI" w:hAnsi="Meiryo UI"/>
                <w:sz w:val="18"/>
              </w:rPr>
              <w:t>PBR0.957x（BPS¥1,066 vs 株価¥1,020）。東証改善要請対象水準</w:t>
            </w:r>
          </w:p>
        </w:tc>
      </w:tr>
      <w:tr>
        <w:tc>
          <w:tcPr>
            <w:tcW w:type="dxa" w:w="4703"/>
          </w:tcPr>
          <w:p>
            <w:r>
              <w:rPr>
                <w:rFonts w:ascii="Meiryo UI" w:hAnsi="Meiryo UI"/>
                <w:sz w:val="18"/>
              </w:rPr>
              <w:t>最大のリスク</w:t>
            </w:r>
          </w:p>
        </w:tc>
        <w:tc>
          <w:tcPr>
            <w:tcW w:type="dxa" w:w="4703"/>
          </w:tcPr>
          <w:p>
            <w:r>
              <w:rPr>
                <w:rFonts w:ascii="Meiryo UI" w:hAnsi="Meiryo UI"/>
                <w:sz w:val="18"/>
              </w:rPr>
              <w:t>3Q累計OP進捗53.4% → Q4にOP¥7.92億必要（Q1-3平均の2.6倍）</w:t>
            </w:r>
          </w:p>
        </w:tc>
      </w:tr>
      <w:tr>
        <w:tc>
          <w:tcPr>
            <w:tcW w:type="dxa" w:w="4703"/>
            <w:shd w:val="clear" w:color="auto" w:fill="DDEBF7"/>
          </w:tcPr>
          <w:p>
            <w:r>
              <w:rPr>
                <w:rFonts w:ascii="Meiryo UI" w:hAnsi="Meiryo UI"/>
                <w:sz w:val="18"/>
              </w:rPr>
              <w:t>最大の触媒</w:t>
            </w:r>
          </w:p>
        </w:tc>
        <w:tc>
          <w:tcPr>
            <w:tcW w:type="dxa" w:w="4703"/>
            <w:shd w:val="clear" w:color="auto" w:fill="DDEBF7"/>
          </w:tcPr>
          <w:p>
            <w:r>
              <w:rPr>
                <w:rFonts w:ascii="Meiryo UI" w:hAnsi="Meiryo UI"/>
                <w:sz w:val="18"/>
              </w:rPr>
              <w:t>4/28（18日後）FY2026通期決算：Q4確認できれば即再評価</w:t>
            </w:r>
          </w:p>
        </w:tc>
      </w:tr>
      <w:tr>
        <w:tc>
          <w:tcPr>
            <w:tcW w:type="dxa" w:w="4703"/>
          </w:tcPr>
          <w:p>
            <w:r>
              <w:rPr>
                <w:rFonts w:ascii="Meiryo UI" w:hAnsi="Meiryo UI"/>
                <w:sz w:val="18"/>
              </w:rPr>
              <w:t>流動性制約</w:t>
            </w:r>
          </w:p>
        </w:tc>
        <w:tc>
          <w:tcPr>
            <w:tcW w:type="dxa" w:w="4703"/>
          </w:tcPr>
          <w:p>
            <w:r>
              <w:rPr>
                <w:rFonts w:ascii="Meiryo UI" w:hAnsi="Meiryo UI"/>
                <w:sz w:val="18"/>
              </w:rPr>
              <w:t>ADV¥12.3M/日 → 小型・マイクロキャップ戦略向き</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4/28前に打診買い → 決算確認後に本建て</w:t>
            </w:r>
          </w:p>
        </w:tc>
      </w:tr>
    </w:tbl>
    <w:p/>
    <w:p>
      <w:r>
        <w:t>──────────────────────────────────────────────────</w:t>
      </w:r>
    </w:p>
    <w:p/>
    <w:p>
      <w:pPr>
        <w:pStyle w:val="Heading2"/>
      </w:pPr>
      <w:r>
        <w:rPr>
          <w:rFonts w:ascii="Meiryo UI" w:hAnsi="Meiryo UI"/>
          <w:color w:val="2E74B5"/>
        </w:rPr>
        <w:t>1.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エスティック株式会社</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6161（東証スタンダード）</w:t>
            </w:r>
          </w:p>
        </w:tc>
      </w:tr>
      <w:tr>
        <w:tc>
          <w:tcPr>
            <w:tcW w:type="dxa" w:w="4703"/>
          </w:tcPr>
          <w:p>
            <w:r>
              <w:rPr>
                <w:rFonts w:ascii="Meiryo UI" w:hAnsi="Meiryo UI"/>
                <w:sz w:val="18"/>
              </w:rPr>
              <w:t>設立</w:t>
            </w:r>
          </w:p>
        </w:tc>
        <w:tc>
          <w:tcPr>
            <w:tcW w:type="dxa" w:w="4703"/>
          </w:tcPr>
          <w:p>
            <w:r>
              <w:rPr>
                <w:rFonts w:ascii="Meiryo UI" w:hAnsi="Meiryo UI"/>
                <w:sz w:val="18"/>
              </w:rPr>
              <w:t>1993年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大阪府守口市</w:t>
            </w:r>
          </w:p>
        </w:tc>
      </w:tr>
      <w:tr>
        <w:tc>
          <w:tcPr>
            <w:tcW w:type="dxa" w:w="4703"/>
          </w:tcPr>
          <w:p>
            <w:r>
              <w:rPr>
                <w:rFonts w:ascii="Meiryo UI" w:hAnsi="Meiryo UI"/>
                <w:sz w:val="18"/>
              </w:rPr>
              <w:t>事業</w:t>
            </w:r>
          </w:p>
        </w:tc>
        <w:tc>
          <w:tcPr>
            <w:tcW w:type="dxa" w:w="4703"/>
          </w:tcPr>
          <w:p>
            <w:r>
              <w:rPr>
                <w:rFonts w:ascii="Meiryo UI" w:hAnsi="Meiryo UI"/>
                <w:sz w:val="18"/>
              </w:rPr>
              <w:t>精密締め付け工具・自動化システム製造</w:t>
            </w:r>
          </w:p>
        </w:tc>
      </w:tr>
      <w:tr>
        <w:tc>
          <w:tcPr>
            <w:tcW w:type="dxa" w:w="4703"/>
            <w:shd w:val="clear" w:color="auto" w:fill="DDEBF7"/>
          </w:tcPr>
          <w:p>
            <w:r>
              <w:rPr>
                <w:rFonts w:ascii="Meiryo UI" w:hAnsi="Meiryo UI"/>
                <w:sz w:val="18"/>
              </w:rPr>
              <w:t>売上海外比率</w:t>
            </w:r>
          </w:p>
        </w:tc>
        <w:tc>
          <w:tcPr>
            <w:tcW w:type="dxa" w:w="4703"/>
            <w:shd w:val="clear" w:color="auto" w:fill="DDEBF7"/>
          </w:tcPr>
          <w:p>
            <w:r>
              <w:rPr>
                <w:rFonts w:ascii="Meiryo UI" w:hAnsi="Meiryo UI"/>
                <w:sz w:val="18"/>
              </w:rPr>
              <w:t>64.6%（米国・欧州・中国）</w:t>
            </w:r>
          </w:p>
        </w:tc>
      </w:tr>
    </w:tbl>
    <w:p/>
    <w:p>
      <w:r>
        <w:rPr>
          <w:rFonts w:ascii="Meiryo UI" w:hAnsi="Meiryo UI"/>
          <w:sz w:val="20"/>
        </w:rPr>
        <w:t>主力製品: 電動ナットランナー（自動車・電機組立用）/ 電動ドライバ（サーボ制御）/ サーボプレス（圧入・かしめ）/ 締め付けロボット（協働ロボット対応）</w:t>
      </w:r>
    </w:p>
    <w:p/>
    <w:p>
      <w:r>
        <w:rPr>
          <w:rFonts w:ascii="Meiryo UI" w:hAnsi="Meiryo UI"/>
          <w:sz w:val="20"/>
        </w:rPr>
        <w:t>強み: 精密トルク管理が必要な組立工程でのニッチ首位。EV電池パック組立・ADAS基板実装など次世代製造現場での需要拡大が中期テーマ。</w:t>
      </w:r>
    </w:p>
    <w:p/>
    <w:p>
      <w:r>
        <w:t>──────────────────────────────────────────────────</w:t>
      </w:r>
    </w:p>
    <w:p/>
    <w:p>
      <w:pPr>
        <w:pStyle w:val="Heading2"/>
      </w:pPr>
      <w:r>
        <w:rPr>
          <w:rFonts w:ascii="Meiryo UI" w:hAnsi="Meiryo UI"/>
          <w:color w:val="2E74B5"/>
        </w:rPr>
        <w:t>2. 業績アップデート（FY2026/3期）</w:t>
      </w:r>
    </w:p>
    <w:p/>
    <w:p>
      <w:pPr>
        <w:pStyle w:val="Heading3"/>
      </w:pPr>
      <w:r>
        <w:rPr>
          <w:rFonts w:ascii="Meiryo UI" w:hAnsi="Meiryo UI"/>
          <w:color w:val="2E74B5"/>
        </w:rPr>
        <w:t>2-1. FY2025実績 vs FY2026計画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FY2026計画</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¥78.81億</w:t>
            </w:r>
          </w:p>
        </w:tc>
        <w:tc>
          <w:tcPr>
            <w:tcW w:type="dxa" w:w="2351"/>
          </w:tcPr>
          <w:p>
            <w:r>
              <w:rPr>
                <w:rFonts w:ascii="Meiryo UI" w:hAnsi="Meiryo UI"/>
                <w:sz w:val="18"/>
              </w:rPr>
              <w:t>¥83.2億</w:t>
            </w:r>
          </w:p>
        </w:tc>
        <w:tc>
          <w:tcPr>
            <w:tcW w:type="dxa" w:w="2351"/>
          </w:tcPr>
          <w:p>
            <w:r>
              <w:rPr>
                <w:rFonts w:ascii="Meiryo UI" w:hAnsi="Meiryo UI"/>
                <w:sz w:val="18"/>
              </w:rPr>
              <w:t>+5.6%</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¥16.37億</w:t>
            </w:r>
          </w:p>
        </w:tc>
        <w:tc>
          <w:tcPr>
            <w:tcW w:type="dxa" w:w="2351"/>
            <w:shd w:val="clear" w:color="auto" w:fill="DDEBF7"/>
          </w:tcPr>
          <w:p>
            <w:r>
              <w:rPr>
                <w:rFonts w:ascii="Meiryo UI" w:hAnsi="Meiryo UI"/>
                <w:sz w:val="18"/>
              </w:rPr>
              <w:t>¥16.98億</w:t>
            </w:r>
          </w:p>
        </w:tc>
        <w:tc>
          <w:tcPr>
            <w:tcW w:type="dxa" w:w="2351"/>
            <w:shd w:val="clear" w:color="auto" w:fill="DDEBF7"/>
          </w:tcPr>
          <w:p>
            <w:r>
              <w:rPr>
                <w:rFonts w:ascii="Meiryo UI" w:hAnsi="Meiryo UI"/>
                <w:sz w:val="18"/>
              </w:rPr>
              <w:t>+3.7%</w:t>
            </w:r>
          </w:p>
        </w:tc>
      </w:tr>
      <w:tr>
        <w:tc>
          <w:tcPr>
            <w:tcW w:type="dxa" w:w="2351"/>
          </w:tcPr>
          <w:p>
            <w:r>
              <w:rPr>
                <w:rFonts w:ascii="Meiryo UI" w:hAnsi="Meiryo UI"/>
                <w:sz w:val="18"/>
              </w:rPr>
              <w:t>純利益</w:t>
            </w:r>
          </w:p>
        </w:tc>
        <w:tc>
          <w:tcPr>
            <w:tcW w:type="dxa" w:w="2351"/>
          </w:tcPr>
          <w:p>
            <w:r>
              <w:rPr>
                <w:rFonts w:ascii="Meiryo UI" w:hAnsi="Meiryo UI"/>
                <w:sz w:val="18"/>
              </w:rPr>
              <w:t>¥11.82億</w:t>
            </w:r>
          </w:p>
        </w:tc>
        <w:tc>
          <w:tcPr>
            <w:tcW w:type="dxa" w:w="2351"/>
          </w:tcPr>
          <w:p>
            <w:r>
              <w:rPr>
                <w:rFonts w:ascii="Meiryo UI" w:hAnsi="Meiryo UI"/>
                <w:sz w:val="18"/>
              </w:rPr>
              <w:t>¥11.92億</w:t>
            </w:r>
          </w:p>
        </w:tc>
        <w:tc>
          <w:tcPr>
            <w:tcW w:type="dxa" w:w="2351"/>
          </w:tcPr>
          <w:p>
            <w:r>
              <w:rPr>
                <w:rFonts w:ascii="Meiryo UI" w:hAnsi="Meiryo UI"/>
                <w:sz w:val="18"/>
              </w:rPr>
              <w:t>+0.8%</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20.8%</w:t>
            </w:r>
          </w:p>
        </w:tc>
        <w:tc>
          <w:tcPr>
            <w:tcW w:type="dxa" w:w="2351"/>
            <w:shd w:val="clear" w:color="auto" w:fill="DDEBF7"/>
          </w:tcPr>
          <w:p>
            <w:r>
              <w:rPr>
                <w:rFonts w:ascii="Meiryo UI" w:hAnsi="Meiryo UI"/>
                <w:sz w:val="18"/>
              </w:rPr>
              <w:t>20.4%</w:t>
            </w:r>
          </w:p>
        </w:tc>
        <w:tc>
          <w:tcPr>
            <w:tcW w:type="dxa" w:w="2351"/>
            <w:shd w:val="clear" w:color="auto" w:fill="DDEBF7"/>
          </w:tcPr>
          <w:p>
            <w:r>
              <w:rPr>
                <w:rFonts w:ascii="Meiryo UI" w:hAnsi="Meiryo UI"/>
                <w:sz w:val="18"/>
              </w:rPr>
              <w:t>—</w:t>
            </w:r>
          </w:p>
        </w:tc>
      </w:tr>
    </w:tbl>
    <w:p/>
    <w:p>
      <w:r>
        <w:rPr>
          <w:rFonts w:ascii="Meiryo UI" w:hAnsi="Meiryo UI"/>
          <w:sz w:val="20"/>
        </w:rPr>
        <w:t>FY2025は4期連続増収増益を達成。営業利益率20.8%は時価総額¥120億のスタンダード市場製造業として異例の高水準。</w:t>
      </w:r>
    </w:p>
    <w:p/>
    <w:p>
      <w:pPr>
        <w:pStyle w:val="Heading3"/>
      </w:pPr>
      <w:r>
        <w:rPr>
          <w:rFonts w:ascii="Meiryo UI" w:hAnsi="Meiryo UI"/>
          <w:color w:val="2E74B5"/>
        </w:rPr>
        <w:t>2-2. 3Q累計実績（9ヶ月）— ⚠️ 重大な進捗懸念</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3Q累計</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対計画進捗率</w:t>
            </w:r>
          </w:p>
        </w:tc>
      </w:tr>
      <w:tr>
        <w:tc>
          <w:tcPr>
            <w:tcW w:type="dxa" w:w="2351"/>
          </w:tcPr>
          <w:p>
            <w:r>
              <w:rPr>
                <w:rFonts w:ascii="Meiryo UI" w:hAnsi="Meiryo UI"/>
                <w:sz w:val="18"/>
              </w:rPr>
              <w:t>売上高</w:t>
            </w:r>
          </w:p>
        </w:tc>
        <w:tc>
          <w:tcPr>
            <w:tcW w:type="dxa" w:w="2351"/>
          </w:tcPr>
          <w:p>
            <w:r>
              <w:rPr>
                <w:rFonts w:ascii="Meiryo UI" w:hAnsi="Meiryo UI"/>
                <w:sz w:val="18"/>
              </w:rPr>
              <w:t>¥52.74億</w:t>
            </w:r>
          </w:p>
        </w:tc>
        <w:tc>
          <w:tcPr>
            <w:tcW w:type="dxa" w:w="2351"/>
          </w:tcPr>
          <w:p>
            <w:r>
              <w:rPr>
                <w:rFonts w:ascii="Meiryo UI" w:hAnsi="Meiryo UI"/>
                <w:sz w:val="18"/>
              </w:rPr>
              <w:t>-8.7%</w:t>
            </w:r>
          </w:p>
        </w:tc>
        <w:tc>
          <w:tcPr>
            <w:tcW w:type="dxa" w:w="2351"/>
          </w:tcPr>
          <w:p>
            <w:r>
              <w:rPr>
                <w:rFonts w:ascii="Meiryo UI" w:hAnsi="Meiryo UI"/>
                <w:sz w:val="18"/>
              </w:rPr>
              <w:t>63.4%（標準75%を▲11.6pt下回る）</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¥9.06億</w:t>
            </w:r>
          </w:p>
        </w:tc>
        <w:tc>
          <w:tcPr>
            <w:tcW w:type="dxa" w:w="2351"/>
            <w:shd w:val="clear" w:color="auto" w:fill="DDEBF7"/>
          </w:tcPr>
          <w:p>
            <w:r>
              <w:rPr>
                <w:rFonts w:ascii="Meiryo UI" w:hAnsi="Meiryo UI"/>
                <w:sz w:val="18"/>
              </w:rPr>
              <w:t>-21.5%</w:t>
            </w:r>
          </w:p>
        </w:tc>
        <w:tc>
          <w:tcPr>
            <w:tcW w:type="dxa" w:w="2351"/>
            <w:shd w:val="clear" w:color="auto" w:fill="DDEBF7"/>
          </w:tcPr>
          <w:p>
            <w:r>
              <w:rPr>
                <w:rFonts w:ascii="Meiryo UI" w:hAnsi="Meiryo UI"/>
                <w:sz w:val="18"/>
              </w:rPr>
              <w:t>53.4%（標準75%を▲21.6pt下回る）</w:t>
            </w:r>
          </w:p>
        </w:tc>
      </w:tr>
      <w:tr>
        <w:tc>
          <w:tcPr>
            <w:tcW w:type="dxa" w:w="2351"/>
          </w:tcPr>
          <w:p>
            <w:r>
              <w:rPr>
                <w:rFonts w:ascii="Meiryo UI" w:hAnsi="Meiryo UI"/>
                <w:sz w:val="18"/>
              </w:rPr>
              <w:t>純利益</w:t>
            </w:r>
          </w:p>
        </w:tc>
        <w:tc>
          <w:tcPr>
            <w:tcW w:type="dxa" w:w="2351"/>
          </w:tcPr>
          <w:p>
            <w:r>
              <w:rPr>
                <w:rFonts w:ascii="Meiryo UI" w:hAnsi="Meiryo UI"/>
                <w:sz w:val="18"/>
              </w:rPr>
              <w:t>¥6.28億</w:t>
            </w:r>
          </w:p>
        </w:tc>
        <w:tc>
          <w:tcPr>
            <w:tcW w:type="dxa" w:w="2351"/>
          </w:tcPr>
          <w:p>
            <w:r>
              <w:rPr>
                <w:rFonts w:ascii="Meiryo UI" w:hAnsi="Meiryo UI"/>
                <w:sz w:val="18"/>
              </w:rPr>
              <w:t>-19.6%</w:t>
            </w:r>
          </w:p>
        </w:tc>
        <w:tc>
          <w:tcPr>
            <w:tcW w:type="dxa" w:w="2351"/>
          </w:tcPr>
          <w:p>
            <w:r>
              <w:rPr>
                <w:rFonts w:ascii="Meiryo UI" w:hAnsi="Meiryo UI"/>
                <w:sz w:val="18"/>
              </w:rPr>
              <w:t>52.7%</w:t>
            </w:r>
          </w:p>
        </w:tc>
      </w:tr>
    </w:tbl>
    <w:p/>
    <w:p>
      <w:pPr>
        <w:shd w:val="clear" w:color="auto" w:fill="F2F2F2"/>
      </w:pPr>
      <w:r>
        <w:rPr>
          <w:rFonts w:ascii="Courier New" w:hAnsi="Courier New"/>
          <w:sz w:val="16"/>
        </w:rPr>
        <w:t>⚠️ Q4必要額の試算:</w:t>
        <w:br/>
        <w:t xml:space="preserve">  FY2026計画OP ¥16.98億 - 3Q累計¥9.06億 = Q4必要額 ¥7.92億</w:t>
        <w:br/>
        <w:t xml:space="preserve">  Q1-3平均 ¥3.02億/四半期</w:t>
        <w:br/>
        <w:t xml:space="preserve">  → Q4必要額はQ1-3平均の 2.6倍 が必要</w:t>
        <w:br/>
        <w:br/>
        <w:t>なぜ達成可能か（3月期決算企業の季節性）:</w:t>
        <w:br/>
        <w:t xml:space="preserve">  国内自動車メーカー（トヨタ・ホンダ等）の3月期末設備発注集中</w:t>
        <w:br/>
        <w:t xml:space="preserve">  顧客の予算消化（Q4=1-3月）によるオーダーラッシュ</w:t>
        <w:br/>
        <w:t xml:space="preserve">  製造業締め付け工具は納期が短く→Q4受注→Q4売上計上が実現しやすい</w:t>
      </w:r>
    </w:p>
    <w:p/>
    <w:p>
      <w:r>
        <w:rPr>
          <w:rFonts w:ascii="Meiryo UI" w:hAnsi="Meiryo UI"/>
          <w:sz w:val="20"/>
        </w:rPr>
        <w:t>会社は3Q時点で通期計画を維持。「Q4回復は季節性要因で可能」という判断だが、達成すれば好サプライズ、未達なら失望売りというバイナリー構造になっている。</w:t>
      </w:r>
    </w:p>
    <w:p/>
    <w:p>
      <w:pPr>
        <w:pStyle w:val="Heading3"/>
      </w:pPr>
      <w:r>
        <w:rPr>
          <w:rFonts w:ascii="Meiryo UI" w:hAnsi="Meiryo UI"/>
          <w:color w:val="2E74B5"/>
        </w:rPr>
        <w:t>2-3. 財務状況（堅牢性評価：最高水準）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86.1%</w:t>
            </w:r>
          </w:p>
        </w:tc>
        <w:tc>
          <w:tcPr>
            <w:tcW w:type="dxa" w:w="3135"/>
          </w:tcPr>
          <w:p>
            <w:r>
              <w:rPr>
                <w:rFonts w:ascii="Meiryo UI" w:hAnsi="Meiryo UI"/>
                <w:sz w:val="18"/>
              </w:rPr>
              <w:t>無借金経営。業界最高水準</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¥28.7億</w:t>
            </w:r>
          </w:p>
        </w:tc>
        <w:tc>
          <w:tcPr>
            <w:tcW w:type="dxa" w:w="3135"/>
            <w:shd w:val="clear" w:color="auto" w:fill="DDEBF7"/>
          </w:tcPr>
          <w:p>
            <w:r>
              <w:rPr>
                <w:rFonts w:ascii="Meiryo UI" w:hAnsi="Meiryo UI"/>
                <w:sz w:val="18"/>
              </w:rPr>
              <w:t>時価総額の23.9%を現金保有</w:t>
            </w:r>
          </w:p>
        </w:tc>
      </w:tr>
      <w:tr>
        <w:tc>
          <w:tcPr>
            <w:tcW w:type="dxa" w:w="3135"/>
          </w:tcPr>
          <w:p>
            <w:r>
              <w:rPr>
                <w:rFonts w:ascii="Meiryo UI" w:hAnsi="Meiryo UI"/>
                <w:sz w:val="18"/>
              </w:rPr>
              <w:t>ROE（FY26E）</w:t>
            </w:r>
          </w:p>
        </w:tc>
        <w:tc>
          <w:tcPr>
            <w:tcW w:type="dxa" w:w="3135"/>
          </w:tcPr>
          <w:p>
            <w:r>
              <w:rPr>
                <w:rFonts w:ascii="Meiryo UI" w:hAnsi="Meiryo UI"/>
                <w:sz w:val="18"/>
              </w:rPr>
              <w:t>9.7%</w:t>
            </w:r>
          </w:p>
        </w:tc>
        <w:tc>
          <w:tcPr>
            <w:tcW w:type="dxa" w:w="3135"/>
          </w:tcPr>
          <w:p>
            <w:r>
              <w:rPr>
                <w:rFonts w:ascii="Meiryo UI" w:hAnsi="Meiryo UI"/>
                <w:sz w:val="18"/>
              </w:rPr>
              <w:t>WACC6.55%を超過 → PBR&gt;1.0倍が理論的に正当</w:t>
            </w:r>
          </w:p>
        </w:tc>
      </w:tr>
      <w:tr>
        <w:tc>
          <w:tcPr>
            <w:tcW w:type="dxa" w:w="3135"/>
            <w:shd w:val="clear" w:color="auto" w:fill="DDEBF7"/>
          </w:tcPr>
          <w:p>
            <w:r>
              <w:rPr>
                <w:rFonts w:ascii="Meiryo UI" w:hAnsi="Meiryo UI"/>
                <w:sz w:val="18"/>
              </w:rPr>
              <w:t>EPS（FY2026E）</w:t>
            </w:r>
          </w:p>
        </w:tc>
        <w:tc>
          <w:tcPr>
            <w:tcW w:type="dxa" w:w="3135"/>
            <w:shd w:val="clear" w:color="auto" w:fill="DDEBF7"/>
          </w:tcPr>
          <w:p>
            <w:r>
              <w:rPr>
                <w:rFonts w:ascii="Meiryo UI" w:hAnsi="Meiryo UI"/>
                <w:sz w:val="18"/>
              </w:rPr>
              <w:t>¥103</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BPS</w:t>
            </w:r>
          </w:p>
        </w:tc>
        <w:tc>
          <w:tcPr>
            <w:tcW w:type="dxa" w:w="3135"/>
          </w:tcPr>
          <w:p>
            <w:r>
              <w:rPr>
                <w:rFonts w:ascii="Meiryo UI" w:hAnsi="Meiryo UI"/>
                <w:sz w:val="18"/>
              </w:rPr>
              <w:t>¥1,066</w:t>
            </w:r>
          </w:p>
        </w:tc>
        <w:tc>
          <w:tcPr>
            <w:tcW w:type="dxa" w:w="3135"/>
          </w:tcPr>
          <w:p>
            <w:r>
              <w:rPr>
                <w:rFonts w:ascii="Meiryo UI" w:hAnsi="Meiryo UI"/>
                <w:sz w:val="18"/>
              </w:rPr>
            </w:r>
          </w:p>
        </w:tc>
      </w:tr>
    </w:tbl>
    <w:p/>
    <w:p>
      <w:r>
        <w:t>──────────────────────────────────────────────────</w:t>
      </w:r>
    </w:p>
    <w:p/>
    <w:p>
      <w:pPr>
        <w:pStyle w:val="Heading2"/>
      </w:pPr>
      <w:r>
        <w:rPr>
          <w:rFonts w:ascii="Meiryo UI" w:hAnsi="Meiryo UI"/>
          <w:color w:val="2E74B5"/>
        </w:rPr>
        <w:t>3. 低PBR×高自己資本の構造分析</w:t>
      </w:r>
    </w:p>
    <w:p/>
    <w:p>
      <w:pPr>
        <w:pStyle w:val="Heading3"/>
      </w:pPr>
      <w:r>
        <w:rPr>
          <w:rFonts w:ascii="Meiryo UI" w:hAnsi="Meiryo UI"/>
          <w:color w:val="2E74B5"/>
        </w:rPr>
        <w:t>3-1. PBR理論値vs実態</w:t>
      </w:r>
    </w:p>
    <w:p/>
    <w:p>
      <w:pPr>
        <w:shd w:val="clear" w:color="auto" w:fill="F2F2F2"/>
      </w:pPr>
      <w:r>
        <w:rPr>
          <w:rFonts w:ascii="Courier New" w:hAnsi="Courier New"/>
          <w:sz w:val="16"/>
        </w:rPr>
        <w:t>WACC計算:</w:t>
        <w:br/>
        <w:t xml:space="preserve">  Re = JGB10Y 2.425% + β0.75 × ERP 5.5% = 6.55%</w:t>
        <w:br/>
        <w:br/>
        <w:t>理論PBR = ROE / Re = 9.7% / 6.55% = 1.48倍</w:t>
        <w:br/>
        <w:t>現在PBR = 0.957倍</w:t>
        <w:br/>
        <w:br/>
        <w:t>乖離幅: 1.48x - 0.96x = -0.52倍分の「低評価ディスカウント」</w:t>
        <w:br/>
        <w:t>割安根拠: ROEがWACCを上回っているにもかかわらずBPS割れ</w:t>
      </w:r>
    </w:p>
    <w:p/>
    <w:p>
      <w:r>
        <w:rPr>
          <w:rFonts w:ascii="Meiryo UI" w:hAnsi="Meiryo UI"/>
          <w:sz w:val="20"/>
        </w:rPr>
        <w:t>なぜ割安放置されているか（3つの理由）:</w:t>
      </w:r>
    </w:p>
    <w:p/>
    <w:p>
      <w:r>
        <w:rPr>
          <w:rFonts w:ascii="Meiryo UI" w:hAnsi="Meiryo UI"/>
          <w:sz w:val="20"/>
        </w:rPr>
        <w:t xml:space="preserve">① スタンダード市場・超小型株: 時価総額¥120億、ADV¥12.3M/日は機関投資家の投資対象ギリギリ以下。アナリストカバレッジがなく、情報伝達が遅い  </w:t>
      </w:r>
    </w:p>
    <w:p>
      <w:r>
        <w:rPr>
          <w:rFonts w:ascii="Meiryo UI" w:hAnsi="Meiryo UI"/>
          <w:sz w:val="20"/>
        </w:rPr>
        <w:t xml:space="preserve">② Q3進捗の見た目の悪さ: 3Q累計OP▲21.5%というヘッドラインが印象を悪化させた。季節性の説明が不足  </w:t>
      </w:r>
    </w:p>
    <w:p>
      <w:r>
        <w:rPr>
          <w:rFonts w:ascii="Meiryo UI" w:hAnsi="Meiryo UI"/>
          <w:sz w:val="20"/>
        </w:rPr>
        <w:t>③ 東証スタンダード市場のPBR改善プレッシャー: プライム市場ほど強くないが、2026年度から全市場に拡大。認知度の高まりにより「PBR1倍割れ企業」への圧力が波及中</w:t>
      </w:r>
    </w:p>
    <w:p/>
    <w:p>
      <w:pPr>
        <w:pStyle w:val="Heading3"/>
      </w:pPr>
      <w:r>
        <w:rPr>
          <w:rFonts w:ascii="Meiryo UI" w:hAnsi="Meiryo UI"/>
          <w:color w:val="2E74B5"/>
        </w:rPr>
        <w:t>3-2. 自己資本86.1%が持つ意味</w:t>
      </w:r>
    </w:p>
    <w:p/>
    <w:p>
      <w:r>
        <w:rPr>
          <w:rFonts w:ascii="Meiryo UI" w:hAnsi="Meiryo UI"/>
          <w:sz w:val="20"/>
        </w:rPr>
        <w:t>高い自己資本比率は通常は「過剰資本」として低ROEの理由にもなるが、エスティックの場合は無借金×高利益率の組み合わせであり、以下の潜在価値がある：</w:t>
      </w:r>
    </w:p>
    <w:p/>
    <w:p>
      <w:pPr>
        <w:pStyle w:val="ListBullet"/>
      </w:pPr>
      <w:r>
        <w:rPr>
          <w:rFonts w:ascii="Meiryo UI" w:hAnsi="Meiryo UI"/>
          <w:sz w:val="20"/>
        </w:rPr>
        <w:t>現金¥28.7億（時価総額比23.9%）が丸ごと「実質ディスカウント」として株価に含まれている</w:t>
      </w:r>
    </w:p>
    <w:p>
      <w:pPr>
        <w:pStyle w:val="ListBullet"/>
      </w:pPr>
      <w:r>
        <w:rPr>
          <w:rFonts w:ascii="Meiryo UI" w:hAnsi="Meiryo UI"/>
          <w:sz w:val="20"/>
        </w:rPr>
        <w:t>キャッシュリッチ企業への自社株買い・増配圧力は東証要請の文脈でも正当化される</w:t>
      </w:r>
    </w:p>
    <w:p>
      <w:pPr>
        <w:pStyle w:val="ListBullet"/>
      </w:pPr>
      <w:r>
        <w:rPr>
          <w:rFonts w:ascii="Meiryo UI" w:hAnsi="Meiryo UI"/>
          <w:sz w:val="20"/>
        </w:rPr>
        <w:t>有事（中東情勢悪化・景気後退）でも財務破綻リスクは皆無</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4-1. 主要指標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株価</w:t>
            </w:r>
          </w:p>
        </w:tc>
        <w:tc>
          <w:tcPr>
            <w:tcW w:type="dxa" w:w="3135"/>
          </w:tcPr>
          <w:p>
            <w:r>
              <w:rPr>
                <w:rFonts w:ascii="Meiryo UI" w:hAnsi="Meiryo UI"/>
                <w:sz w:val="18"/>
              </w:rPr>
              <w:t>¥1,020</w:t>
            </w:r>
          </w:p>
        </w:tc>
        <w:tc>
          <w:tcPr>
            <w:tcW w:type="dxa" w:w="3135"/>
          </w:tcPr>
          <w:p>
            <w:r>
              <w:rPr>
                <w:rFonts w:ascii="Meiryo UI" w:hAnsi="Meiryo UI"/>
                <w:sz w:val="18"/>
              </w:rPr>
              <w:t>25MA比-1.1%（やや軟調）</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0.957x</w:t>
            </w:r>
          </w:p>
        </w:tc>
        <w:tc>
          <w:tcPr>
            <w:tcW w:type="dxa" w:w="3135"/>
            <w:shd w:val="clear" w:color="auto" w:fill="DDEBF7"/>
          </w:tcPr>
          <w:p>
            <w:r>
              <w:rPr>
                <w:rFonts w:ascii="Meiryo UI" w:hAnsi="Meiryo UI"/>
                <w:sz w:val="18"/>
              </w:rPr>
              <w:t>BPS割れ。東証改善要請水準</w:t>
            </w:r>
          </w:p>
        </w:tc>
      </w:tr>
      <w:tr>
        <w:tc>
          <w:tcPr>
            <w:tcW w:type="dxa" w:w="3135"/>
          </w:tcPr>
          <w:p>
            <w:r>
              <w:rPr>
                <w:rFonts w:ascii="Meiryo UI" w:hAnsi="Meiryo UI"/>
                <w:sz w:val="18"/>
              </w:rPr>
              <w:t>PER（FY2026E）</w:t>
            </w:r>
          </w:p>
        </w:tc>
        <w:tc>
          <w:tcPr>
            <w:tcW w:type="dxa" w:w="3135"/>
          </w:tcPr>
          <w:p>
            <w:r>
              <w:rPr>
                <w:rFonts w:ascii="Meiryo UI" w:hAnsi="Meiryo UI"/>
                <w:sz w:val="18"/>
              </w:rPr>
              <w:t>9.87x</w:t>
            </w:r>
          </w:p>
        </w:tc>
        <w:tc>
          <w:tcPr>
            <w:tcW w:type="dxa" w:w="3135"/>
          </w:tcPr>
          <w:p>
            <w:r>
              <w:rPr>
                <w:rFonts w:ascii="Meiryo UI" w:hAnsi="Meiryo UI"/>
                <w:sz w:val="18"/>
              </w:rPr>
              <w:t>製造業平均15〜18xに対し大幅割安</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2.84%</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RSI(14)</w:t>
            </w:r>
          </w:p>
        </w:tc>
        <w:tc>
          <w:tcPr>
            <w:tcW w:type="dxa" w:w="3135"/>
          </w:tcPr>
          <w:p>
            <w:r>
              <w:rPr>
                <w:rFonts w:ascii="Meiryo UI" w:hAnsi="Meiryo UI"/>
                <w:sz w:val="18"/>
              </w:rPr>
              <w:t>48.3</w:t>
            </w:r>
          </w:p>
        </w:tc>
        <w:tc>
          <w:tcPr>
            <w:tcW w:type="dxa" w:w="3135"/>
          </w:tcPr>
          <w:p>
            <w:r>
              <w:rPr>
                <w:rFonts w:ascii="Meiryo UI" w:hAnsi="Meiryo UI"/>
                <w:sz w:val="18"/>
              </w:rPr>
              <w:t>中立。売られ過ぎでも買われ過ぎでもない</w:t>
            </w:r>
          </w:p>
        </w:tc>
      </w:tr>
      <w:tr>
        <w:tc>
          <w:tcPr>
            <w:tcW w:type="dxa" w:w="3135"/>
            <w:shd w:val="clear" w:color="auto" w:fill="DDEBF7"/>
          </w:tcPr>
          <w:p>
            <w:r>
              <w:rPr>
                <w:rFonts w:ascii="Meiryo UI" w:hAnsi="Meiryo UI"/>
                <w:sz w:val="18"/>
              </w:rPr>
              <w:t>1Y総リターン</w:t>
            </w:r>
          </w:p>
        </w:tc>
        <w:tc>
          <w:tcPr>
            <w:tcW w:type="dxa" w:w="3135"/>
            <w:shd w:val="clear" w:color="auto" w:fill="DDEBF7"/>
          </w:tcPr>
          <w:p>
            <w:r>
              <w:rPr>
                <w:rFonts w:ascii="Meiryo UI" w:hAnsi="Meiryo UI"/>
                <w:sz w:val="18"/>
              </w:rPr>
              <w:t>+26.9%</w:t>
            </w:r>
          </w:p>
        </w:tc>
        <w:tc>
          <w:tcPr>
            <w:tcW w:type="dxa" w:w="3135"/>
            <w:shd w:val="clear" w:color="auto" w:fill="DDEBF7"/>
          </w:tcPr>
          <w:p>
            <w:r>
              <w:rPr>
                <w:rFonts w:ascii="Meiryo UI" w:hAnsi="Meiryo UI"/>
                <w:sz w:val="18"/>
              </w:rPr>
              <w:t>長期は上昇トレンド</w:t>
            </w:r>
          </w:p>
        </w:tc>
      </w:tr>
    </w:tbl>
    <w:p/>
    <w:p>
      <w:pPr>
        <w:pStyle w:val="Heading3"/>
      </w:pPr>
      <w:r>
        <w:rPr>
          <w:rFonts w:ascii="Meiryo UI" w:hAnsi="Meiryo UI"/>
          <w:color w:val="2E74B5"/>
        </w:rPr>
        <w:t>4-2. 目標株価設定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ベースケース</w:t>
            </w:r>
          </w:p>
        </w:tc>
        <w:tc>
          <w:tcPr>
            <w:tcW w:type="dxa" w:w="2351"/>
          </w:tcPr>
          <w:p>
            <w:r>
              <w:rPr>
                <w:rFonts w:ascii="Meiryo UI" w:hAnsi="Meiryo UI"/>
                <w:sz w:val="18"/>
              </w:rPr>
              <w:t>PBR=1.0x（BPS到達）</w:t>
            </w:r>
          </w:p>
        </w:tc>
        <w:tc>
          <w:tcPr>
            <w:tcW w:type="dxa" w:w="2351"/>
          </w:tcPr>
          <w:p>
            <w:r>
              <w:rPr>
                <w:rFonts w:ascii="Meiryo UI" w:hAnsi="Meiryo UI"/>
                <w:sz w:val="18"/>
              </w:rPr>
              <w:t>¥1,066</w:t>
            </w:r>
          </w:p>
        </w:tc>
        <w:tc>
          <w:tcPr>
            <w:tcW w:type="dxa" w:w="2351"/>
          </w:tcPr>
          <w:p>
            <w:r>
              <w:rPr>
                <w:rFonts w:ascii="Meiryo UI" w:hAnsi="Meiryo UI"/>
                <w:sz w:val="18"/>
              </w:rPr>
              <w:t>+4.5%</w:t>
            </w:r>
          </w:p>
        </w:tc>
      </w:tr>
      <w:tr>
        <w:tc>
          <w:tcPr>
            <w:tcW w:type="dxa" w:w="2351"/>
            <w:shd w:val="clear" w:color="auto" w:fill="DDEBF7"/>
          </w:tcPr>
          <w:p>
            <w:r>
              <w:rPr>
                <w:rFonts w:ascii="Meiryo UI" w:hAnsi="Meiryo UI"/>
                <w:sz w:val="18"/>
              </w:rPr>
              <w:t>強気</w:t>
            </w:r>
          </w:p>
        </w:tc>
        <w:tc>
          <w:tcPr>
            <w:tcW w:type="dxa" w:w="2351"/>
            <w:shd w:val="clear" w:color="auto" w:fill="DDEBF7"/>
          </w:tcPr>
          <w:p>
            <w:r>
              <w:rPr>
                <w:rFonts w:ascii="Meiryo UI" w:hAnsi="Meiryo UI"/>
                <w:sz w:val="18"/>
              </w:rPr>
              <w:t>PBR=1.15x（PBR改善要請+決算好サプライズ）</w:t>
            </w:r>
          </w:p>
        </w:tc>
        <w:tc>
          <w:tcPr>
            <w:tcW w:type="dxa" w:w="2351"/>
            <w:shd w:val="clear" w:color="auto" w:fill="DDEBF7"/>
          </w:tcPr>
          <w:p>
            <w:r>
              <w:rPr>
                <w:rFonts w:ascii="Meiryo UI" w:hAnsi="Meiryo UI"/>
                <w:sz w:val="18"/>
              </w:rPr>
              <w:t>¥1,226</w:t>
            </w:r>
          </w:p>
        </w:tc>
        <w:tc>
          <w:tcPr>
            <w:tcW w:type="dxa" w:w="2351"/>
            <w:shd w:val="clear" w:color="auto" w:fill="DDEBF7"/>
          </w:tcPr>
          <w:p>
            <w:r>
              <w:rPr>
                <w:rFonts w:ascii="Meiryo UI" w:hAnsi="Meiryo UI"/>
                <w:sz w:val="18"/>
              </w:rPr>
              <w:t>+20.2%</w:t>
            </w:r>
          </w:p>
        </w:tc>
      </w:tr>
      <w:tr>
        <w:tc>
          <w:tcPr>
            <w:tcW w:type="dxa" w:w="2351"/>
          </w:tcPr>
          <w:p>
            <w:r>
              <w:rPr>
                <w:rFonts w:ascii="Meiryo UI" w:hAnsi="Meiryo UI"/>
                <w:sz w:val="18"/>
              </w:rPr>
              <w:t>保守</w:t>
            </w:r>
          </w:p>
        </w:tc>
        <w:tc>
          <w:tcPr>
            <w:tcW w:type="dxa" w:w="2351"/>
          </w:tcPr>
          <w:p>
            <w:r>
              <w:rPr>
                <w:rFonts w:ascii="Meiryo UI" w:hAnsi="Meiryo UI"/>
                <w:sz w:val="18"/>
              </w:rPr>
              <w:t>PBR=1.05x</w:t>
            </w:r>
          </w:p>
        </w:tc>
        <w:tc>
          <w:tcPr>
            <w:tcW w:type="dxa" w:w="2351"/>
          </w:tcPr>
          <w:p>
            <w:r>
              <w:rPr>
                <w:rFonts w:ascii="Meiryo UI" w:hAnsi="Meiryo UI"/>
                <w:sz w:val="18"/>
              </w:rPr>
              <w:t>¥1,119</w:t>
            </w:r>
          </w:p>
        </w:tc>
        <w:tc>
          <w:tcPr>
            <w:tcW w:type="dxa" w:w="2351"/>
          </w:tcPr>
          <w:p>
            <w:r>
              <w:rPr>
                <w:rFonts w:ascii="Meiryo UI" w:hAnsi="Meiryo UI"/>
                <w:sz w:val="18"/>
              </w:rPr>
              <w:t>+9.7%</w:t>
            </w:r>
          </w:p>
        </w:tc>
      </w:tr>
      <w:tr>
        <w:tc>
          <w:tcPr>
            <w:tcW w:type="dxa" w:w="2351"/>
            <w:shd w:val="clear" w:color="auto" w:fill="DDEBF7"/>
          </w:tcPr>
          <w:p>
            <w:r>
              <w:rPr>
                <w:rFonts w:ascii="Meiryo UI" w:hAnsi="Meiryo UI"/>
                <w:sz w:val="18"/>
              </w:rPr>
              <w:t>ストップロス</w:t>
            </w:r>
          </w:p>
        </w:tc>
        <w:tc>
          <w:tcPr>
            <w:tcW w:type="dxa" w:w="2351"/>
            <w:shd w:val="clear" w:color="auto" w:fill="DDEBF7"/>
          </w:tcPr>
          <w:p>
            <w:r>
              <w:rPr>
                <w:rFonts w:ascii="Meiryo UI" w:hAnsi="Meiryo UI"/>
                <w:sz w:val="18"/>
              </w:rPr>
              <w:t>PER=8x（計画未達・格下げ）</w:t>
            </w:r>
          </w:p>
        </w:tc>
        <w:tc>
          <w:tcPr>
            <w:tcW w:type="dxa" w:w="2351"/>
            <w:shd w:val="clear" w:color="auto" w:fill="DDEBF7"/>
          </w:tcPr>
          <w:p>
            <w:r>
              <w:rPr>
                <w:rFonts w:ascii="Meiryo UI" w:hAnsi="Meiryo UI"/>
                <w:sz w:val="18"/>
              </w:rPr>
              <w:t>¥824</w:t>
            </w:r>
          </w:p>
        </w:tc>
        <w:tc>
          <w:tcPr>
            <w:tcW w:type="dxa" w:w="2351"/>
            <w:shd w:val="clear" w:color="auto" w:fill="DDEBF7"/>
          </w:tcPr>
          <w:p>
            <w:r>
              <w:rPr>
                <w:rFonts w:ascii="Meiryo UI" w:hAnsi="Meiryo UI"/>
                <w:sz w:val="18"/>
              </w:rPr>
              <w:t>-19.2%</w:t>
            </w:r>
          </w:p>
        </w:tc>
      </w:tr>
    </w:tbl>
    <w:p/>
    <w:p>
      <w:r>
        <w:rPr>
          <w:rFonts w:ascii="Meiryo UI" w:hAnsi="Meiryo UI"/>
          <w:sz w:val="20"/>
        </w:rPr>
        <w:t>推奨目標株価: ¥1,226（PBR1.15x/強気ケース）</w:t>
      </w:r>
    </w:p>
    <w:p/>
    <w:p>
      <w:r>
        <w:rPr>
          <w:rFonts w:ascii="Meiryo UI" w:hAnsi="Meiryo UI"/>
          <w:sz w:val="20"/>
        </w:rPr>
        <w:t>ベースのPBR1.0x到達（+4.5%）は最低限の目標。4/28決算でQ4が強ければ即PBR1.1〜1.2x水準への再評価が期待できる。</w:t>
      </w:r>
    </w:p>
    <w:p/>
    <w:p>
      <w:r>
        <w:t>──────────────────────────────────────────────────</w:t>
      </w:r>
    </w:p>
    <w:p/>
    <w:p>
      <w:pPr>
        <w:pStyle w:val="Heading2"/>
      </w:pPr>
      <w:r>
        <w:rPr>
          <w:rFonts w:ascii="Meiryo UI" w:hAnsi="Meiryo UI"/>
          <w:color w:val="2E74B5"/>
        </w:rPr>
        <w:t>5. 株主還元分析</w:t>
      </w:r>
    </w:p>
    <w:p/>
    <w:p>
      <w:pPr>
        <w:pStyle w:val="Heading3"/>
      </w:pPr>
      <w:r>
        <w:rPr>
          <w:rFonts w:ascii="Meiryo UI" w:hAnsi="Meiryo UI"/>
          <w:color w:val="2E74B5"/>
        </w:rPr>
        <w:t>5-1. 配当政策</w:t>
      </w:r>
    </w:p>
    <w:p/>
    <w:p>
      <w:pPr>
        <w:shd w:val="clear" w:color="auto" w:fill="F2F2F2"/>
      </w:pPr>
      <w:r>
        <w:rPr>
          <w:rFonts w:ascii="Courier New" w:hAnsi="Courier New"/>
          <w:sz w:val="16"/>
        </w:rPr>
        <w:t>現在:</w:t>
        <w:br/>
        <w:t xml:space="preserve">  配当 ¥29/株（FY2025: ¥28→FY2026: ¥29、¥1増配）</w:t>
        <w:br/>
        <w:t xml:space="preserve">  配当性向: 28.1%（EPS¥103ベース）</w:t>
        <w:br/>
        <w:t xml:space="preserve">  配当利回り: 2.84%</w:t>
        <w:br/>
        <w:br/>
        <w:t>増配余地:</w:t>
        <w:br/>
        <w:t xml:space="preserve">  配当性向28.1% → 業界平均30〜40%まで引き上げ余地</w:t>
        <w:br/>
        <w:t xml:space="preserve">  EPS¥103 × 35% = ¥36/株 → 利回り3.53%</w:t>
        <w:br/>
        <w:t xml:space="preserve">  EPS¥103 × 40% = ¥41/株 → 利回り4.02%</w:t>
      </w:r>
    </w:p>
    <w:p/>
    <w:p>
      <w:r>
        <w:rPr>
          <w:rFonts w:ascii="Meiryo UI" w:hAnsi="Meiryo UI"/>
          <w:sz w:val="20"/>
        </w:rPr>
        <w:t>東証PBR改善要請の文脈で、増配は最も実行しやすいカード。現金¥28.7億を持ちながら年間配当総額は¥3.4億（11.77M株 × ¥29）にすぎない。増配余力は十分。</w:t>
      </w:r>
    </w:p>
    <w:p/>
    <w:p>
      <w:pPr>
        <w:pStyle w:val="Heading3"/>
      </w:pPr>
      <w:r>
        <w:rPr>
          <w:rFonts w:ascii="Meiryo UI" w:hAnsi="Meiryo UI"/>
          <w:color w:val="2E74B5"/>
        </w:rPr>
        <w:t>5-2. 自社株買い可能性</w:t>
      </w:r>
    </w:p>
    <w:p/>
    <w:p>
      <w:r>
        <w:rPr>
          <w:rFonts w:ascii="Meiryo UI" w:hAnsi="Meiryo UI"/>
          <w:sz w:val="20"/>
        </w:rPr>
        <w:t>現時点で自社株買いプログラムの記録なし。ただし：</w:t>
      </w:r>
    </w:p>
    <w:p>
      <w:pPr>
        <w:pStyle w:val="ListBullet"/>
      </w:pPr>
      <w:r>
        <w:rPr>
          <w:rFonts w:ascii="Meiryo UI" w:hAnsi="Meiryo UI"/>
          <w:sz w:val="20"/>
        </w:rPr>
        <w:t>現金¥28.7億（時価総額の24%）を保有</w:t>
      </w:r>
    </w:p>
    <w:p>
      <w:pPr>
        <w:pStyle w:val="ListBullet"/>
      </w:pPr>
      <w:r>
        <w:rPr>
          <w:rFonts w:ascii="Meiryo UI" w:hAnsi="Meiryo UI"/>
          <w:sz w:val="20"/>
        </w:rPr>
        <w:t>PBR0.96xでの自社株買いはROE改善に直結</w:t>
      </w:r>
    </w:p>
    <w:p>
      <w:pPr>
        <w:pStyle w:val="ListBullet"/>
      </w:pPr>
      <w:r>
        <w:rPr>
          <w:rFonts w:ascii="Meiryo UI" w:hAnsi="Meiryo UI"/>
          <w:sz w:val="20"/>
        </w:rPr>
        <w:t>東証プレッシャー + 低流動性株の需給改善効果として最も効果的な株主還元手段</w:t>
      </w:r>
    </w:p>
    <w:p/>
    <w:p>
      <w:r>
        <w:rPr>
          <w:rFonts w:ascii="Meiryo UI" w:hAnsi="Meiryo UI"/>
          <w:sz w:val="20"/>
        </w:rPr>
        <w:t>4/28決算説明で「自社株買い検討」の一言があれば短期で大幅高の可能性あり（ADV少なく需給インパクト大）。</w:t>
      </w:r>
    </w:p>
    <w:p/>
    <w:p>
      <w:r>
        <w:t>──────────────────────────────────────────────────</w:t>
      </w:r>
    </w:p>
    <w:p/>
    <w:p>
      <w:pPr>
        <w:pStyle w:val="Heading2"/>
      </w:pPr>
      <w:r>
        <w:rPr>
          <w:rFonts w:ascii="Meiryo UI" w:hAnsi="Meiryo UI"/>
          <w:color w:val="2E74B5"/>
        </w:rPr>
        <w:t>6. 不動産含み益考察（社長指示必須事項）</w:t>
      </w:r>
    </w:p>
    <w:p/>
    <w:p>
      <w:r>
        <w:rPr>
          <w:rFonts w:ascii="Meiryo UI" w:hAnsi="Meiryo UI"/>
          <w:sz w:val="20"/>
        </w:rPr>
        <w:t>エスティックは1993年創業・大阪府守口市の精密機器メーカー。</w:t>
      </w:r>
    </w:p>
    <w:p/>
    <w:p>
      <w:pPr>
        <w:pStyle w:val="ListBullet"/>
      </w:pPr>
      <w:r>
        <w:rPr>
          <w:rFonts w:ascii="Meiryo UI" w:hAnsi="Meiryo UI"/>
          <w:sz w:val="20"/>
        </w:rPr>
        <w:t>推定保有不動産: 守口市本社・製造拠点。大阪近郊工業地帯の土地</w:t>
      </w:r>
    </w:p>
    <w:p>
      <w:pPr>
        <w:pStyle w:val="ListBullet"/>
      </w:pPr>
      <w:r>
        <w:rPr>
          <w:rFonts w:ascii="Meiryo UI" w:hAnsi="Meiryo UI"/>
          <w:sz w:val="20"/>
        </w:rPr>
        <w:t>含み益規模推計: 設備投資は¥7.2億（FY2025）と軽微で、大規模自社不動産保有の可能性は限定的。ただし守口市の工業用地は大阪都心へのアクセス良好で取得原価からの含み益が存在する可能性</w:t>
      </w:r>
    </w:p>
    <w:p>
      <w:pPr>
        <w:pStyle w:val="ListBullet"/>
      </w:pPr>
      <w:r>
        <w:rPr>
          <w:rFonts w:ascii="Meiryo UI" w:hAnsi="Meiryo UI"/>
          <w:sz w:val="20"/>
        </w:rPr>
        <w:t>NAV算出: 4/28決算資料（有形固定資産明細）確認後に更新予定</w:t>
      </w:r>
    </w:p>
    <w:p>
      <w:pPr>
        <w:pStyle w:val="ListBullet"/>
      </w:pPr>
      <w:r>
        <w:rPr>
          <w:rFonts w:ascii="Meiryo UI" w:hAnsi="Meiryo UI"/>
          <w:sz w:val="20"/>
        </w:rPr>
        <w:t>含み益触媒: 東証CGコード改訂による不動産含み益開示義務化が進む場合の波及効果はあるが、規模的には軽微（¥10〜30億推定）</w:t>
      </w:r>
    </w:p>
    <w:p/>
    <w:p>
      <w:r>
        <w:t>──────────────────────────────────────────────────</w:t>
      </w:r>
    </w:p>
    <w:p/>
    <w:p>
      <w:pPr>
        <w:pStyle w:val="Heading2"/>
      </w:pPr>
      <w:r>
        <w:rPr>
          <w:rFonts w:ascii="Meiryo UI" w:hAnsi="Meiryo UI"/>
          <w:color w:val="2E74B5"/>
        </w:rPr>
        <w:t>7. リスクシナリオ（3ケース）</w:t>
      </w:r>
    </w:p>
    <w:p/>
    <w:p>
      <w:pPr>
        <w:pStyle w:val="Heading3"/>
      </w:pPr>
      <w:r>
        <w:rPr>
          <w:rFonts w:ascii="Meiryo UI" w:hAnsi="Meiryo UI"/>
          <w:color w:val="2E74B5"/>
        </w:rPr>
        <w:t>ケース① ベース（確率45%）</w:t>
      </w:r>
    </w:p>
    <w:p>
      <w:pPr>
        <w:pStyle w:val="ListBullet"/>
      </w:pPr>
      <w:r>
        <w:rPr>
          <w:rFonts w:ascii="Meiryo UI" w:hAnsi="Meiryo UI"/>
          <w:sz w:val="20"/>
        </w:rPr>
        <w:t>Q4に季節性（3月期末顧客発注集中）が例年通り発動</w:t>
      </w:r>
    </w:p>
    <w:p>
      <w:pPr>
        <w:pStyle w:val="ListBullet"/>
      </w:pPr>
      <w:r>
        <w:rPr>
          <w:rFonts w:ascii="Meiryo UI" w:hAnsi="Meiryo UI"/>
          <w:sz w:val="20"/>
        </w:rPr>
        <w:t>FY2026計画OP¥16.98億を達成（Q4 ¥7.92億）</w:t>
      </w:r>
    </w:p>
    <w:p>
      <w:pPr>
        <w:pStyle w:val="ListBullet"/>
      </w:pPr>
      <w:r>
        <w:rPr>
          <w:rFonts w:ascii="Meiryo UI" w:hAnsi="Meiryo UI"/>
          <w:sz w:val="20"/>
        </w:rPr>
        <w:t>4/28決算 + 来期増配発表でPBR1.0x到達</w:t>
      </w:r>
    </w:p>
    <w:p>
      <w:pPr>
        <w:pStyle w:val="ListBullet"/>
      </w:pPr>
      <w:r>
        <w:rPr>
          <w:rFonts w:ascii="Meiryo UI" w:hAnsi="Meiryo UI"/>
          <w:sz w:val="20"/>
        </w:rPr>
        <w:t>目標: ¥1,066（+4.5%） / 達成期間: 1ヶ月</w:t>
      </w:r>
    </w:p>
    <w:p/>
    <w:p>
      <w:pPr>
        <w:pStyle w:val="Heading3"/>
      </w:pPr>
      <w:r>
        <w:rPr>
          <w:rFonts w:ascii="Meiryo UI" w:hAnsi="Meiryo UI"/>
          <w:color w:val="2E74B5"/>
        </w:rPr>
        <w:t>ケース② 強気（確率25%）</w:t>
      </w:r>
    </w:p>
    <w:p>
      <w:pPr>
        <w:pStyle w:val="ListBullet"/>
      </w:pPr>
      <w:r>
        <w:rPr>
          <w:rFonts w:ascii="Meiryo UI" w:hAnsi="Meiryo UI"/>
          <w:sz w:val="20"/>
        </w:rPr>
        <w:t>Q4が計画超過（自動車向け年度末発注集中 + EV組立需要拡大）</w:t>
      </w:r>
    </w:p>
    <w:p>
      <w:pPr>
        <w:pStyle w:val="ListBullet"/>
      </w:pPr>
      <w:r>
        <w:rPr>
          <w:rFonts w:ascii="Meiryo UI" w:hAnsi="Meiryo UI"/>
          <w:sz w:val="20"/>
        </w:rPr>
        <w:t>4/28で「自社株買い検討」または「増配」発表</w:t>
      </w:r>
    </w:p>
    <w:p>
      <w:pPr>
        <w:pStyle w:val="ListBullet"/>
      </w:pPr>
      <w:r>
        <w:rPr>
          <w:rFonts w:ascii="Meiryo UI" w:hAnsi="Meiryo UI"/>
          <w:sz w:val="20"/>
        </w:rPr>
        <w:t>PBR改善要請 + 決算好サプライズの重なりで機関投資家再発見</w:t>
      </w:r>
    </w:p>
    <w:p>
      <w:pPr>
        <w:pStyle w:val="ListBullet"/>
      </w:pPr>
      <w:r>
        <w:rPr>
          <w:rFonts w:ascii="Meiryo UI" w:hAnsi="Meiryo UI"/>
          <w:sz w:val="20"/>
        </w:rPr>
        <w:t>目標: ¥1,226（+20.2%） / 達成期間: 1〜3ヶ月</w:t>
      </w:r>
    </w:p>
    <w:p/>
    <w:p>
      <w:pPr>
        <w:pStyle w:val="Heading3"/>
      </w:pPr>
      <w:r>
        <w:rPr>
          <w:rFonts w:ascii="Meiryo UI" w:hAnsi="Meiryo UI"/>
          <w:color w:val="2E74B5"/>
        </w:rPr>
        <w:t>ケース③ 弱気（確率30%）</w:t>
      </w:r>
    </w:p>
    <w:p>
      <w:pPr>
        <w:pStyle w:val="ListBullet"/>
      </w:pPr>
      <w:r>
        <w:rPr>
          <w:rFonts w:ascii="Meiryo UI" w:hAnsi="Meiryo UI"/>
          <w:sz w:val="20"/>
        </w:rPr>
        <w:t>Q4回復が想定以下、FY2026計画未達（OP¥15〜16億）</w:t>
      </w:r>
    </w:p>
    <w:p>
      <w:pPr>
        <w:pStyle w:val="ListBullet"/>
      </w:pPr>
      <w:r>
        <w:rPr>
          <w:rFonts w:ascii="Meiryo UI" w:hAnsi="Meiryo UI"/>
          <w:sz w:val="20"/>
        </w:rPr>
        <w:t>来期ガイダンスも保守的 → PER8x水準まで調整</w:t>
      </w:r>
    </w:p>
    <w:p>
      <w:pPr>
        <w:pStyle w:val="ListBullet"/>
      </w:pPr>
      <w:r>
        <w:rPr>
          <w:rFonts w:ascii="Meiryo UI" w:hAnsi="Meiryo UI"/>
          <w:sz w:val="20"/>
        </w:rPr>
        <w:t>ADV少なく下落時の売り圧力が大きい</w:t>
      </w:r>
    </w:p>
    <w:p>
      <w:pPr>
        <w:pStyle w:val="ListBullet"/>
      </w:pPr>
      <w:r>
        <w:rPr>
          <w:rFonts w:ascii="Meiryo UI" w:hAnsi="Meiryo UI"/>
          <w:sz w:val="20"/>
        </w:rPr>
        <w:t>リスク: ¥824（-19.2%） / ハードストップ水準</w:t>
      </w:r>
    </w:p>
    <w:p/>
    <w:p>
      <w:r>
        <w:t>──────────────────────────────────────────────────</w:t>
      </w:r>
    </w:p>
    <w:p/>
    <w:p>
      <w:pPr>
        <w:pStyle w:val="Heading2"/>
      </w:pPr>
      <w:r>
        <w:rPr>
          <w:rFonts w:ascii="Meiryo UI" w:hAnsi="Meiryo UI"/>
          <w:color w:val="2E74B5"/>
        </w:rPr>
        <w:t>8. 定量ストレステスト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ストレス項目</w:t>
            </w:r>
          </w:p>
        </w:tc>
        <w:tc>
          <w:tcPr>
            <w:tcW w:type="dxa" w:w="3135"/>
            <w:shd w:val="clear" w:color="auto" w:fill="2E74B5"/>
          </w:tcPr>
          <w:p>
            <w:r>
              <w:rPr>
                <w:rFonts w:ascii="Meiryo UI" w:hAnsi="Meiryo UI"/>
                <w:b/>
                <w:color w:val="FFFFFF"/>
                <w:sz w:val="18"/>
              </w:rPr>
              <w:t>影響試算</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Q4 OP ¥5億（計画¥7.92億未達）</w:t>
            </w:r>
          </w:p>
        </w:tc>
        <w:tc>
          <w:tcPr>
            <w:tcW w:type="dxa" w:w="3135"/>
          </w:tcPr>
          <w:p>
            <w:r>
              <w:rPr>
                <w:rFonts w:ascii="Meiryo UI" w:hAnsi="Meiryo UI"/>
                <w:sz w:val="18"/>
              </w:rPr>
              <w:t>FY2026通期OP¥14億（計画比▲17.5%）</w:t>
            </w:r>
          </w:p>
        </w:tc>
        <w:tc>
          <w:tcPr>
            <w:tcW w:type="dxa" w:w="3135"/>
          </w:tcPr>
          <w:p>
            <w:r>
              <w:rPr>
                <w:rFonts w:ascii="Meiryo UI" w:hAnsi="Meiryo UI"/>
                <w:sz w:val="18"/>
              </w:rPr>
              <w:t>PER9x×EPS¥88=¥792（-22.4%）</w:t>
            </w:r>
          </w:p>
        </w:tc>
      </w:tr>
      <w:tr>
        <w:tc>
          <w:tcPr>
            <w:tcW w:type="dxa" w:w="3135"/>
            <w:shd w:val="clear" w:color="auto" w:fill="DDEBF7"/>
          </w:tcPr>
          <w:p>
            <w:r>
              <w:rPr>
                <w:rFonts w:ascii="Meiryo UI" w:hAnsi="Meiryo UI"/>
                <w:sz w:val="18"/>
              </w:rPr>
              <w:t>米国需要低迷（海外64.6%）継続</w:t>
            </w:r>
          </w:p>
        </w:tc>
        <w:tc>
          <w:tcPr>
            <w:tcW w:type="dxa" w:w="3135"/>
            <w:shd w:val="clear" w:color="auto" w:fill="DDEBF7"/>
          </w:tcPr>
          <w:p>
            <w:r>
              <w:rPr>
                <w:rFonts w:ascii="Meiryo UI" w:hAnsi="Meiryo UI"/>
                <w:sz w:val="18"/>
              </w:rPr>
              <w:t>FY2027E売上▲5%、EPS¥90台</w:t>
            </w:r>
          </w:p>
        </w:tc>
        <w:tc>
          <w:tcPr>
            <w:tcW w:type="dxa" w:w="3135"/>
            <w:shd w:val="clear" w:color="auto" w:fill="DDEBF7"/>
          </w:tcPr>
          <w:p>
            <w:r>
              <w:rPr>
                <w:rFonts w:ascii="Meiryo UI" w:hAnsi="Meiryo UI"/>
                <w:sz w:val="18"/>
              </w:rPr>
              <w:t>PER9x×¥90=¥810（-20.6%）</w:t>
            </w:r>
          </w:p>
        </w:tc>
      </w:tr>
      <w:tr>
        <w:tc>
          <w:tcPr>
            <w:tcW w:type="dxa" w:w="3135"/>
          </w:tcPr>
          <w:p>
            <w:r>
              <w:rPr>
                <w:rFonts w:ascii="Meiryo UI" w:hAnsi="Meiryo UI"/>
                <w:sz w:val="18"/>
              </w:rPr>
              <w:t>JGB10Y +0.5%（2.925%）</w:t>
            </w:r>
          </w:p>
        </w:tc>
        <w:tc>
          <w:tcPr>
            <w:tcW w:type="dxa" w:w="3135"/>
          </w:tcPr>
          <w:p>
            <w:r>
              <w:rPr>
                <w:rFonts w:ascii="Meiryo UI" w:hAnsi="Meiryo UI"/>
                <w:sz w:val="18"/>
              </w:rPr>
              <w:t>WACC上昇→理論PBR1.38x→僅か軽微</w:t>
            </w:r>
          </w:p>
        </w:tc>
        <w:tc>
          <w:tcPr>
            <w:tcW w:type="dxa" w:w="3135"/>
          </w:tcPr>
          <w:p>
            <w:r>
              <w:rPr>
                <w:rFonts w:ascii="Meiryo UI" w:hAnsi="Meiryo UI"/>
                <w:sz w:val="18"/>
              </w:rPr>
              <w:t>¥1,226→¥1,150（-6.2%）</w:t>
            </w:r>
          </w:p>
        </w:tc>
      </w:tr>
      <w:tr>
        <w:tc>
          <w:tcPr>
            <w:tcW w:type="dxa" w:w="3135"/>
            <w:shd w:val="clear" w:color="auto" w:fill="DDEBF7"/>
          </w:tcPr>
          <w:p>
            <w:r>
              <w:rPr>
                <w:rFonts w:ascii="Meiryo UI" w:hAnsi="Meiryo UI"/>
                <w:sz w:val="18"/>
              </w:rPr>
              <w:t>自社株買い¥5億実施</w:t>
            </w:r>
          </w:p>
        </w:tc>
        <w:tc>
          <w:tcPr>
            <w:tcW w:type="dxa" w:w="3135"/>
            <w:shd w:val="clear" w:color="auto" w:fill="DDEBF7"/>
          </w:tcPr>
          <w:p>
            <w:r>
              <w:rPr>
                <w:rFonts w:ascii="Meiryo UI" w:hAnsi="Meiryo UI"/>
                <w:sz w:val="18"/>
              </w:rPr>
              <w:t>EPS+1.2%、需給改善効果大（ADV少）</w:t>
            </w:r>
          </w:p>
        </w:tc>
        <w:tc>
          <w:tcPr>
            <w:tcW w:type="dxa" w:w="3135"/>
            <w:shd w:val="clear" w:color="auto" w:fill="DDEBF7"/>
          </w:tcPr>
          <w:p>
            <w:r>
              <w:rPr>
                <w:rFonts w:ascii="Meiryo UI" w:hAnsi="Meiryo UI"/>
                <w:sz w:val="18"/>
              </w:rPr>
              <w:t>短期+3〜5%のインパクト</w:t>
            </w:r>
          </w:p>
        </w:tc>
      </w:tr>
      <w:tr>
        <w:tc>
          <w:tcPr>
            <w:tcW w:type="dxa" w:w="3135"/>
          </w:tcPr>
          <w:p>
            <w:r>
              <w:rPr>
                <w:rFonts w:ascii="Meiryo UI" w:hAnsi="Meiryo UI"/>
                <w:sz w:val="18"/>
              </w:rPr>
              <w:t>東証PBR改善要請の開示強化</w:t>
            </w:r>
          </w:p>
        </w:tc>
        <w:tc>
          <w:tcPr>
            <w:tcW w:type="dxa" w:w="3135"/>
          </w:tcPr>
          <w:p>
            <w:r>
              <w:rPr>
                <w:rFonts w:ascii="Meiryo UI" w:hAnsi="Meiryo UI"/>
                <w:sz w:val="18"/>
              </w:rPr>
              <w:t>PBR0.96x→注目度急上昇</w:t>
            </w:r>
          </w:p>
        </w:tc>
        <w:tc>
          <w:tcPr>
            <w:tcW w:type="dxa" w:w="3135"/>
          </w:tcPr>
          <w:p>
            <w:r>
              <w:rPr>
                <w:rFonts w:ascii="Meiryo UI" w:hAnsi="Meiryo UI"/>
                <w:sz w:val="18"/>
              </w:rPr>
              <w:t>¥1,066〜¥1,200（+4〜18%）</w:t>
            </w:r>
          </w:p>
        </w:tc>
      </w:tr>
    </w:tbl>
    <w:p/>
    <w:p>
      <w:r>
        <w:t>──────────────────────────────────────────────────</w:t>
      </w:r>
    </w:p>
    <w:p/>
    <w:p>
      <w:pPr>
        <w:pStyle w:val="Heading2"/>
      </w:pPr>
      <w:r>
        <w:rPr>
          <w:rFonts w:ascii="Meiryo UI" w:hAnsi="Meiryo UI"/>
          <w:color w:val="2E74B5"/>
        </w:rPr>
        <w:t>9. Q-1定性変化考察（今期の変化点）</w:t>
      </w:r>
    </w:p>
    <w:p/>
    <w:p>
      <w:pPr>
        <w:pStyle w:val="Heading3"/>
      </w:pPr>
      <w:r>
        <w:rPr>
          <w:rFonts w:ascii="Meiryo UI" w:hAnsi="Meiryo UI"/>
          <w:color w:val="2E74B5"/>
        </w:rPr>
        <w:t>ポジティブ変化</w:t>
      </w:r>
    </w:p>
    <w:p>
      <w:pPr>
        <w:pStyle w:val="ListBullet"/>
      </w:pPr>
      <w:r>
        <w:rPr>
          <w:rFonts w:ascii="Meiryo UI" w:hAnsi="Meiryo UI"/>
          <w:sz w:val="20"/>
        </w:rPr>
        <w:t>✅ FY2025で4期連続増収増益達成: 長期成長の実績がある</w:t>
      </w:r>
    </w:p>
    <w:p>
      <w:pPr>
        <w:pStyle w:val="ListBullet"/>
      </w:pPr>
      <w:r>
        <w:rPr>
          <w:rFonts w:ascii="Meiryo UI" w:hAnsi="Meiryo UI"/>
          <w:sz w:val="20"/>
        </w:rPr>
        <w:t>✅ 海外売上64.6%の多様化: 国内需要軟化を海外で補う体制が整備されている</w:t>
      </w:r>
    </w:p>
    <w:p>
      <w:pPr>
        <w:pStyle w:val="ListBullet"/>
      </w:pPr>
      <w:r>
        <w:rPr>
          <w:rFonts w:ascii="Meiryo UI" w:hAnsi="Meiryo UI"/>
          <w:sz w:val="20"/>
        </w:rPr>
        <w:t>✅ EV/ADAS向け精密トルク管理需要の中期拡大: 電池パック組立に電動ナットランナーは必須。中期成長テーマと合致</w:t>
      </w:r>
    </w:p>
    <w:p/>
    <w:p>
      <w:pPr>
        <w:pStyle w:val="Heading3"/>
      </w:pPr>
      <w:r>
        <w:rPr>
          <w:rFonts w:ascii="Meiryo UI" w:hAnsi="Meiryo UI"/>
          <w:color w:val="2E74B5"/>
        </w:rPr>
        <w:t>ネガティブ変化</w:t>
      </w:r>
    </w:p>
    <w:p>
      <w:pPr>
        <w:pStyle w:val="ListBullet"/>
      </w:pPr>
      <w:r>
        <w:rPr>
          <w:rFonts w:ascii="Meiryo UI" w:hAnsi="Meiryo UI"/>
          <w:sz w:val="20"/>
        </w:rPr>
        <w:t>⚠️ 3Q累計OP▲21.5%・進捗53.4%: Q4への過大な依存構造が顕在化。達成確実性に疑問符</w:t>
      </w:r>
    </w:p>
    <w:p>
      <w:pPr>
        <w:pStyle w:val="ListBullet"/>
      </w:pPr>
      <w:r>
        <w:rPr>
          <w:rFonts w:ascii="Meiryo UI" w:hAnsi="Meiryo UI"/>
          <w:sz w:val="20"/>
        </w:rPr>
        <w:t>⚠️ 米国市場の投資制約: 3Q時点で会社自ら言及。トランプ関税 + 設備投資慎重化が直撃</w:t>
      </w:r>
    </w:p>
    <w:p>
      <w:pPr>
        <w:pStyle w:val="ListBullet"/>
      </w:pPr>
      <w:r>
        <w:rPr>
          <w:rFonts w:ascii="Meiryo UI" w:hAnsi="Meiryo UI"/>
          <w:sz w:val="20"/>
        </w:rPr>
        <w:t>⚠️ 超低流動性（ADV¥12.3M/日）: 機関投資家が入れない水準。情報伝達・バリュエーション修正が遅い構造的問題</w:t>
      </w:r>
    </w:p>
    <w:p/>
    <w:p>
      <w:r>
        <w:t>──────────────────────────────────────────────────</w:t>
      </w:r>
    </w:p>
    <w:p/>
    <w:p>
      <w:pPr>
        <w:pStyle w:val="Heading2"/>
      </w:pPr>
      <w:r>
        <w:rPr>
          <w:rFonts w:ascii="Meiryo UI" w:hAnsi="Meiryo UI"/>
          <w:color w:val="2E74B5"/>
        </w:rPr>
        <w:t>10. ガイダンス発表考察（4/28決算向け）— 最重要イベント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判定根拠</w:t>
            </w:r>
          </w:p>
        </w:tc>
      </w:tr>
      <w:tr>
        <w:tc>
          <w:tcPr>
            <w:tcW w:type="dxa" w:w="4703"/>
          </w:tcPr>
          <w:p>
            <w:r>
              <w:rPr>
                <w:rFonts w:ascii="Meiryo UI" w:hAnsi="Meiryo UI"/>
                <w:sz w:val="18"/>
              </w:rPr>
              <w:t>FY2026通期着地</w:t>
            </w:r>
          </w:p>
        </w:tc>
        <w:tc>
          <w:tcPr>
            <w:tcW w:type="dxa" w:w="4703"/>
          </w:tcPr>
          <w:p>
            <w:r>
              <w:rPr>
                <w:rFonts w:ascii="Meiryo UI" w:hAnsi="Meiryo UI"/>
                <w:sz w:val="18"/>
              </w:rPr>
              <w:t>最大の不確実性。Q4でOP¥7.92億必要（Q1-3平均の2.6倍）。3月期末季節性が鍵</w:t>
            </w:r>
          </w:p>
        </w:tc>
      </w:tr>
      <w:tr>
        <w:tc>
          <w:tcPr>
            <w:tcW w:type="dxa" w:w="4703"/>
            <w:shd w:val="clear" w:color="auto" w:fill="DDEBF7"/>
          </w:tcPr>
          <w:p>
            <w:r>
              <w:rPr>
                <w:rFonts w:ascii="Meiryo UI" w:hAnsi="Meiryo UI"/>
                <w:sz w:val="18"/>
              </w:rPr>
              <w:t>来期FY2027ガイダンス</w:t>
            </w:r>
          </w:p>
        </w:tc>
        <w:tc>
          <w:tcPr>
            <w:tcW w:type="dxa" w:w="4703"/>
            <w:shd w:val="clear" w:color="auto" w:fill="DDEBF7"/>
          </w:tcPr>
          <w:p>
            <w:r>
              <w:rPr>
                <w:rFonts w:ascii="Meiryo UI" w:hAnsi="Meiryo UI"/>
                <w:sz w:val="18"/>
              </w:rPr>
              <w:t>保守的と予想。同社は堅めのガイダンスを出す傾向（スタンダード市場・保守経営）。上振れ余地あり</w:t>
            </w:r>
          </w:p>
        </w:tc>
      </w:tr>
      <w:tr>
        <w:tc>
          <w:tcPr>
            <w:tcW w:type="dxa" w:w="4703"/>
          </w:tcPr>
          <w:p>
            <w:r>
              <w:rPr>
                <w:rFonts w:ascii="Meiryo UI" w:hAnsi="Meiryo UI"/>
                <w:sz w:val="18"/>
              </w:rPr>
              <w:t>増配可能性</w:t>
            </w:r>
          </w:p>
        </w:tc>
        <w:tc>
          <w:tcPr>
            <w:tcW w:type="dxa" w:w="4703"/>
          </w:tcPr>
          <w:p>
            <w:r>
              <w:rPr>
                <w:rFonts w:ascii="Meiryo UI" w:hAnsi="Meiryo UI"/>
                <w:sz w:val="18"/>
              </w:rPr>
              <w:t>高い。現金¥28.7億保有・配当性向28.1%。「PBR1倍割れ改善策」として増配は最も即効性がある</w:t>
            </w:r>
          </w:p>
        </w:tc>
      </w:tr>
      <w:tr>
        <w:tc>
          <w:tcPr>
            <w:tcW w:type="dxa" w:w="4703"/>
            <w:shd w:val="clear" w:color="auto" w:fill="DDEBF7"/>
          </w:tcPr>
          <w:p>
            <w:r>
              <w:rPr>
                <w:rFonts w:ascii="Meiryo UI" w:hAnsi="Meiryo UI"/>
                <w:sz w:val="18"/>
              </w:rPr>
              <w:t>自社株買い発表</w:t>
            </w:r>
          </w:p>
        </w:tc>
        <w:tc>
          <w:tcPr>
            <w:tcW w:type="dxa" w:w="4703"/>
            <w:shd w:val="clear" w:color="auto" w:fill="DDEBF7"/>
          </w:tcPr>
          <w:p>
            <w:r>
              <w:rPr>
                <w:rFonts w:ascii="Meiryo UI" w:hAnsi="Meiryo UI"/>
                <w:sz w:val="18"/>
              </w:rPr>
              <w:t>サプライズ候補。発表されれば低流動性株特性上、株価インパクトが大きい</w:t>
            </w:r>
          </w:p>
        </w:tc>
      </w:tr>
    </w:tbl>
    <w:p/>
    <w:p>
      <w:r>
        <w:rPr>
          <w:rFonts w:ascii="Meiryo UI" w:hAnsi="Meiryo UI"/>
          <w:sz w:val="20"/>
        </w:rPr>
        <w:t>4/28は「数字 + 株主還元策」のセットが出るかが分岐点。</w:t>
      </w:r>
    </w:p>
    <w:p/>
    <w:p>
      <w:r>
        <w:t>──────────────────────────────────────────────────</w:t>
      </w:r>
    </w:p>
    <w:p/>
    <w:p>
      <w:pPr>
        <w:pStyle w:val="Heading2"/>
      </w:pPr>
      <w:r>
        <w:rPr>
          <w:rFonts w:ascii="Meiryo UI" w:hAnsi="Meiryo UI"/>
          <w:color w:val="2E74B5"/>
        </w:rPr>
        <w:t>11. 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BUY（優先度2）— 4/28決算条件付き</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¥1,020</w:t>
            </w:r>
          </w:p>
        </w:tc>
      </w:tr>
      <w:tr>
        <w:tc>
          <w:tcPr>
            <w:tcW w:type="dxa" w:w="4703"/>
          </w:tcPr>
          <w:p>
            <w:r>
              <w:rPr>
                <w:rFonts w:ascii="Meiryo UI" w:hAnsi="Meiryo UI"/>
                <w:sz w:val="18"/>
              </w:rPr>
              <w:t>目標株価（ベース）</w:t>
            </w:r>
          </w:p>
        </w:tc>
        <w:tc>
          <w:tcPr>
            <w:tcW w:type="dxa" w:w="4703"/>
          </w:tcPr>
          <w:p>
            <w:r>
              <w:rPr>
                <w:rFonts w:ascii="Meiryo UI" w:hAnsi="Meiryo UI"/>
                <w:sz w:val="18"/>
              </w:rPr>
              <w:t>¥1,066（+4.5%）4/28決算通過後</w:t>
            </w:r>
          </w:p>
        </w:tc>
      </w:tr>
      <w:tr>
        <w:tc>
          <w:tcPr>
            <w:tcW w:type="dxa" w:w="4703"/>
            <w:shd w:val="clear" w:color="auto" w:fill="DDEBF7"/>
          </w:tcPr>
          <w:p>
            <w:r>
              <w:rPr>
                <w:rFonts w:ascii="Meiryo UI" w:hAnsi="Meiryo UI"/>
                <w:sz w:val="18"/>
              </w:rPr>
              <w:t>目標株価（強気）</w:t>
            </w:r>
          </w:p>
        </w:tc>
        <w:tc>
          <w:tcPr>
            <w:tcW w:type="dxa" w:w="4703"/>
            <w:shd w:val="clear" w:color="auto" w:fill="DDEBF7"/>
          </w:tcPr>
          <w:p>
            <w:r>
              <w:rPr>
                <w:rFonts w:ascii="Meiryo UI" w:hAnsi="Meiryo UI"/>
                <w:sz w:val="18"/>
              </w:rPr>
              <w:t>¥1,226（+20.2%）自社株買い・増配発表時</w:t>
            </w:r>
          </w:p>
        </w:tc>
      </w:tr>
      <w:tr>
        <w:tc>
          <w:tcPr>
            <w:tcW w:type="dxa" w:w="4703"/>
          </w:tcPr>
          <w:p>
            <w:r>
              <w:rPr>
                <w:rFonts w:ascii="Meiryo UI" w:hAnsi="Meiryo UI"/>
                <w:sz w:val="18"/>
              </w:rPr>
              <w:t>ストップロス</w:t>
            </w:r>
          </w:p>
        </w:tc>
        <w:tc>
          <w:tcPr>
            <w:tcW w:type="dxa" w:w="4703"/>
          </w:tcPr>
          <w:p>
            <w:r>
              <w:rPr>
                <w:rFonts w:ascii="Meiryo UI" w:hAnsi="Meiryo UI"/>
                <w:sz w:val="18"/>
              </w:rPr>
              <w:t>¥824（-19.2%）FY2026計画大幅未達時</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4/28前に打診買い → Q4確認後に本建て判断</w:t>
            </w:r>
          </w:p>
        </w:tc>
      </w:tr>
      <w:tr>
        <w:tc>
          <w:tcPr>
            <w:tcW w:type="dxa" w:w="4703"/>
          </w:tcPr>
          <w:p>
            <w:r>
              <w:rPr>
                <w:rFonts w:ascii="Meiryo UI" w:hAnsi="Meiryo UI"/>
                <w:sz w:val="18"/>
              </w:rPr>
              <w:t>次の確認日</w:t>
            </w:r>
          </w:p>
        </w:tc>
        <w:tc>
          <w:tcPr>
            <w:tcW w:type="dxa" w:w="4703"/>
          </w:tcPr>
          <w:p>
            <w:r>
              <w:rPr>
                <w:rFonts w:ascii="Meiryo UI" w:hAnsi="Meiryo UI"/>
                <w:sz w:val="18"/>
              </w:rPr>
              <w:t>4/28（決算）: Q4進捗・来期ガイダンス・株主還元策が鍵</w:t>
            </w:r>
          </w:p>
        </w:tc>
      </w:tr>
      <w:tr>
        <w:tc>
          <w:tcPr>
            <w:tcW w:type="dxa" w:w="4703"/>
            <w:shd w:val="clear" w:color="auto" w:fill="DDEBF7"/>
          </w:tcPr>
          <w:p>
            <w:r>
              <w:rPr>
                <w:rFonts w:ascii="Meiryo UI" w:hAnsi="Meiryo UI"/>
                <w:sz w:val="18"/>
              </w:rPr>
              <w:t>リスク/リターン</w:t>
            </w:r>
          </w:p>
        </w:tc>
        <w:tc>
          <w:tcPr>
            <w:tcW w:type="dxa" w:w="4703"/>
            <w:shd w:val="clear" w:color="auto" w:fill="DDEBF7"/>
          </w:tcPr>
          <w:p>
            <w:r>
              <w:rPr>
                <w:rFonts w:ascii="Meiryo UI" w:hAnsi="Meiryo UI"/>
                <w:sz w:val="18"/>
              </w:rPr>
              <w:t>1:1.1（ベース）/ 1:2.5（強気シナリオ）</w:t>
            </w:r>
          </w:p>
        </w:tc>
      </w:tr>
    </w:tbl>
    <w:p/>
    <w:p>
      <w:pPr>
        <w:shd w:val="clear" w:color="auto" w:fill="F2F2F2"/>
      </w:pPr>
      <w:r>
        <w:rPr>
          <w:rFonts w:ascii="Courier New" w:hAnsi="Courier New"/>
          <w:sz w:val="16"/>
        </w:rPr>
        <w:t>【投資ストーリー要約】</w:t>
        <w:br/>
        <w:br/>
        <w:t>時価総額¥120億・PBR0.96x・自己資本比率86.1%。</w:t>
        <w:br/>
        <w:br/>
        <w:t>「BPS¥1,066に対して株価¥1,020」という物理的な割安が起点。</w:t>
        <w:br/>
        <w:t>現金¥28.7億（時価総額の24%）が丸ごとバリューとして埋もれている。</w:t>
        <w:br/>
        <w:br/>
        <w:t>最大のリスクは4/28のQ4確認。</w:t>
        <w:br/>
        <w:t>Q4が計画通り（¥7.92億）なら→ PBR1.0x達成+増配余地でBUY確定。</w:t>
        <w:br/>
        <w:t>Q4が大幅未達なら→ 即撤退。</w:t>
        <w:br/>
        <w:br/>
        <w:t>「打診買いして決算で判断する」2段階アプローチが合理的。</w:t>
        <w:br/>
        <w:t>スタンダード市場の低流動性を逆手に取り、</w:t>
        <w:br/>
        <w:t>機関投資家が入れない水準でのバリュー発掘というポジショニング。</w:t>
      </w:r>
    </w:p>
    <w:p/>
    <w:p>
      <w:r>
        <w:t>──────────────────────────────────────────────────</w:t>
      </w:r>
    </w:p>
    <w:p/>
    <w:p>
      <w:r>
        <w:rPr>
          <w:rFonts w:ascii="Meiryo UI" w:hAnsi="Meiryo UI"/>
          <w:sz w:val="20"/>
        </w:rPr>
        <w:t>作成: AI浅井（深井 Deep Research担当）2026-04-10</w:t>
      </w:r>
    </w:p>
    <w:p/>
    <w:p>
      <w:r>
        <w:rPr>
          <w:rFonts w:ascii="Meiryo UI" w:hAnsi="Meiryo UI"/>
          <w:sz w:val="20"/>
        </w:rPr>
        <w:t>Sources:</w:t>
      </w:r>
    </w:p>
    <w:p>
      <w:pPr>
        <w:pStyle w:val="ListBullet"/>
      </w:pPr>
      <w:r>
        <w:rPr>
          <w:rFonts w:ascii="Meiryo UI" w:hAnsi="Meiryo UI"/>
          <w:sz w:val="20"/>
        </w:rPr>
        <w:t>[エスティック IR](https://www.estic.co.jp/ir/)</w:t>
      </w:r>
    </w:p>
    <w:p>
      <w:pPr>
        <w:pStyle w:val="ListBullet"/>
      </w:pPr>
      <w:r>
        <w:rPr>
          <w:rFonts w:ascii="Meiryo UI" w:hAnsi="Meiryo UI"/>
          <w:sz w:val="20"/>
        </w:rPr>
        <w:t>[Yahoo Finance 6161](https://finance.yahoo.co.jp/quote/6161.T/financials)</w:t>
      </w:r>
    </w:p>
    <w:p>
      <w:pPr>
        <w:pStyle w:val="ListBullet"/>
      </w:pPr>
      <w:r>
        <w:rPr>
          <w:rFonts w:ascii="Meiryo UI" w:hAnsi="Meiryo UI"/>
          <w:sz w:val="20"/>
        </w:rPr>
        <w:t>[IRBANK 6161](https://irbank.net/6161/ir)</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