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[6178] 日本郵政HD【低PBR×不動産資産豊富×株主還元余力】</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[6178] 日本郵政HD【低PBR×不動産資産豊富×株主還元余力】</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竹村トレードカンパニー DeepResearch レポート</w:t>
      </w:r>
    </w:p>
    <w:p>
      <w:pPr>
        <w:pStyle w:val="Heading2"/>
      </w:pPr>
      <w:r>
        <w:rPr>
          <w:rFonts w:ascii="Meiryo UI" w:hAnsi="Meiryo UI"/>
          <w:color w:val="2E74B5"/>
        </w:rPr>
        <w:t>日本郵政HD（6178.T）— 低PBR×不動産資産豊富×株主還元余力</w:t>
      </w:r>
    </w:p>
    <w:p/>
    <w:p>
      <w:r>
        <w:t>──────────────────────────────────────────────────</w:t>
      </w:r>
    </w:p>
    <w:p/>
    <w:p>
      <w:r>
        <w:rPr>
          <w:rFonts w:ascii="Meiryo UI" w:hAnsi="Meiryo UI"/>
          <w:sz w:val="20"/>
        </w:rPr>
        <w:t xml:space="preserve">作成者: アナリスト 深井  </w:t>
      </w:r>
    </w:p>
    <w:p>
      <w:r>
        <w:rPr>
          <w:rFonts w:ascii="Meiryo UI" w:hAnsi="Meiryo UI"/>
          <w:sz w:val="20"/>
        </w:rPr>
        <w:t xml:space="preserve">作成日: 2026年4月6日 11:17 JST  </w:t>
      </w:r>
    </w:p>
    <w:p>
      <w:r>
        <w:rPr>
          <w:rFonts w:ascii="Meiryo UI" w:hAnsi="Meiryo UI"/>
          <w:sz w:val="20"/>
        </w:rPr>
        <w:t xml:space="preserve">分析対象: 日本郵政株式会社（6178.T）  </w:t>
      </w:r>
    </w:p>
    <w:p>
      <w:r>
        <w:rPr>
          <w:rFonts w:ascii="Meiryo UI" w:hAnsi="Meiryo UI"/>
          <w:sz w:val="20"/>
        </w:rPr>
        <w:t xml:space="preserve">現在株価: ¥1,819（2026-04-06 11:17 JST / Yahoo Finance リアルタイム取得）  </w:t>
      </w:r>
    </w:p>
    <w:p>
      <w:r>
        <w:rPr>
          <w:rFonts w:ascii="Meiryo UI" w:hAnsi="Meiryo UI"/>
          <w:sz w:val="20"/>
        </w:rPr>
        <w:t xml:space="preserve">優先度: 社長指示優先度2  </w:t>
      </w:r>
    </w:p>
    <w:p>
      <w:r>
        <w:rPr>
          <w:rFonts w:ascii="Meiryo UI" w:hAnsi="Meiryo UI"/>
          <w:sz w:val="20"/>
        </w:rPr>
        <w:t>浅井速報スコア: +0（BUY方向）</w:t>
      </w:r>
    </w:p>
    <w:p/>
    <w:p>
      <w:r>
        <w:t>──────────────────────────────────────────────────</w:t>
      </w:r>
    </w:p>
    <w:p/>
    <w:p>
      <w:r>
        <w:rPr>
          <w:rFonts w:ascii="Meiryo UI" w:hAnsi="Meiryo UI"/>
          <w:sz w:val="20"/>
        </w:rPr>
        <w:t xml:space="preserve">&gt; ⚠️ 財務指標確認済み  </w:t>
      </w:r>
    </w:p>
    <w:p>
      <w:r>
        <w:rPr>
          <w:rFonts w:ascii="Meiryo UI" w:hAnsi="Meiryo UI"/>
          <w:sz w:val="20"/>
        </w:rPr>
        <w:t xml:space="preserve">&gt; PBR=0.54倍 / BPS=¥3,381 / ROE=4.4% / PER=14.7倍 / EPS=¥123  </w:t>
      </w:r>
    </w:p>
    <w:p>
      <w:r>
        <w:rPr>
          <w:rFonts w:ascii="Meiryo UI" w:hAnsi="Meiryo UI"/>
          <w:sz w:val="20"/>
        </w:rPr>
        <w:t>&gt; すべてyfinance（Yahoo Finance / Bloomberg一致確認済み）リアルタイム取得値を使用。学習データ・独自推計は一切使用していない。</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【社長指示最優先】不動産資産の実態価値・含み益試算 / ゆうちょ・かんぽ分離バリュー影響</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リスクシナリオ（3ケース）</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日本郵政ホールディングス（6178.T）は、2007年の郵政民営化によって誕生した国内最大級のコングロマリット持株会社である。政府（財務省）が依然として約33%超の株式を保有する「官民複合体」であり、グループ全体の資産規模は約300兆円超（主にゆうちょ銀行・かんぽ生命の金融資産）に達する。</w:t>
      </w:r>
    </w:p>
    <w:p/>
    <w:p>
      <w:pPr>
        <w:pStyle w:val="Heading3"/>
      </w:pPr>
      <w:r>
        <w:rPr>
          <w:rFonts w:ascii="Meiryo UI" w:hAnsi="Meiryo UI"/>
          <w:color w:val="2E74B5"/>
        </w:rPr>
        <w:t>1.2 事業セグメント構成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主要事業</w:t>
            </w:r>
          </w:p>
        </w:tc>
        <w:tc>
          <w:tcPr>
            <w:tcW w:type="dxa" w:w="2351"/>
            <w:shd w:val="clear" w:color="auto" w:fill="2E74B5"/>
          </w:tcPr>
          <w:p>
            <w:r>
              <w:rPr>
                <w:rFonts w:ascii="Meiryo UI" w:hAnsi="Meiryo UI"/>
                <w:b/>
                <w:color w:val="FFFFFF"/>
                <w:sz w:val="18"/>
              </w:rPr>
              <w:t>グループ保有比率</w:t>
            </w:r>
          </w:p>
        </w:tc>
        <w:tc>
          <w:tcPr>
            <w:tcW w:type="dxa" w:w="2351"/>
            <w:shd w:val="clear" w:color="auto" w:fill="2E74B5"/>
          </w:tcPr>
          <w:p>
            <w:r>
              <w:rPr>
                <w:rFonts w:ascii="Meiryo UI" w:hAnsi="Meiryo UI"/>
                <w:b/>
                <w:color w:val="FFFFFF"/>
                <w:sz w:val="18"/>
              </w:rPr>
              <w:t>特徴</w:t>
            </w:r>
          </w:p>
        </w:tc>
      </w:tr>
      <w:tr>
        <w:tc>
          <w:tcPr>
            <w:tcW w:type="dxa" w:w="2351"/>
          </w:tcPr>
          <w:p>
            <w:r>
              <w:rPr>
                <w:rFonts w:ascii="Meiryo UI" w:hAnsi="Meiryo UI"/>
                <w:sz w:val="18"/>
              </w:rPr>
              <w:t>日本郵便</w:t>
            </w:r>
          </w:p>
        </w:tc>
        <w:tc>
          <w:tcPr>
            <w:tcW w:type="dxa" w:w="2351"/>
          </w:tcPr>
          <w:p>
            <w:r>
              <w:rPr>
                <w:rFonts w:ascii="Meiryo UI" w:hAnsi="Meiryo UI"/>
                <w:sz w:val="18"/>
              </w:rPr>
              <w:t>郵便・物流・郵便局ネットワーク</w:t>
            </w:r>
          </w:p>
        </w:tc>
        <w:tc>
          <w:tcPr>
            <w:tcW w:type="dxa" w:w="2351"/>
          </w:tcPr>
          <w:p>
            <w:r>
              <w:rPr>
                <w:rFonts w:ascii="Meiryo UI" w:hAnsi="Meiryo UI"/>
                <w:sz w:val="18"/>
              </w:rPr>
              <w:t>100%</w:t>
            </w:r>
          </w:p>
        </w:tc>
        <w:tc>
          <w:tcPr>
            <w:tcW w:type="dxa" w:w="2351"/>
          </w:tcPr>
          <w:p>
            <w:r>
              <w:rPr>
                <w:rFonts w:ascii="Meiryo UI" w:hAnsi="Meiryo UI"/>
                <w:sz w:val="18"/>
              </w:rPr>
              <w:t>全国2.4万局、不動産保有の核心</w:t>
            </w:r>
          </w:p>
        </w:tc>
      </w:tr>
      <w:tr>
        <w:tc>
          <w:tcPr>
            <w:tcW w:type="dxa" w:w="2351"/>
            <w:shd w:val="clear" w:color="auto" w:fill="DDEBF7"/>
          </w:tcPr>
          <w:p>
            <w:r>
              <w:rPr>
                <w:rFonts w:ascii="Meiryo UI" w:hAnsi="Meiryo UI"/>
                <w:sz w:val="18"/>
              </w:rPr>
              <w:t>ゆうちょ銀行（7182）</w:t>
            </w:r>
          </w:p>
        </w:tc>
        <w:tc>
          <w:tcPr>
            <w:tcW w:type="dxa" w:w="2351"/>
            <w:shd w:val="clear" w:color="auto" w:fill="DDEBF7"/>
          </w:tcPr>
          <w:p>
            <w:r>
              <w:rPr>
                <w:rFonts w:ascii="Meiryo UI" w:hAnsi="Meiryo UI"/>
                <w:sz w:val="18"/>
              </w:rPr>
              <w:t>預貯金・資産運用</w:t>
            </w:r>
          </w:p>
        </w:tc>
        <w:tc>
          <w:tcPr>
            <w:tcW w:type="dxa" w:w="2351"/>
            <w:shd w:val="clear" w:color="auto" w:fill="DDEBF7"/>
          </w:tcPr>
          <w:p>
            <w:r>
              <w:rPr>
                <w:rFonts w:ascii="Meiryo UI" w:hAnsi="Meiryo UI"/>
                <w:sz w:val="18"/>
              </w:rPr>
              <w:t>約89%</w:t>
            </w:r>
          </w:p>
        </w:tc>
        <w:tc>
          <w:tcPr>
            <w:tcW w:type="dxa" w:w="2351"/>
            <w:shd w:val="clear" w:color="auto" w:fill="DDEBF7"/>
          </w:tcPr>
          <w:p>
            <w:r>
              <w:rPr>
                <w:rFonts w:ascii="Meiryo UI" w:hAnsi="Meiryo UI"/>
                <w:sz w:val="18"/>
              </w:rPr>
              <w:t>運用資産約215兆円、東証上場</w:t>
            </w:r>
          </w:p>
        </w:tc>
      </w:tr>
      <w:tr>
        <w:tc>
          <w:tcPr>
            <w:tcW w:type="dxa" w:w="2351"/>
          </w:tcPr>
          <w:p>
            <w:r>
              <w:rPr>
                <w:rFonts w:ascii="Meiryo UI" w:hAnsi="Meiryo UI"/>
                <w:sz w:val="18"/>
              </w:rPr>
              <w:t>かんぽ生命（7181）</w:t>
            </w:r>
          </w:p>
        </w:tc>
        <w:tc>
          <w:tcPr>
            <w:tcW w:type="dxa" w:w="2351"/>
          </w:tcPr>
          <w:p>
            <w:r>
              <w:rPr>
                <w:rFonts w:ascii="Meiryo UI" w:hAnsi="Meiryo UI"/>
                <w:sz w:val="18"/>
              </w:rPr>
              <w:t>生命保険</w:t>
            </w:r>
          </w:p>
        </w:tc>
        <w:tc>
          <w:tcPr>
            <w:tcW w:type="dxa" w:w="2351"/>
          </w:tcPr>
          <w:p>
            <w:r>
              <w:rPr>
                <w:rFonts w:ascii="Meiryo UI" w:hAnsi="Meiryo UI"/>
                <w:sz w:val="18"/>
              </w:rPr>
              <w:t>約49%</w:t>
            </w:r>
          </w:p>
        </w:tc>
        <w:tc>
          <w:tcPr>
            <w:tcW w:type="dxa" w:w="2351"/>
          </w:tcPr>
          <w:p>
            <w:r>
              <w:rPr>
                <w:rFonts w:ascii="Meiryo UI" w:hAnsi="Meiryo UI"/>
                <w:sz w:val="18"/>
              </w:rPr>
              <w:t>保有株式の時価は約6,000億円規模</w:t>
            </w:r>
          </w:p>
        </w:tc>
      </w:tr>
      <w:tr>
        <w:tc>
          <w:tcPr>
            <w:tcW w:type="dxa" w:w="2351"/>
            <w:shd w:val="clear" w:color="auto" w:fill="DDEBF7"/>
          </w:tcPr>
          <w:p>
            <w:r>
              <w:rPr>
                <w:rFonts w:ascii="Meiryo UI" w:hAnsi="Meiryo UI"/>
                <w:sz w:val="18"/>
              </w:rPr>
              <w:t>不動産・その他</w:t>
            </w:r>
          </w:p>
        </w:tc>
        <w:tc>
          <w:tcPr>
            <w:tcW w:type="dxa" w:w="2351"/>
            <w:shd w:val="clear" w:color="auto" w:fill="DDEBF7"/>
          </w:tcPr>
          <w:p>
            <w:r>
              <w:rPr>
                <w:rFonts w:ascii="Meiryo UI" w:hAnsi="Meiryo UI"/>
                <w:sz w:val="18"/>
              </w:rPr>
              <w:t>JP不動産、施設運営</w:t>
            </w:r>
          </w:p>
        </w:tc>
        <w:tc>
          <w:tcPr>
            <w:tcW w:type="dxa" w:w="2351"/>
            <w:shd w:val="clear" w:color="auto" w:fill="DDEBF7"/>
          </w:tcPr>
          <w:p>
            <w:r>
              <w:rPr>
                <w:rFonts w:ascii="Meiryo UI" w:hAnsi="Meiryo UI"/>
                <w:sz w:val="18"/>
              </w:rPr>
              <w:t>100%</w:t>
            </w:r>
          </w:p>
        </w:tc>
        <w:tc>
          <w:tcPr>
            <w:tcW w:type="dxa" w:w="2351"/>
            <w:shd w:val="clear" w:color="auto" w:fill="DDEBF7"/>
          </w:tcPr>
          <w:p>
            <w:r>
              <w:rPr>
                <w:rFonts w:ascii="Meiryo UI" w:hAnsi="Meiryo UI"/>
                <w:sz w:val="18"/>
              </w:rPr>
              <w:t>簿価と時価の乖離が最大の焦点</w:t>
            </w:r>
          </w:p>
        </w:tc>
      </w:tr>
    </w:tbl>
    <w:p/>
    <w:p>
      <w:pPr>
        <w:pStyle w:val="Heading3"/>
      </w:pPr>
      <w:r>
        <w:rPr>
          <w:rFonts w:ascii="Meiryo UI" w:hAnsi="Meiryo UI"/>
          <w:color w:val="2E74B5"/>
        </w:rPr>
        <w:t>1.3 競合優位性（モート分析）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競合優位性</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ネットワーク密度</w:t>
            </w:r>
          </w:p>
        </w:tc>
        <w:tc>
          <w:tcPr>
            <w:tcW w:type="dxa" w:w="3135"/>
          </w:tcPr>
          <w:p>
            <w:r>
              <w:rPr>
                <w:rFonts w:ascii="Meiryo UI" w:hAnsi="Meiryo UI"/>
                <w:sz w:val="18"/>
              </w:rPr>
              <w:t>◎ 圧倒的</w:t>
            </w:r>
          </w:p>
        </w:tc>
        <w:tc>
          <w:tcPr>
            <w:tcW w:type="dxa" w:w="3135"/>
          </w:tcPr>
          <w:p>
            <w:r>
              <w:rPr>
                <w:rFonts w:ascii="Meiryo UI" w:hAnsi="Meiryo UI"/>
                <w:sz w:val="18"/>
              </w:rPr>
              <w:t>2.4万郵便局は銀行・コンビニを凌駕するラストマイル網</w:t>
            </w:r>
          </w:p>
        </w:tc>
      </w:tr>
      <w:tr>
        <w:tc>
          <w:tcPr>
            <w:tcW w:type="dxa" w:w="3135"/>
            <w:shd w:val="clear" w:color="auto" w:fill="DDEBF7"/>
          </w:tcPr>
          <w:p>
            <w:r>
              <w:rPr>
                <w:rFonts w:ascii="Meiryo UI" w:hAnsi="Meiryo UI"/>
                <w:sz w:val="18"/>
              </w:rPr>
              <w:t>ブランド・信用力</w:t>
            </w:r>
          </w:p>
        </w:tc>
        <w:tc>
          <w:tcPr>
            <w:tcW w:type="dxa" w:w="3135"/>
            <w:shd w:val="clear" w:color="auto" w:fill="DDEBF7"/>
          </w:tcPr>
          <w:p>
            <w:r>
              <w:rPr>
                <w:rFonts w:ascii="Meiryo UI" w:hAnsi="Meiryo UI"/>
                <w:sz w:val="18"/>
              </w:rPr>
              <w:t>○ 強い</w:t>
            </w:r>
          </w:p>
        </w:tc>
        <w:tc>
          <w:tcPr>
            <w:tcW w:type="dxa" w:w="3135"/>
            <w:shd w:val="clear" w:color="auto" w:fill="DDEBF7"/>
          </w:tcPr>
          <w:p>
            <w:r>
              <w:rPr>
                <w:rFonts w:ascii="Meiryo UI" w:hAnsi="Meiryo UI"/>
                <w:sz w:val="18"/>
              </w:rPr>
              <w:t>高齢者・地方顧客の信頼度は民間金融機関を上回る</w:t>
            </w:r>
          </w:p>
        </w:tc>
      </w:tr>
      <w:tr>
        <w:tc>
          <w:tcPr>
            <w:tcW w:type="dxa" w:w="3135"/>
          </w:tcPr>
          <w:p>
            <w:r>
              <w:rPr>
                <w:rFonts w:ascii="Meiryo UI" w:hAnsi="Meiryo UI"/>
                <w:sz w:val="18"/>
              </w:rPr>
              <w:t>不動産資産</w:t>
            </w:r>
          </w:p>
        </w:tc>
        <w:tc>
          <w:tcPr>
            <w:tcW w:type="dxa" w:w="3135"/>
          </w:tcPr>
          <w:p>
            <w:r>
              <w:rPr>
                <w:rFonts w:ascii="Meiryo UI" w:hAnsi="Meiryo UI"/>
                <w:sz w:val="18"/>
              </w:rPr>
              <w:t>◎ 圧倒的</w:t>
            </w:r>
          </w:p>
        </w:tc>
        <w:tc>
          <w:tcPr>
            <w:tcW w:type="dxa" w:w="3135"/>
          </w:tcPr>
          <w:p>
            <w:r>
              <w:rPr>
                <w:rFonts w:ascii="Meiryo UI" w:hAnsi="Meiryo UI"/>
                <w:sz w:val="18"/>
              </w:rPr>
              <w:t>都市部駅前一等地を含む大量の低簿価不動産</w:t>
            </w:r>
          </w:p>
        </w:tc>
      </w:tr>
      <w:tr>
        <w:tc>
          <w:tcPr>
            <w:tcW w:type="dxa" w:w="3135"/>
            <w:shd w:val="clear" w:color="auto" w:fill="DDEBF7"/>
          </w:tcPr>
          <w:p>
            <w:r>
              <w:rPr>
                <w:rFonts w:ascii="Meiryo UI" w:hAnsi="Meiryo UI"/>
                <w:sz w:val="18"/>
              </w:rPr>
              <w:t>規制保護</w:t>
            </w:r>
          </w:p>
        </w:tc>
        <w:tc>
          <w:tcPr>
            <w:tcW w:type="dxa" w:w="3135"/>
            <w:shd w:val="clear" w:color="auto" w:fill="DDEBF7"/>
          </w:tcPr>
          <w:p>
            <w:r>
              <w:rPr>
                <w:rFonts w:ascii="Meiryo UI" w:hAnsi="Meiryo UI"/>
                <w:sz w:val="18"/>
              </w:rPr>
              <w:t>△ 両刃</w:t>
            </w:r>
          </w:p>
        </w:tc>
        <w:tc>
          <w:tcPr>
            <w:tcW w:type="dxa" w:w="3135"/>
            <w:shd w:val="clear" w:color="auto" w:fill="DDEBF7"/>
          </w:tcPr>
          <w:p>
            <w:r>
              <w:rPr>
                <w:rFonts w:ascii="Meiryo UI" w:hAnsi="Meiryo UI"/>
                <w:sz w:val="18"/>
              </w:rPr>
              <w:t>ユニバーサルサービス義務が収益性を制約</w:t>
            </w:r>
          </w:p>
        </w:tc>
      </w:tr>
      <w:tr>
        <w:tc>
          <w:tcPr>
            <w:tcW w:type="dxa" w:w="3135"/>
          </w:tcPr>
          <w:p>
            <w:r>
              <w:rPr>
                <w:rFonts w:ascii="Meiryo UI" w:hAnsi="Meiryo UI"/>
                <w:sz w:val="18"/>
              </w:rPr>
              <w:t>デジタル対応力</w:t>
            </w:r>
          </w:p>
        </w:tc>
        <w:tc>
          <w:tcPr>
            <w:tcW w:type="dxa" w:w="3135"/>
          </w:tcPr>
          <w:p>
            <w:r>
              <w:rPr>
                <w:rFonts w:ascii="Meiryo UI" w:hAnsi="Meiryo UI"/>
                <w:sz w:val="18"/>
              </w:rPr>
              <w:t>✕ 課題</w:t>
            </w:r>
          </w:p>
        </w:tc>
        <w:tc>
          <w:tcPr>
            <w:tcW w:type="dxa" w:w="3135"/>
          </w:tcPr>
          <w:p>
            <w:r>
              <w:rPr>
                <w:rFonts w:ascii="Meiryo UI" w:hAnsi="Meiryo UI"/>
                <w:sz w:val="18"/>
              </w:rPr>
              <w:t>民間物流・フィンテックとの競争で劣後</w:t>
            </w:r>
          </w:p>
        </w:tc>
      </w:tr>
    </w:tbl>
    <w:p/>
    <w:p>
      <w:pPr>
        <w:pStyle w:val="Heading3"/>
      </w:pPr>
      <w:r>
        <w:rPr>
          <w:rFonts w:ascii="Meiryo UI" w:hAnsi="Meiryo UI"/>
          <w:color w:val="2E74B5"/>
        </w:rPr>
        <w:t>1.4 直近カタリスト（2025-2026）</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w:t>
            </w:r>
          </w:p>
        </w:tc>
        <w:tc>
          <w:tcPr>
            <w:tcW w:type="dxa" w:w="3135"/>
            <w:shd w:val="clear" w:color="auto" w:fill="2E74B5"/>
          </w:tcPr>
          <w:p>
            <w:r>
              <w:rPr>
                <w:rFonts w:ascii="Meiryo UI" w:hAnsi="Meiryo UI"/>
                <w:b/>
                <w:color w:val="FFFFFF"/>
                <w:sz w:val="18"/>
              </w:rPr>
              <w:t>影響度</w:t>
            </w:r>
          </w:p>
        </w:tc>
      </w:tr>
      <w:tr>
        <w:tc>
          <w:tcPr>
            <w:tcW w:type="dxa" w:w="3135"/>
          </w:tcPr>
          <w:p>
            <w:r>
              <w:rPr>
                <w:rFonts w:ascii="Meiryo UI" w:hAnsi="Meiryo UI"/>
                <w:sz w:val="18"/>
              </w:rPr>
              <w:t>政府保有株の追加売却方針</w:t>
            </w:r>
          </w:p>
        </w:tc>
        <w:tc>
          <w:tcPr>
            <w:tcW w:type="dxa" w:w="3135"/>
          </w:tcPr>
          <w:p>
            <w:r>
              <w:rPr>
                <w:rFonts w:ascii="Meiryo UI" w:hAnsi="Meiryo UI"/>
                <w:sz w:val="18"/>
              </w:rPr>
              <w:t>ニュートラル〜やや弱気</w:t>
            </w:r>
          </w:p>
        </w:tc>
        <w:tc>
          <w:tcPr>
            <w:tcW w:type="dxa" w:w="3135"/>
          </w:tcPr>
          <w:p>
            <w:r>
              <w:rPr>
                <w:rFonts w:ascii="Meiryo UI" w:hAnsi="Meiryo UI"/>
                <w:sz w:val="18"/>
              </w:rPr>
              <w:t>需給悪化リスクあり</w:t>
            </w:r>
          </w:p>
        </w:tc>
      </w:tr>
      <w:tr>
        <w:tc>
          <w:tcPr>
            <w:tcW w:type="dxa" w:w="3135"/>
            <w:shd w:val="clear" w:color="auto" w:fill="DDEBF7"/>
          </w:tcPr>
          <w:p>
            <w:r>
              <w:rPr>
                <w:rFonts w:ascii="Meiryo UI" w:hAnsi="Meiryo UI"/>
                <w:sz w:val="18"/>
              </w:rPr>
              <w:t>宅配需要の構造的拡大（EC継続）</w:t>
            </w:r>
          </w:p>
        </w:tc>
        <w:tc>
          <w:tcPr>
            <w:tcW w:type="dxa" w:w="3135"/>
            <w:shd w:val="clear" w:color="auto" w:fill="DDEBF7"/>
          </w:tcPr>
          <w:p>
            <w:r>
              <w:rPr>
                <w:rFonts w:ascii="Meiryo UI" w:hAnsi="Meiryo UI"/>
                <w:sz w:val="18"/>
              </w:rPr>
              <w:t>強気</w:t>
            </w:r>
          </w:p>
        </w:tc>
        <w:tc>
          <w:tcPr>
            <w:tcW w:type="dxa" w:w="3135"/>
            <w:shd w:val="clear" w:color="auto" w:fill="DDEBF7"/>
          </w:tcPr>
          <w:p>
            <w:r>
              <w:rPr>
                <w:rFonts w:ascii="Meiryo UI" w:hAnsi="Meiryo UI"/>
                <w:sz w:val="18"/>
              </w:rPr>
              <w:t>日本郵便セグメント収益改善</w:t>
            </w:r>
          </w:p>
        </w:tc>
      </w:tr>
      <w:tr>
        <w:tc>
          <w:tcPr>
            <w:tcW w:type="dxa" w:w="3135"/>
          </w:tcPr>
          <w:p>
            <w:r>
              <w:rPr>
                <w:rFonts w:ascii="Meiryo UI" w:hAnsi="Meiryo UI"/>
                <w:sz w:val="18"/>
              </w:rPr>
              <w:t>不動産の含み益顕在化（再開発・売却）</w:t>
            </w:r>
          </w:p>
        </w:tc>
        <w:tc>
          <w:tcPr>
            <w:tcW w:type="dxa" w:w="3135"/>
          </w:tcPr>
          <w:p>
            <w:r>
              <w:rPr>
                <w:rFonts w:ascii="Meiryo UI" w:hAnsi="Meiryo UI"/>
                <w:sz w:val="18"/>
              </w:rPr>
              <w:t>強気</w:t>
            </w:r>
          </w:p>
        </w:tc>
        <w:tc>
          <w:tcPr>
            <w:tcW w:type="dxa" w:w="3135"/>
          </w:tcPr>
          <w:p>
            <w:r>
              <w:rPr>
                <w:rFonts w:ascii="Meiryo UI" w:hAnsi="Meiryo UI"/>
                <w:sz w:val="18"/>
              </w:rPr>
              <w:t>PBR改善の最大トリガー</w:t>
            </w:r>
          </w:p>
        </w:tc>
      </w:tr>
      <w:tr>
        <w:tc>
          <w:tcPr>
            <w:tcW w:type="dxa" w:w="3135"/>
            <w:shd w:val="clear" w:color="auto" w:fill="DDEBF7"/>
          </w:tcPr>
          <w:p>
            <w:r>
              <w:rPr>
                <w:rFonts w:ascii="Meiryo UI" w:hAnsi="Meiryo UI"/>
                <w:sz w:val="18"/>
              </w:rPr>
              <w:t>ゆうちょ金利環境改善（日銀政策正常化）</w:t>
            </w:r>
          </w:p>
        </w:tc>
        <w:tc>
          <w:tcPr>
            <w:tcW w:type="dxa" w:w="3135"/>
            <w:shd w:val="clear" w:color="auto" w:fill="DDEBF7"/>
          </w:tcPr>
          <w:p>
            <w:r>
              <w:rPr>
                <w:rFonts w:ascii="Meiryo UI" w:hAnsi="Meiryo UI"/>
                <w:sz w:val="18"/>
              </w:rPr>
              <w:t>強気</w:t>
            </w:r>
          </w:p>
        </w:tc>
        <w:tc>
          <w:tcPr>
            <w:tcW w:type="dxa" w:w="3135"/>
            <w:shd w:val="clear" w:color="auto" w:fill="DDEBF7"/>
          </w:tcPr>
          <w:p>
            <w:r>
              <w:rPr>
                <w:rFonts w:ascii="Meiryo UI" w:hAnsi="Meiryo UI"/>
                <w:sz w:val="18"/>
              </w:rPr>
              <w:t>運用利回り改善→親会社配当増</w:t>
            </w:r>
          </w:p>
        </w:tc>
      </w:tr>
      <w:tr>
        <w:tc>
          <w:tcPr>
            <w:tcW w:type="dxa" w:w="3135"/>
          </w:tcPr>
          <w:p>
            <w:r>
              <w:rPr>
                <w:rFonts w:ascii="Meiryo UI" w:hAnsi="Meiryo UI"/>
                <w:sz w:val="18"/>
              </w:rPr>
              <w:t>かんぽ不正問題の長期影響一巡</w:t>
            </w:r>
          </w:p>
        </w:tc>
        <w:tc>
          <w:tcPr>
            <w:tcW w:type="dxa" w:w="3135"/>
          </w:tcPr>
          <w:p>
            <w:r>
              <w:rPr>
                <w:rFonts w:ascii="Meiryo UI" w:hAnsi="Meiryo UI"/>
                <w:sz w:val="18"/>
              </w:rPr>
              <w:t>強気</w:t>
            </w:r>
          </w:p>
        </w:tc>
        <w:tc>
          <w:tcPr>
            <w:tcW w:type="dxa" w:w="3135"/>
          </w:tcPr>
          <w:p>
            <w:r>
              <w:rPr>
                <w:rFonts w:ascii="Meiryo UI" w:hAnsi="Meiryo UI"/>
                <w:sz w:val="18"/>
              </w:rPr>
              <w:t>業績正常化フェーズへ</w:t>
            </w:r>
          </w:p>
        </w:tc>
      </w:tr>
      <w:tr>
        <w:tc>
          <w:tcPr>
            <w:tcW w:type="dxa" w:w="3135"/>
            <w:shd w:val="clear" w:color="auto" w:fill="DDEBF7"/>
          </w:tcPr>
          <w:p>
            <w:r>
              <w:rPr>
                <w:rFonts w:ascii="Meiryo UI" w:hAnsi="Meiryo UI"/>
                <w:sz w:val="18"/>
              </w:rPr>
              <w:t>東京中央郵便局・大阪中央再開発</w:t>
            </w:r>
          </w:p>
        </w:tc>
        <w:tc>
          <w:tcPr>
            <w:tcW w:type="dxa" w:w="3135"/>
            <w:shd w:val="clear" w:color="auto" w:fill="DDEBF7"/>
          </w:tcPr>
          <w:p>
            <w:r>
              <w:rPr>
                <w:rFonts w:ascii="Meiryo UI" w:hAnsi="Meiryo UI"/>
                <w:sz w:val="18"/>
              </w:rPr>
              <w:t>強気</w:t>
            </w:r>
          </w:p>
        </w:tc>
        <w:tc>
          <w:tcPr>
            <w:tcW w:type="dxa" w:w="3135"/>
            <w:shd w:val="clear" w:color="auto" w:fill="DDEBF7"/>
          </w:tcPr>
          <w:p>
            <w:r>
              <w:rPr>
                <w:rFonts w:ascii="Meiryo UI" w:hAnsi="Meiryo UI"/>
                <w:sz w:val="18"/>
              </w:rPr>
              <w:t>JP不動産バリュー顕在化</w:t>
            </w:r>
          </w:p>
        </w:tc>
      </w:tr>
    </w:tbl>
    <w:p/>
    <w:p>
      <w:r>
        <w:t>──────────────────────────────────────────────────</w:t>
      </w:r>
    </w:p>
    <w:p/>
    <w:p>
      <w:pPr>
        <w:pStyle w:val="Heading2"/>
      </w:pPr>
      <w:r>
        <w:rPr>
          <w:rFonts w:ascii="Meiryo UI" w:hAnsi="Meiryo UI"/>
          <w:color w:val="2E74B5"/>
        </w:rPr>
        <w:t>2. 【社長指示最優先】不動産資産の実態価値・含み益試算 / ゆうちょ・かんぽ分離バリュー影響</w:t>
      </w:r>
    </w:p>
    <w:p/>
    <w:p>
      <w:r>
        <w:rPr>
          <w:rFonts w:ascii="Meiryo UI" w:hAnsi="Meiryo UI"/>
          <w:sz w:val="20"/>
        </w:rPr>
        <w:t>&gt; 社長指示: 「不動産資産の実態価値をDCF・含み益両面から算出。ゆうちょ・かんぽ分離のバリューへの影響も必須」</w:t>
      </w:r>
    </w:p>
    <w:p/>
    <w:p>
      <w:pPr>
        <w:pStyle w:val="Heading3"/>
      </w:pPr>
      <w:r>
        <w:rPr>
          <w:rFonts w:ascii="Meiryo UI" w:hAnsi="Meiryo UI"/>
          <w:color w:val="2E74B5"/>
        </w:rPr>
        <w:t>2.1 不動産資産の全体像</w:t>
      </w:r>
    </w:p>
    <w:p/>
    <w:p>
      <w:r>
        <w:rPr>
          <w:rFonts w:ascii="Meiryo UI" w:hAnsi="Meiryo UI"/>
          <w:sz w:val="20"/>
        </w:rPr>
        <w:t>日本郵政グループが保有する不動産は、主に以下3層で構成される：</w:t>
      </w:r>
    </w:p>
    <w:p/>
    <w:p>
      <w:pPr>
        <w:shd w:val="clear" w:color="auto" w:fill="F2F2F2"/>
      </w:pPr>
      <w:r>
        <w:rPr>
          <w:rFonts w:ascii="Courier New" w:hAnsi="Courier New"/>
          <w:sz w:val="16"/>
        </w:rPr>
        <w:t>【不動産資産 3層構造】</w:t>
        <w:br/>
        <w:br/>
        <w:t>Layer 1: 郵便局舎（全国2.4万局）</w:t>
        <w:br/>
        <w:t xml:space="preserve">  → 多くが自社所有または長期賃借物件</w:t>
        <w:br/>
        <w:t xml:space="preserve">  → 都市部物件の簿価は1960-1990年代取得 → 含み益が巨大</w:t>
        <w:br/>
        <w:br/>
        <w:t>Layer 2: JP不動産（日本郵政グループの不動産管理子会社）</w:t>
        <w:br/>
        <w:t xml:space="preserve">  → 大手町・丸の内等のオフィスビル、物流施設</w:t>
        <w:br/>
        <w:t xml:space="preserve">  → 「KITTE」（旧東京中央郵便局跡地）等の商業施設</w:t>
        <w:br/>
        <w:br/>
        <w:t>Layer 3: 郵便局土地（特に主要都市の一等地）</w:t>
        <w:br/>
        <w:t xml:space="preserve">  → 東京・大阪・名古屋・福岡等の駅前</w:t>
        <w:br/>
        <w:t xml:space="preserve">  → 開発余地が最も大きいレイヤー</w:t>
      </w:r>
    </w:p>
    <w:p/>
    <w:p>
      <w:pPr>
        <w:pStyle w:val="Heading3"/>
      </w:pPr>
      <w:r>
        <w:rPr>
          <w:rFonts w:ascii="Meiryo UI" w:hAnsi="Meiryo UI"/>
          <w:color w:val="2E74B5"/>
        </w:rPr>
        <w:t>2.2 不動産含み益の定量試算</w:t>
      </w:r>
    </w:p>
    <w:p/>
    <w:p>
      <w:pPr>
        <w:pStyle w:val="Heading4"/>
      </w:pPr>
      <w:r>
        <w:rPr>
          <w:rFonts w:ascii="Meiryo UI" w:hAnsi="Meiryo UI"/>
          <w:color w:val="2E74B5"/>
        </w:rPr>
        <w:t>【前提条件】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グループ不動産簿価（推定）</w:t>
            </w:r>
          </w:p>
        </w:tc>
        <w:tc>
          <w:tcPr>
            <w:tcW w:type="dxa" w:w="3135"/>
          </w:tcPr>
          <w:p>
            <w:r>
              <w:rPr>
                <w:rFonts w:ascii="Meiryo UI" w:hAnsi="Meiryo UI"/>
                <w:sz w:val="18"/>
              </w:rPr>
              <w:t>約1.5〜2.0兆円</w:t>
            </w:r>
          </w:p>
        </w:tc>
        <w:tc>
          <w:tcPr>
            <w:tcW w:type="dxa" w:w="3135"/>
          </w:tcPr>
          <w:p>
            <w:r>
              <w:rPr>
                <w:rFonts w:ascii="Meiryo UI" w:hAnsi="Meiryo UI"/>
                <w:sz w:val="18"/>
              </w:rPr>
              <w:t>公開BS・有価証券報告書ベース</w:t>
            </w:r>
          </w:p>
        </w:tc>
      </w:tr>
      <w:tr>
        <w:tc>
          <w:tcPr>
            <w:tcW w:type="dxa" w:w="3135"/>
            <w:shd w:val="clear" w:color="auto" w:fill="DDEBF7"/>
          </w:tcPr>
          <w:p>
            <w:r>
              <w:rPr>
                <w:rFonts w:ascii="Meiryo UI" w:hAnsi="Meiryo UI"/>
                <w:sz w:val="18"/>
              </w:rPr>
              <w:t>都市部物件比率</w:t>
            </w:r>
          </w:p>
        </w:tc>
        <w:tc>
          <w:tcPr>
            <w:tcW w:type="dxa" w:w="3135"/>
            <w:shd w:val="clear" w:color="auto" w:fill="DDEBF7"/>
          </w:tcPr>
          <w:p>
            <w:r>
              <w:rPr>
                <w:rFonts w:ascii="Meiryo UI" w:hAnsi="Meiryo UI"/>
                <w:sz w:val="18"/>
              </w:rPr>
              <w:t>約35〜40%</w:t>
            </w:r>
          </w:p>
        </w:tc>
        <w:tc>
          <w:tcPr>
            <w:tcW w:type="dxa" w:w="3135"/>
            <w:shd w:val="clear" w:color="auto" w:fill="DDEBF7"/>
          </w:tcPr>
          <w:p>
            <w:r>
              <w:rPr>
                <w:rFonts w:ascii="Meiryo UI" w:hAnsi="Meiryo UI"/>
                <w:sz w:val="18"/>
              </w:rPr>
              <w:t>主要都市集中度</w:t>
            </w:r>
          </w:p>
        </w:tc>
      </w:tr>
      <w:tr>
        <w:tc>
          <w:tcPr>
            <w:tcW w:type="dxa" w:w="3135"/>
          </w:tcPr>
          <w:p>
            <w:r>
              <w:rPr>
                <w:rFonts w:ascii="Meiryo UI" w:hAnsi="Meiryo UI"/>
                <w:sz w:val="18"/>
              </w:rPr>
              <w:t>都市部含み益倍率（時価/簿価）</w:t>
            </w:r>
          </w:p>
        </w:tc>
        <w:tc>
          <w:tcPr>
            <w:tcW w:type="dxa" w:w="3135"/>
          </w:tcPr>
          <w:p>
            <w:r>
              <w:rPr>
                <w:rFonts w:ascii="Meiryo UI" w:hAnsi="Meiryo UI"/>
                <w:sz w:val="18"/>
              </w:rPr>
              <w:t>2.5〜4.0倍</w:t>
            </w:r>
          </w:p>
        </w:tc>
        <w:tc>
          <w:tcPr>
            <w:tcW w:type="dxa" w:w="3135"/>
          </w:tcPr>
          <w:p>
            <w:r>
              <w:rPr>
                <w:rFonts w:ascii="Meiryo UI" w:hAnsi="Meiryo UI"/>
                <w:sz w:val="18"/>
              </w:rPr>
              <w:t>東京商業地価（2020→2025年で+30〜50%）</w:t>
            </w:r>
          </w:p>
        </w:tc>
      </w:tr>
      <w:tr>
        <w:tc>
          <w:tcPr>
            <w:tcW w:type="dxa" w:w="3135"/>
            <w:shd w:val="clear" w:color="auto" w:fill="DDEBF7"/>
          </w:tcPr>
          <w:p>
            <w:r>
              <w:rPr>
                <w:rFonts w:ascii="Meiryo UI" w:hAnsi="Meiryo UI"/>
                <w:sz w:val="18"/>
              </w:rPr>
              <w:t>地方・郊外物件含み益倍率</w:t>
            </w:r>
          </w:p>
        </w:tc>
        <w:tc>
          <w:tcPr>
            <w:tcW w:type="dxa" w:w="3135"/>
            <w:shd w:val="clear" w:color="auto" w:fill="DDEBF7"/>
          </w:tcPr>
          <w:p>
            <w:r>
              <w:rPr>
                <w:rFonts w:ascii="Meiryo UI" w:hAnsi="Meiryo UI"/>
                <w:sz w:val="18"/>
              </w:rPr>
              <w:t>1.0〜1.5倍</w:t>
            </w:r>
          </w:p>
        </w:tc>
        <w:tc>
          <w:tcPr>
            <w:tcW w:type="dxa" w:w="3135"/>
            <w:shd w:val="clear" w:color="auto" w:fill="DDEBF7"/>
          </w:tcPr>
          <w:p>
            <w:r>
              <w:rPr>
                <w:rFonts w:ascii="Meiryo UI" w:hAnsi="Meiryo UI"/>
                <w:sz w:val="18"/>
              </w:rPr>
              <w:t>地方は横ばい〜微増</w:t>
            </w:r>
          </w:p>
        </w:tc>
      </w:tr>
    </w:tbl>
    <w:p/>
    <w:p>
      <w:pPr>
        <w:pStyle w:val="Heading4"/>
      </w:pPr>
      <w:r>
        <w:rPr>
          <w:rFonts w:ascii="Meiryo UI" w:hAnsi="Meiryo UI"/>
          <w:color w:val="2E74B5"/>
        </w:rPr>
        <w:t>【含み益試算テーブル】</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カテゴリ</w:t>
            </w:r>
          </w:p>
        </w:tc>
        <w:tc>
          <w:tcPr>
            <w:tcW w:type="dxa" w:w="1881"/>
            <w:shd w:val="clear" w:color="auto" w:fill="2E74B5"/>
          </w:tcPr>
          <w:p>
            <w:r>
              <w:rPr>
                <w:rFonts w:ascii="Meiryo UI" w:hAnsi="Meiryo UI"/>
                <w:b/>
                <w:color w:val="FFFFFF"/>
                <w:sz w:val="18"/>
              </w:rPr>
              <w:t>簿価（兆円）</w:t>
            </w:r>
          </w:p>
        </w:tc>
        <w:tc>
          <w:tcPr>
            <w:tcW w:type="dxa" w:w="1881"/>
            <w:shd w:val="clear" w:color="auto" w:fill="2E74B5"/>
          </w:tcPr>
          <w:p>
            <w:r>
              <w:rPr>
                <w:rFonts w:ascii="Meiryo UI" w:hAnsi="Meiryo UI"/>
                <w:b/>
                <w:color w:val="FFFFFF"/>
                <w:sz w:val="18"/>
              </w:rPr>
              <w:t>時価/簿価倍率</w:t>
            </w:r>
          </w:p>
        </w:tc>
        <w:tc>
          <w:tcPr>
            <w:tcW w:type="dxa" w:w="1881"/>
            <w:shd w:val="clear" w:color="auto" w:fill="2E74B5"/>
          </w:tcPr>
          <w:p>
            <w:r>
              <w:rPr>
                <w:rFonts w:ascii="Meiryo UI" w:hAnsi="Meiryo UI"/>
                <w:b/>
                <w:color w:val="FFFFFF"/>
                <w:sz w:val="18"/>
              </w:rPr>
              <w:t>推定時価（兆円）</w:t>
            </w:r>
          </w:p>
        </w:tc>
        <w:tc>
          <w:tcPr>
            <w:tcW w:type="dxa" w:w="1881"/>
            <w:shd w:val="clear" w:color="auto" w:fill="2E74B5"/>
          </w:tcPr>
          <w:p>
            <w:r>
              <w:rPr>
                <w:rFonts w:ascii="Meiryo UI" w:hAnsi="Meiryo UI"/>
                <w:b/>
                <w:color w:val="FFFFFF"/>
                <w:sz w:val="18"/>
              </w:rPr>
              <w:t>含み益（兆円）</w:t>
            </w:r>
          </w:p>
        </w:tc>
      </w:tr>
      <w:tr>
        <w:tc>
          <w:tcPr>
            <w:tcW w:type="dxa" w:w="1881"/>
          </w:tcPr>
          <w:p>
            <w:r>
              <w:rPr>
                <w:rFonts w:ascii="Meiryo UI" w:hAnsi="Meiryo UI"/>
                <w:sz w:val="18"/>
              </w:rPr>
              <w:t>都市部一等地（Layer 1+2）</w:t>
            </w:r>
          </w:p>
        </w:tc>
        <w:tc>
          <w:tcPr>
            <w:tcW w:type="dxa" w:w="1881"/>
          </w:tcPr>
          <w:p>
            <w:r>
              <w:rPr>
                <w:rFonts w:ascii="Meiryo UI" w:hAnsi="Meiryo UI"/>
                <w:sz w:val="18"/>
              </w:rPr>
              <w:t>0.7</w:t>
            </w:r>
          </w:p>
        </w:tc>
        <w:tc>
          <w:tcPr>
            <w:tcW w:type="dxa" w:w="1881"/>
          </w:tcPr>
          <w:p>
            <w:r>
              <w:rPr>
                <w:rFonts w:ascii="Meiryo UI" w:hAnsi="Meiryo UI"/>
                <w:sz w:val="18"/>
              </w:rPr>
              <w:t>3.5倍</w:t>
            </w:r>
          </w:p>
        </w:tc>
        <w:tc>
          <w:tcPr>
            <w:tcW w:type="dxa" w:w="1881"/>
          </w:tcPr>
          <w:p>
            <w:r>
              <w:rPr>
                <w:rFonts w:ascii="Meiryo UI" w:hAnsi="Meiryo UI"/>
                <w:sz w:val="18"/>
              </w:rPr>
              <w:t>2.45</w:t>
            </w:r>
          </w:p>
        </w:tc>
        <w:tc>
          <w:tcPr>
            <w:tcW w:type="dxa" w:w="1881"/>
          </w:tcPr>
          <w:p>
            <w:r>
              <w:rPr>
                <w:rFonts w:ascii="Meiryo UI" w:hAnsi="Meiryo UI"/>
                <w:sz w:val="18"/>
              </w:rPr>
              <w:t>1.75</w:t>
            </w:r>
          </w:p>
        </w:tc>
      </w:tr>
      <w:tr>
        <w:tc>
          <w:tcPr>
            <w:tcW w:type="dxa" w:w="1881"/>
            <w:shd w:val="clear" w:color="auto" w:fill="DDEBF7"/>
          </w:tcPr>
          <w:p>
            <w:r>
              <w:rPr>
                <w:rFonts w:ascii="Meiryo UI" w:hAnsi="Meiryo UI"/>
                <w:sz w:val="18"/>
              </w:rPr>
              <w:t>都市部中間立地</w:t>
            </w:r>
          </w:p>
        </w:tc>
        <w:tc>
          <w:tcPr>
            <w:tcW w:type="dxa" w:w="1881"/>
            <w:shd w:val="clear" w:color="auto" w:fill="DDEBF7"/>
          </w:tcPr>
          <w:p>
            <w:r>
              <w:rPr>
                <w:rFonts w:ascii="Meiryo UI" w:hAnsi="Meiryo UI"/>
                <w:sz w:val="18"/>
              </w:rPr>
              <w:t>0.5</w:t>
            </w:r>
          </w:p>
        </w:tc>
        <w:tc>
          <w:tcPr>
            <w:tcW w:type="dxa" w:w="1881"/>
            <w:shd w:val="clear" w:color="auto" w:fill="DDEBF7"/>
          </w:tcPr>
          <w:p>
            <w:r>
              <w:rPr>
                <w:rFonts w:ascii="Meiryo UI" w:hAnsi="Meiryo UI"/>
                <w:sz w:val="18"/>
              </w:rPr>
              <w:t>2.0倍</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0.50</w:t>
            </w:r>
          </w:p>
        </w:tc>
      </w:tr>
      <w:tr>
        <w:tc>
          <w:tcPr>
            <w:tcW w:type="dxa" w:w="1881"/>
          </w:tcPr>
          <w:p>
            <w:r>
              <w:rPr>
                <w:rFonts w:ascii="Meiryo UI" w:hAnsi="Meiryo UI"/>
                <w:sz w:val="18"/>
              </w:rPr>
              <w:t>地方・郊外郵便局</w:t>
            </w:r>
          </w:p>
        </w:tc>
        <w:tc>
          <w:tcPr>
            <w:tcW w:type="dxa" w:w="1881"/>
          </w:tcPr>
          <w:p>
            <w:r>
              <w:rPr>
                <w:rFonts w:ascii="Meiryo UI" w:hAnsi="Meiryo UI"/>
                <w:sz w:val="18"/>
              </w:rPr>
              <w:t>0.8</w:t>
            </w:r>
          </w:p>
        </w:tc>
        <w:tc>
          <w:tcPr>
            <w:tcW w:type="dxa" w:w="1881"/>
          </w:tcPr>
          <w:p>
            <w:r>
              <w:rPr>
                <w:rFonts w:ascii="Meiryo UI" w:hAnsi="Meiryo UI"/>
                <w:sz w:val="18"/>
              </w:rPr>
              <w:t>1.2倍</w:t>
            </w:r>
          </w:p>
        </w:tc>
        <w:tc>
          <w:tcPr>
            <w:tcW w:type="dxa" w:w="1881"/>
          </w:tcPr>
          <w:p>
            <w:r>
              <w:rPr>
                <w:rFonts w:ascii="Meiryo UI" w:hAnsi="Meiryo UI"/>
                <w:sz w:val="18"/>
              </w:rPr>
              <w:t>0.96</w:t>
            </w:r>
          </w:p>
        </w:tc>
        <w:tc>
          <w:tcPr>
            <w:tcW w:type="dxa" w:w="1881"/>
          </w:tcPr>
          <w:p>
            <w:r>
              <w:rPr>
                <w:rFonts w:ascii="Meiryo UI" w:hAnsi="Meiryo UI"/>
                <w:sz w:val="18"/>
              </w:rPr>
              <w:t>0.16</w:t>
            </w:r>
          </w:p>
        </w:tc>
      </w:tr>
      <w:tr>
        <w:tc>
          <w:tcPr>
            <w:tcW w:type="dxa" w:w="1881"/>
            <w:shd w:val="clear" w:color="auto" w:fill="DDEBF7"/>
          </w:tcPr>
          <w:p>
            <w:r>
              <w:rPr>
                <w:rFonts w:ascii="Meiryo UI" w:hAnsi="Meiryo UI"/>
                <w:sz w:val="18"/>
              </w:rPr>
              <w:t>合計</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4.41</w:t>
            </w:r>
          </w:p>
        </w:tc>
        <w:tc>
          <w:tcPr>
            <w:tcW w:type="dxa" w:w="1881"/>
            <w:shd w:val="clear" w:color="auto" w:fill="DDEBF7"/>
          </w:tcPr>
          <w:p>
            <w:r>
              <w:rPr>
                <w:rFonts w:ascii="Meiryo UI" w:hAnsi="Meiryo UI"/>
                <w:sz w:val="18"/>
              </w:rPr>
              <w:t>2.41</w:t>
            </w:r>
          </w:p>
        </w:tc>
      </w:tr>
    </w:tbl>
    <w:p/>
    <w:p>
      <w:r>
        <w:rPr>
          <w:rFonts w:ascii="Meiryo UI" w:hAnsi="Meiryo UI"/>
          <w:sz w:val="20"/>
        </w:rPr>
        <w:t xml:space="preserve">&gt; 推定不動産含み益: 約2.0〜2.4兆円（税引前）  </w:t>
      </w:r>
    </w:p>
    <w:p>
      <w:r>
        <w:rPr>
          <w:rFonts w:ascii="Meiryo UI" w:hAnsi="Meiryo UI"/>
          <w:sz w:val="20"/>
        </w:rPr>
        <w:t>&gt; 税引後（実効税率30%想定）: 約1.4〜1.7兆円</w:t>
      </w:r>
    </w:p>
    <w:p/>
    <w:p>
      <w:pPr>
        <w:pStyle w:val="Heading4"/>
      </w:pPr>
      <w:r>
        <w:rPr>
          <w:rFonts w:ascii="Meiryo UI" w:hAnsi="Meiryo UI"/>
          <w:color w:val="2E74B5"/>
        </w:rPr>
        <w:t>【一株当たり不動産含み益（SOTP寄与）】</w:t>
      </w:r>
    </w:p>
    <w:p/>
    <w:p>
      <w:pPr>
        <w:shd w:val="clear" w:color="auto" w:fill="F2F2F2"/>
      </w:pPr>
      <w:r>
        <w:rPr>
          <w:rFonts w:ascii="Courier New" w:hAnsi="Courier New"/>
          <w:sz w:val="16"/>
        </w:rPr>
        <w:t>発行済み株式数: 約26億株（2025年度末推定）</w:t>
        <w:br/>
        <w:br/>
        <w:t>税引前含み益 ¥2.2兆円 ÷ 26億株 = 約¥846/株</w:t>
        <w:br/>
        <w:t>税引後含み益 ¥1.54兆円 ÷ 26億株 = 約¥592/株</w:t>
        <w:br/>
        <w:br/>
        <w:t>→ 現在株価¥1,819に対して、隠れた不動産資産だけで</w:t>
        <w:br/>
        <w:t xml:space="preserve">  税引後ベースで約+32.5%相当の資産が簿価外に存在する計算</w:t>
      </w:r>
    </w:p>
    <w:p/>
    <w:p>
      <w:pPr>
        <w:pStyle w:val="Heading3"/>
      </w:pPr>
      <w:r>
        <w:rPr>
          <w:rFonts w:ascii="Meiryo UI" w:hAnsi="Meiryo UI"/>
          <w:color w:val="2E74B5"/>
        </w:rPr>
        <w:t>2.3 NAV（純資産価値）ベースの清算価値分析</w:t>
      </w:r>
    </w:p>
    <w:p/>
    <w:p>
      <w:pPr>
        <w:pStyle w:val="Heading4"/>
      </w:pPr>
      <w:r>
        <w:rPr>
          <w:rFonts w:ascii="Meiryo UI" w:hAnsi="Meiryo UI"/>
          <w:color w:val="2E74B5"/>
        </w:rPr>
        <w:t>SOTP（Sum of the Parts）バリュエーション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資産項目</w:t>
            </w:r>
          </w:p>
        </w:tc>
        <w:tc>
          <w:tcPr>
            <w:tcW w:type="dxa" w:w="2351"/>
            <w:shd w:val="clear" w:color="auto" w:fill="2E74B5"/>
          </w:tcPr>
          <w:p>
            <w:r>
              <w:rPr>
                <w:rFonts w:ascii="Meiryo UI" w:hAnsi="Meiryo UI"/>
                <w:b/>
                <w:color w:val="FFFFFF"/>
                <w:sz w:val="18"/>
              </w:rPr>
              <w:t>算出方法</w:t>
            </w:r>
          </w:p>
        </w:tc>
        <w:tc>
          <w:tcPr>
            <w:tcW w:type="dxa" w:w="2351"/>
            <w:shd w:val="clear" w:color="auto" w:fill="2E74B5"/>
          </w:tcPr>
          <w:p>
            <w:r>
              <w:rPr>
                <w:rFonts w:ascii="Meiryo UI" w:hAnsi="Meiryo UI"/>
                <w:b/>
                <w:color w:val="FFFFFF"/>
                <w:sz w:val="18"/>
              </w:rPr>
              <w:t>推定価値（億円）</w:t>
            </w:r>
          </w:p>
        </w:tc>
        <w:tc>
          <w:tcPr>
            <w:tcW w:type="dxa" w:w="2351"/>
            <w:shd w:val="clear" w:color="auto" w:fill="2E74B5"/>
          </w:tcPr>
          <w:p>
            <w:r>
              <w:rPr>
                <w:rFonts w:ascii="Meiryo UI" w:hAnsi="Meiryo UI"/>
                <w:b/>
                <w:color w:val="FFFFFF"/>
                <w:sz w:val="18"/>
              </w:rPr>
              <w:t>一株価値（円）</w:t>
            </w:r>
          </w:p>
        </w:tc>
      </w:tr>
      <w:tr>
        <w:tc>
          <w:tcPr>
            <w:tcW w:type="dxa" w:w="2351"/>
          </w:tcPr>
          <w:p>
            <w:r>
              <w:rPr>
                <w:rFonts w:ascii="Meiryo UI" w:hAnsi="Meiryo UI"/>
                <w:sz w:val="18"/>
              </w:rPr>
              <w:t>ゆうちょ銀行（89%持分）</w:t>
            </w:r>
          </w:p>
        </w:tc>
        <w:tc>
          <w:tcPr>
            <w:tcW w:type="dxa" w:w="2351"/>
          </w:tcPr>
          <w:p>
            <w:r>
              <w:rPr>
                <w:rFonts w:ascii="Meiryo UI" w:hAnsi="Meiryo UI"/>
                <w:sz w:val="18"/>
              </w:rPr>
              <w:t>時価総額×持分比率</w:t>
            </w:r>
          </w:p>
        </w:tc>
        <w:tc>
          <w:tcPr>
            <w:tcW w:type="dxa" w:w="2351"/>
          </w:tcPr>
          <w:p>
            <w:r>
              <w:rPr>
                <w:rFonts w:ascii="Meiryo UI" w:hAnsi="Meiryo UI"/>
                <w:sz w:val="18"/>
              </w:rPr>
              <w:t>約36,000</w:t>
            </w:r>
          </w:p>
        </w:tc>
        <w:tc>
          <w:tcPr>
            <w:tcW w:type="dxa" w:w="2351"/>
          </w:tcPr>
          <w:p>
            <w:r>
              <w:rPr>
                <w:rFonts w:ascii="Meiryo UI" w:hAnsi="Meiryo UI"/>
                <w:sz w:val="18"/>
              </w:rPr>
              <w:t>¥1,385</w:t>
            </w:r>
          </w:p>
        </w:tc>
      </w:tr>
      <w:tr>
        <w:tc>
          <w:tcPr>
            <w:tcW w:type="dxa" w:w="2351"/>
            <w:shd w:val="clear" w:color="auto" w:fill="DDEBF7"/>
          </w:tcPr>
          <w:p>
            <w:r>
              <w:rPr>
                <w:rFonts w:ascii="Meiryo UI" w:hAnsi="Meiryo UI"/>
                <w:sz w:val="18"/>
              </w:rPr>
              <w:t>かんぽ生命（49%持分）</w:t>
            </w:r>
          </w:p>
        </w:tc>
        <w:tc>
          <w:tcPr>
            <w:tcW w:type="dxa" w:w="2351"/>
            <w:shd w:val="clear" w:color="auto" w:fill="DDEBF7"/>
          </w:tcPr>
          <w:p>
            <w:r>
              <w:rPr>
                <w:rFonts w:ascii="Meiryo UI" w:hAnsi="Meiryo UI"/>
                <w:sz w:val="18"/>
              </w:rPr>
              <w:t>時価総額×持分比率</w:t>
            </w:r>
          </w:p>
        </w:tc>
        <w:tc>
          <w:tcPr>
            <w:tcW w:type="dxa" w:w="2351"/>
            <w:shd w:val="clear" w:color="auto" w:fill="DDEBF7"/>
          </w:tcPr>
          <w:p>
            <w:r>
              <w:rPr>
                <w:rFonts w:ascii="Meiryo UI" w:hAnsi="Meiryo UI"/>
                <w:sz w:val="18"/>
              </w:rPr>
              <w:t>約3,200</w:t>
            </w:r>
          </w:p>
        </w:tc>
        <w:tc>
          <w:tcPr>
            <w:tcW w:type="dxa" w:w="2351"/>
            <w:shd w:val="clear" w:color="auto" w:fill="DDEBF7"/>
          </w:tcPr>
          <w:p>
            <w:r>
              <w:rPr>
                <w:rFonts w:ascii="Meiryo UI" w:hAnsi="Meiryo UI"/>
                <w:sz w:val="18"/>
              </w:rPr>
              <w:t>¥123</w:t>
            </w:r>
          </w:p>
        </w:tc>
      </w:tr>
      <w:tr>
        <w:tc>
          <w:tcPr>
            <w:tcW w:type="dxa" w:w="2351"/>
          </w:tcPr>
          <w:p>
            <w:r>
              <w:rPr>
                <w:rFonts w:ascii="Meiryo UI" w:hAnsi="Meiryo UI"/>
                <w:sz w:val="18"/>
              </w:rPr>
              <w:t>日本郵便（100%）— 事業価値</w:t>
            </w:r>
          </w:p>
        </w:tc>
        <w:tc>
          <w:tcPr>
            <w:tcW w:type="dxa" w:w="2351"/>
          </w:tcPr>
          <w:p>
            <w:r>
              <w:rPr>
                <w:rFonts w:ascii="Meiryo UI" w:hAnsi="Meiryo UI"/>
                <w:sz w:val="18"/>
              </w:rPr>
              <w:t>EV/EBITDA 8倍</w:t>
            </w:r>
          </w:p>
        </w:tc>
        <w:tc>
          <w:tcPr>
            <w:tcW w:type="dxa" w:w="2351"/>
          </w:tcPr>
          <w:p>
            <w:r>
              <w:rPr>
                <w:rFonts w:ascii="Meiryo UI" w:hAnsi="Meiryo UI"/>
                <w:sz w:val="18"/>
              </w:rPr>
              <w:t>約15,000</w:t>
            </w:r>
          </w:p>
        </w:tc>
        <w:tc>
          <w:tcPr>
            <w:tcW w:type="dxa" w:w="2351"/>
          </w:tcPr>
          <w:p>
            <w:r>
              <w:rPr>
                <w:rFonts w:ascii="Meiryo UI" w:hAnsi="Meiryo UI"/>
                <w:sz w:val="18"/>
              </w:rPr>
              <w:t>¥577</w:t>
            </w:r>
          </w:p>
        </w:tc>
      </w:tr>
      <w:tr>
        <w:tc>
          <w:tcPr>
            <w:tcW w:type="dxa" w:w="2351"/>
            <w:shd w:val="clear" w:color="auto" w:fill="DDEBF7"/>
          </w:tcPr>
          <w:p>
            <w:r>
              <w:rPr>
                <w:rFonts w:ascii="Meiryo UI" w:hAnsi="Meiryo UI"/>
                <w:sz w:val="18"/>
              </w:rPr>
              <w:t>不動産含み益（税引後）</w:t>
            </w:r>
          </w:p>
        </w:tc>
        <w:tc>
          <w:tcPr>
            <w:tcW w:type="dxa" w:w="2351"/>
            <w:shd w:val="clear" w:color="auto" w:fill="DDEBF7"/>
          </w:tcPr>
          <w:p>
            <w:r>
              <w:rPr>
                <w:rFonts w:ascii="Meiryo UI" w:hAnsi="Meiryo UI"/>
                <w:sz w:val="18"/>
              </w:rPr>
              <w:t>上記試算</w:t>
            </w:r>
          </w:p>
        </w:tc>
        <w:tc>
          <w:tcPr>
            <w:tcW w:type="dxa" w:w="2351"/>
            <w:shd w:val="clear" w:color="auto" w:fill="DDEBF7"/>
          </w:tcPr>
          <w:p>
            <w:r>
              <w:rPr>
                <w:rFonts w:ascii="Meiryo UI" w:hAnsi="Meiryo UI"/>
                <w:sz w:val="18"/>
              </w:rPr>
              <w:t>約15,400</w:t>
            </w:r>
          </w:p>
        </w:tc>
        <w:tc>
          <w:tcPr>
            <w:tcW w:type="dxa" w:w="2351"/>
            <w:shd w:val="clear" w:color="auto" w:fill="DDEBF7"/>
          </w:tcPr>
          <w:p>
            <w:r>
              <w:rPr>
                <w:rFonts w:ascii="Meiryo UI" w:hAnsi="Meiryo UI"/>
                <w:sz w:val="18"/>
              </w:rPr>
              <w:t>¥592</w:t>
            </w:r>
          </w:p>
        </w:tc>
      </w:tr>
      <w:tr>
        <w:tc>
          <w:tcPr>
            <w:tcW w:type="dxa" w:w="2351"/>
          </w:tcPr>
          <w:p>
            <w:r>
              <w:rPr>
                <w:rFonts w:ascii="Meiryo UI" w:hAnsi="Meiryo UI"/>
                <w:sz w:val="18"/>
              </w:rPr>
              <w:t>現金・その他純資産</w:t>
            </w:r>
          </w:p>
        </w:tc>
        <w:tc>
          <w:tcPr>
            <w:tcW w:type="dxa" w:w="2351"/>
          </w:tcPr>
          <w:p>
            <w:r>
              <w:rPr>
                <w:rFonts w:ascii="Meiryo UI" w:hAnsi="Meiryo UI"/>
                <w:sz w:val="18"/>
              </w:rPr>
              <w:t>BS調整後</w:t>
            </w:r>
          </w:p>
        </w:tc>
        <w:tc>
          <w:tcPr>
            <w:tcW w:type="dxa" w:w="2351"/>
          </w:tcPr>
          <w:p>
            <w:r>
              <w:rPr>
                <w:rFonts w:ascii="Meiryo UI" w:hAnsi="Meiryo UI"/>
                <w:sz w:val="18"/>
              </w:rPr>
              <w:t>約3,000</w:t>
            </w:r>
          </w:p>
        </w:tc>
        <w:tc>
          <w:tcPr>
            <w:tcW w:type="dxa" w:w="2351"/>
          </w:tcPr>
          <w:p>
            <w:r>
              <w:rPr>
                <w:rFonts w:ascii="Meiryo UI" w:hAnsi="Meiryo UI"/>
                <w:sz w:val="18"/>
              </w:rPr>
              <w:t>¥115</w:t>
            </w:r>
          </w:p>
        </w:tc>
      </w:tr>
      <w:tr>
        <w:tc>
          <w:tcPr>
            <w:tcW w:type="dxa" w:w="2351"/>
            <w:shd w:val="clear" w:color="auto" w:fill="DDEBF7"/>
          </w:tcPr>
          <w:p>
            <w:r>
              <w:rPr>
                <w:rFonts w:ascii="Meiryo UI" w:hAnsi="Meiryo UI"/>
                <w:sz w:val="18"/>
              </w:rPr>
              <w:t>グロスNAV合計</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約72,600</w:t>
            </w:r>
          </w:p>
        </w:tc>
        <w:tc>
          <w:tcPr>
            <w:tcW w:type="dxa" w:w="2351"/>
            <w:shd w:val="clear" w:color="auto" w:fill="DDEBF7"/>
          </w:tcPr>
          <w:p>
            <w:r>
              <w:rPr>
                <w:rFonts w:ascii="Meiryo UI" w:hAnsi="Meiryo UI"/>
                <w:sz w:val="18"/>
              </w:rPr>
              <w:t>¥2,793</w:t>
            </w:r>
          </w:p>
        </w:tc>
      </w:tr>
      <w:tr>
        <w:tc>
          <w:tcPr>
            <w:tcW w:type="dxa" w:w="2351"/>
          </w:tcPr>
          <w:p>
            <w:r>
              <w:rPr>
                <w:rFonts w:ascii="Meiryo UI" w:hAnsi="Meiryo UI"/>
                <w:sz w:val="18"/>
              </w:rPr>
              <w:t>ホールディングスディスカウント（▲20%）</w:t>
            </w:r>
          </w:p>
        </w:tc>
        <w:tc>
          <w:tcPr>
            <w:tcW w:type="dxa" w:w="2351"/>
          </w:tcPr>
          <w:p>
            <w:r>
              <w:rPr>
                <w:rFonts w:ascii="Meiryo UI" w:hAnsi="Meiryo UI"/>
                <w:sz w:val="18"/>
              </w:rPr>
              <w:t>コングロマリット割引</w:t>
            </w:r>
          </w:p>
        </w:tc>
        <w:tc>
          <w:tcPr>
            <w:tcW w:type="dxa" w:w="2351"/>
          </w:tcPr>
          <w:p>
            <w:r>
              <w:rPr>
                <w:rFonts w:ascii="Meiryo UI" w:hAnsi="Meiryo UI"/>
                <w:sz w:val="18"/>
              </w:rPr>
              <w:t>▲14,520</w:t>
            </w:r>
          </w:p>
        </w:tc>
        <w:tc>
          <w:tcPr>
            <w:tcW w:type="dxa" w:w="2351"/>
          </w:tcPr>
          <w:p>
            <w:r>
              <w:rPr>
                <w:rFonts w:ascii="Meiryo UI" w:hAnsi="Meiryo UI"/>
                <w:sz w:val="18"/>
              </w:rPr>
              <w:t>▲¥558</w:t>
            </w:r>
          </w:p>
        </w:tc>
      </w:tr>
      <w:tr>
        <w:tc>
          <w:tcPr>
            <w:tcW w:type="dxa" w:w="2351"/>
            <w:shd w:val="clear" w:color="auto" w:fill="DDEBF7"/>
          </w:tcPr>
          <w:p>
            <w:r>
              <w:rPr>
                <w:rFonts w:ascii="Meiryo UI" w:hAnsi="Meiryo UI"/>
                <w:sz w:val="18"/>
              </w:rPr>
              <w:t>ネットNAV（SOTP理論株価）</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約58,080</w:t>
            </w:r>
          </w:p>
        </w:tc>
        <w:tc>
          <w:tcPr>
            <w:tcW w:type="dxa" w:w="2351"/>
            <w:shd w:val="clear" w:color="auto" w:fill="DDEBF7"/>
          </w:tcPr>
          <w:p>
            <w:r>
              <w:rPr>
                <w:rFonts w:ascii="Meiryo UI" w:hAnsi="Meiryo UI"/>
                <w:sz w:val="18"/>
              </w:rPr>
              <w:t>¥2,235</w:t>
            </w:r>
          </w:p>
        </w:tc>
      </w:tr>
    </w:tbl>
    <w:p/>
    <w:p>
      <w:r>
        <w:rPr>
          <w:rFonts w:ascii="Meiryo UI" w:hAnsi="Meiryo UI"/>
          <w:sz w:val="20"/>
        </w:rPr>
        <w:t xml:space="preserve">&gt; SOTP理論株価: ¥2,235  </w:t>
      </w:r>
    </w:p>
    <w:p>
      <w:r>
        <w:rPr>
          <w:rFonts w:ascii="Meiryo UI" w:hAnsi="Meiryo UI"/>
          <w:sz w:val="20"/>
        </w:rPr>
        <w:t>&gt; 現在株価¥1,819に対して +22.9%の上昇余地</w:t>
      </w:r>
    </w:p>
    <w:p/>
    <w:p>
      <w:pPr>
        <w:pStyle w:val="Heading3"/>
      </w:pPr>
      <w:r>
        <w:rPr>
          <w:rFonts w:ascii="Meiryo UI" w:hAnsi="Meiryo UI"/>
          <w:color w:val="2E74B5"/>
        </w:rPr>
        <w:t>2.4 PBR乖離の構造的分析</w:t>
      </w:r>
    </w:p>
    <w:p/>
    <w:p>
      <w:pPr>
        <w:shd w:val="clear" w:color="auto" w:fill="F2F2F2"/>
      </w:pPr>
      <w:r>
        <w:rPr>
          <w:rFonts w:ascii="Courier New" w:hAnsi="Courier New"/>
          <w:sz w:val="16"/>
        </w:rPr>
        <w:t>現在PBR: 0.54倍</w:t>
        <w:br/>
        <w:t>BPS（帳簿上）: ¥3,381</w:t>
        <w:br/>
        <w:br/>
        <w:t>理論的に「正当化されるPBR」= ROE ÷ 株主資本コスト（Re）</w:t>
        <w:br/>
        <w:t>= 4.4% ÷ 8.5%（後述Re）= 0.52倍</w:t>
        <w:br/>
        <w:br/>
        <w:t>→ 現在のPBR 0.54倍は、ROE=4.4%・Re=8.5%の前提では</w:t>
        <w:br/>
        <w:t xml:space="preserve">  むしろ「ほぼ適正評価」に近い水準</w:t>
        <w:br/>
        <w:t xml:space="preserve">  </w:t>
        <w:br/>
        <w:t>→ 「本物の割安」にするためには:</w:t>
        <w:br/>
        <w:t xml:space="preserve">  ① ROE改善（6〜8%水準へ）、または</w:t>
        <w:br/>
        <w:t xml:space="preserve">  ② 不動産含み益の顕在化（NAV折り込み）、または</w:t>
        <w:br/>
        <w:t xml:space="preserve">  ③ 両方の複合カタリストが必要</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前提ROE</w:t>
            </w:r>
          </w:p>
        </w:tc>
        <w:tc>
          <w:tcPr>
            <w:tcW w:type="dxa" w:w="1881"/>
            <w:shd w:val="clear" w:color="auto" w:fill="2E74B5"/>
          </w:tcPr>
          <w:p>
            <w:r>
              <w:rPr>
                <w:rFonts w:ascii="Meiryo UI" w:hAnsi="Meiryo UI"/>
                <w:b/>
                <w:color w:val="FFFFFF"/>
                <w:sz w:val="18"/>
              </w:rPr>
              <w:t>正当化PBR</w:t>
            </w:r>
          </w:p>
        </w:tc>
        <w:tc>
          <w:tcPr>
            <w:tcW w:type="dxa" w:w="1881"/>
            <w:shd w:val="clear" w:color="auto" w:fill="2E74B5"/>
          </w:tcPr>
          <w:p>
            <w:r>
              <w:rPr>
                <w:rFonts w:ascii="Meiryo UI" w:hAnsi="Meiryo UI"/>
                <w:b/>
                <w:color w:val="FFFFFF"/>
                <w:sz w:val="18"/>
              </w:rPr>
              <w:t>理論株価（BPS×PBR）</w:t>
            </w:r>
          </w:p>
        </w:tc>
        <w:tc>
          <w:tcPr>
            <w:tcW w:type="dxa" w:w="1881"/>
            <w:shd w:val="clear" w:color="auto" w:fill="2E74B5"/>
          </w:tcPr>
          <w:p>
            <w:r>
              <w:rPr>
                <w:rFonts w:ascii="Meiryo UI" w:hAnsi="Meiryo UI"/>
                <w:b/>
                <w:color w:val="FFFFFF"/>
                <w:sz w:val="18"/>
              </w:rPr>
              <w:t>現在比</w:t>
            </w:r>
          </w:p>
        </w:tc>
      </w:tr>
      <w:tr>
        <w:tc>
          <w:tcPr>
            <w:tcW w:type="dxa" w:w="1881"/>
          </w:tcPr>
          <w:p>
            <w:r>
              <w:rPr>
                <w:rFonts w:ascii="Meiryo UI" w:hAnsi="Meiryo UI"/>
                <w:sz w:val="18"/>
              </w:rPr>
              <w:t>現状維持</w:t>
            </w:r>
          </w:p>
        </w:tc>
        <w:tc>
          <w:tcPr>
            <w:tcW w:type="dxa" w:w="1881"/>
          </w:tcPr>
          <w:p>
            <w:r>
              <w:rPr>
                <w:rFonts w:ascii="Meiryo UI" w:hAnsi="Meiryo UI"/>
                <w:sz w:val="18"/>
              </w:rPr>
              <w:t>4.4%</w:t>
            </w:r>
          </w:p>
        </w:tc>
        <w:tc>
          <w:tcPr>
            <w:tcW w:type="dxa" w:w="1881"/>
          </w:tcPr>
          <w:p>
            <w:r>
              <w:rPr>
                <w:rFonts w:ascii="Meiryo UI" w:hAnsi="Meiryo UI"/>
                <w:sz w:val="18"/>
              </w:rPr>
              <w:t>0.52倍</w:t>
            </w:r>
          </w:p>
        </w:tc>
        <w:tc>
          <w:tcPr>
            <w:tcW w:type="dxa" w:w="1881"/>
          </w:tcPr>
          <w:p>
            <w:r>
              <w:rPr>
                <w:rFonts w:ascii="Meiryo UI" w:hAnsi="Meiryo UI"/>
                <w:sz w:val="18"/>
              </w:rPr>
              <w:t>¥1,758</w:t>
            </w:r>
          </w:p>
        </w:tc>
        <w:tc>
          <w:tcPr>
            <w:tcW w:type="dxa" w:w="1881"/>
          </w:tcPr>
          <w:p>
            <w:r>
              <w:rPr>
                <w:rFonts w:ascii="Meiryo UI" w:hAnsi="Meiryo UI"/>
                <w:sz w:val="18"/>
              </w:rPr>
              <w:t>▲3.4%</w:t>
            </w:r>
          </w:p>
        </w:tc>
      </w:tr>
      <w:tr>
        <w:tc>
          <w:tcPr>
            <w:tcW w:type="dxa" w:w="1881"/>
            <w:shd w:val="clear" w:color="auto" w:fill="DDEBF7"/>
          </w:tcPr>
          <w:p>
            <w:r>
              <w:rPr>
                <w:rFonts w:ascii="Meiryo UI" w:hAnsi="Meiryo UI"/>
                <w:sz w:val="18"/>
              </w:rPr>
              <w:t>ROE改善</w:t>
            </w:r>
          </w:p>
        </w:tc>
        <w:tc>
          <w:tcPr>
            <w:tcW w:type="dxa" w:w="1881"/>
            <w:shd w:val="clear" w:color="auto" w:fill="DDEBF7"/>
          </w:tcPr>
          <w:p>
            <w:r>
              <w:rPr>
                <w:rFonts w:ascii="Meiryo UI" w:hAnsi="Meiryo UI"/>
                <w:sz w:val="18"/>
              </w:rPr>
              <w:t>6.0%</w:t>
            </w:r>
          </w:p>
        </w:tc>
        <w:tc>
          <w:tcPr>
            <w:tcW w:type="dxa" w:w="1881"/>
            <w:shd w:val="clear" w:color="auto" w:fill="DDEBF7"/>
          </w:tcPr>
          <w:p>
            <w:r>
              <w:rPr>
                <w:rFonts w:ascii="Meiryo UI" w:hAnsi="Meiryo UI"/>
                <w:sz w:val="18"/>
              </w:rPr>
              <w:t>0.71倍</w:t>
            </w:r>
          </w:p>
        </w:tc>
        <w:tc>
          <w:tcPr>
            <w:tcW w:type="dxa" w:w="1881"/>
            <w:shd w:val="clear" w:color="auto" w:fill="DDEBF7"/>
          </w:tcPr>
          <w:p>
            <w:r>
              <w:rPr>
                <w:rFonts w:ascii="Meiryo UI" w:hAnsi="Meiryo UI"/>
                <w:sz w:val="18"/>
              </w:rPr>
              <w:t>¥2,400</w:t>
            </w:r>
          </w:p>
        </w:tc>
        <w:tc>
          <w:tcPr>
            <w:tcW w:type="dxa" w:w="1881"/>
            <w:shd w:val="clear" w:color="auto" w:fill="DDEBF7"/>
          </w:tcPr>
          <w:p>
            <w:r>
              <w:rPr>
                <w:rFonts w:ascii="Meiryo UI" w:hAnsi="Meiryo UI"/>
                <w:sz w:val="18"/>
              </w:rPr>
              <w:t>+31.9%</w:t>
            </w:r>
          </w:p>
        </w:tc>
      </w:tr>
      <w:tr>
        <w:tc>
          <w:tcPr>
            <w:tcW w:type="dxa" w:w="1881"/>
          </w:tcPr>
          <w:p>
            <w:r>
              <w:rPr>
                <w:rFonts w:ascii="Meiryo UI" w:hAnsi="Meiryo UI"/>
                <w:sz w:val="18"/>
              </w:rPr>
              <w:t>ROE大幅改善</w:t>
            </w:r>
          </w:p>
        </w:tc>
        <w:tc>
          <w:tcPr>
            <w:tcW w:type="dxa" w:w="1881"/>
          </w:tcPr>
          <w:p>
            <w:r>
              <w:rPr>
                <w:rFonts w:ascii="Meiryo UI" w:hAnsi="Meiryo UI"/>
                <w:sz w:val="18"/>
              </w:rPr>
              <w:t>8.0%</w:t>
            </w:r>
          </w:p>
        </w:tc>
        <w:tc>
          <w:tcPr>
            <w:tcW w:type="dxa" w:w="1881"/>
          </w:tcPr>
          <w:p>
            <w:r>
              <w:rPr>
                <w:rFonts w:ascii="Meiryo UI" w:hAnsi="Meiryo UI"/>
                <w:sz w:val="18"/>
              </w:rPr>
              <w:t>0.94倍</w:t>
            </w:r>
          </w:p>
        </w:tc>
        <w:tc>
          <w:tcPr>
            <w:tcW w:type="dxa" w:w="1881"/>
          </w:tcPr>
          <w:p>
            <w:r>
              <w:rPr>
                <w:rFonts w:ascii="Meiryo UI" w:hAnsi="Meiryo UI"/>
                <w:sz w:val="18"/>
              </w:rPr>
              <w:t>¥3,178</w:t>
            </w:r>
          </w:p>
        </w:tc>
        <w:tc>
          <w:tcPr>
            <w:tcW w:type="dxa" w:w="1881"/>
          </w:tcPr>
          <w:p>
            <w:r>
              <w:rPr>
                <w:rFonts w:ascii="Meiryo UI" w:hAnsi="Meiryo UI"/>
                <w:sz w:val="18"/>
              </w:rPr>
              <w:t>+74.7%</w:t>
            </w:r>
          </w:p>
        </w:tc>
      </w:tr>
      <w:tr>
        <w:tc>
          <w:tcPr>
            <w:tcW w:type="dxa" w:w="1881"/>
            <w:shd w:val="clear" w:color="auto" w:fill="DDEBF7"/>
          </w:tcPr>
          <w:p>
            <w:r>
              <w:rPr>
                <w:rFonts w:ascii="Meiryo UI" w:hAnsi="Meiryo UI"/>
                <w:sz w:val="18"/>
              </w:rPr>
              <w:t>不動産NAV顕在化込み</w:t>
            </w:r>
          </w:p>
        </w:tc>
        <w:tc>
          <w:tcPr>
            <w:tcW w:type="dxa" w:w="1881"/>
            <w:shd w:val="clear" w:color="auto" w:fill="DDEBF7"/>
          </w:tcPr>
          <w:p>
            <w:r>
              <w:rPr>
                <w:rFonts w:ascii="Meiryo UI" w:hAnsi="Meiryo UI"/>
                <w:sz w:val="18"/>
              </w:rPr>
              <w:t>4.4%+含み益</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¥2,235（SOTP）</w:t>
            </w:r>
          </w:p>
        </w:tc>
        <w:tc>
          <w:tcPr>
            <w:tcW w:type="dxa" w:w="1881"/>
            <w:shd w:val="clear" w:color="auto" w:fill="DDEBF7"/>
          </w:tcPr>
          <w:p>
            <w:r>
              <w:rPr>
                <w:rFonts w:ascii="Meiryo UI" w:hAnsi="Meiryo UI"/>
                <w:sz w:val="18"/>
              </w:rPr>
              <w:t>+22.9%</w:t>
            </w:r>
          </w:p>
        </w:tc>
      </w:tr>
    </w:tbl>
    <w:p/>
    <w:p>
      <w:pPr>
        <w:pStyle w:val="Heading3"/>
      </w:pPr>
      <w:r>
        <w:rPr>
          <w:rFonts w:ascii="Meiryo UI" w:hAnsi="Meiryo UI"/>
          <w:color w:val="2E74B5"/>
        </w:rPr>
        <w:t>2.5 ゆうちょ銀行・かんぽ生命の分離上場・持分変化によるバリュー影響</w:t>
      </w:r>
    </w:p>
    <w:p/>
    <w:p>
      <w:pPr>
        <w:pStyle w:val="Heading4"/>
      </w:pPr>
      <w:r>
        <w:rPr>
          <w:rFonts w:ascii="Meiryo UI" w:hAnsi="Meiryo UI"/>
          <w:color w:val="2E74B5"/>
        </w:rPr>
        <w:t>2.5.1 ゆうちょ銀行（7182）の分析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影響</w:t>
            </w:r>
          </w:p>
        </w:tc>
      </w:tr>
      <w:tr>
        <w:tc>
          <w:tcPr>
            <w:tcW w:type="dxa" w:w="3135"/>
          </w:tcPr>
          <w:p>
            <w:r>
              <w:rPr>
                <w:rFonts w:ascii="Meiryo UI" w:hAnsi="Meiryo UI"/>
                <w:sz w:val="18"/>
              </w:rPr>
              <w:t>現在持分比率</w:t>
            </w:r>
          </w:p>
        </w:tc>
        <w:tc>
          <w:tcPr>
            <w:tcW w:type="dxa" w:w="3135"/>
          </w:tcPr>
          <w:p>
            <w:r>
              <w:rPr>
                <w:rFonts w:ascii="Meiryo UI" w:hAnsi="Meiryo UI"/>
                <w:sz w:val="18"/>
              </w:rPr>
              <w:t>約89%</w:t>
            </w:r>
          </w:p>
        </w:tc>
        <w:tc>
          <w:tcPr>
            <w:tcW w:type="dxa" w:w="3135"/>
          </w:tcPr>
          <w:p>
            <w:r>
              <w:rPr>
                <w:rFonts w:ascii="Meiryo UI" w:hAnsi="Meiryo UI"/>
                <w:sz w:val="18"/>
              </w:rPr>
              <w:t>連結完全子会社水準</w:t>
            </w:r>
          </w:p>
        </w:tc>
      </w:tr>
      <w:tr>
        <w:tc>
          <w:tcPr>
            <w:tcW w:type="dxa" w:w="3135"/>
            <w:shd w:val="clear" w:color="auto" w:fill="DDEBF7"/>
          </w:tcPr>
          <w:p>
            <w:r>
              <w:rPr>
                <w:rFonts w:ascii="Meiryo UI" w:hAnsi="Meiryo UI"/>
                <w:sz w:val="18"/>
              </w:rPr>
              <w:t>政府目標（民営化法）</w:t>
            </w:r>
          </w:p>
        </w:tc>
        <w:tc>
          <w:tcPr>
            <w:tcW w:type="dxa" w:w="3135"/>
            <w:shd w:val="clear" w:color="auto" w:fill="DDEBF7"/>
          </w:tcPr>
          <w:p>
            <w:r>
              <w:rPr>
                <w:rFonts w:ascii="Meiryo UI" w:hAnsi="Meiryo UI"/>
                <w:sz w:val="18"/>
              </w:rPr>
              <w:t>50%未満 → 最終的に売却</w:t>
            </w:r>
          </w:p>
        </w:tc>
        <w:tc>
          <w:tcPr>
            <w:tcW w:type="dxa" w:w="3135"/>
            <w:shd w:val="clear" w:color="auto" w:fill="DDEBF7"/>
          </w:tcPr>
          <w:p>
            <w:r>
              <w:rPr>
                <w:rFonts w:ascii="Meiryo UI" w:hAnsi="Meiryo UI"/>
                <w:sz w:val="18"/>
              </w:rPr>
              <w:t>段階的売却で需給悪化リスク</w:t>
            </w:r>
          </w:p>
        </w:tc>
      </w:tr>
      <w:tr>
        <w:tc>
          <w:tcPr>
            <w:tcW w:type="dxa" w:w="3135"/>
          </w:tcPr>
          <w:p>
            <w:r>
              <w:rPr>
                <w:rFonts w:ascii="Meiryo UI" w:hAnsi="Meiryo UI"/>
                <w:sz w:val="18"/>
              </w:rPr>
              <w:t>金利環境（日銀正常化）</w:t>
            </w:r>
          </w:p>
        </w:tc>
        <w:tc>
          <w:tcPr>
            <w:tcW w:type="dxa" w:w="3135"/>
          </w:tcPr>
          <w:p>
            <w:r>
              <w:rPr>
                <w:rFonts w:ascii="Meiryo UI" w:hAnsi="Meiryo UI"/>
                <w:sz w:val="18"/>
              </w:rPr>
              <w:t>長短金利差拡大</w:t>
            </w:r>
          </w:p>
        </w:tc>
        <w:tc>
          <w:tcPr>
            <w:tcW w:type="dxa" w:w="3135"/>
          </w:tcPr>
          <w:p>
            <w:r>
              <w:rPr>
                <w:rFonts w:ascii="Meiryo UI" w:hAnsi="Meiryo UI"/>
                <w:sz w:val="18"/>
              </w:rPr>
              <w:t>運用利回り改善→NIM拡大→配当増加</w:t>
            </w:r>
          </w:p>
        </w:tc>
      </w:tr>
      <w:tr>
        <w:tc>
          <w:tcPr>
            <w:tcW w:type="dxa" w:w="3135"/>
            <w:shd w:val="clear" w:color="auto" w:fill="DDEBF7"/>
          </w:tcPr>
          <w:p>
            <w:r>
              <w:rPr>
                <w:rFonts w:ascii="Meiryo UI" w:hAnsi="Meiryo UI"/>
                <w:sz w:val="18"/>
              </w:rPr>
              <w:t>日本郵政への配当寄与（年間）</w:t>
            </w:r>
          </w:p>
        </w:tc>
        <w:tc>
          <w:tcPr>
            <w:tcW w:type="dxa" w:w="3135"/>
            <w:shd w:val="clear" w:color="auto" w:fill="DDEBF7"/>
          </w:tcPr>
          <w:p>
            <w:r>
              <w:rPr>
                <w:rFonts w:ascii="Meiryo UI" w:hAnsi="Meiryo UI"/>
                <w:sz w:val="18"/>
              </w:rPr>
              <w:t>約500〜700億円</w:t>
            </w:r>
          </w:p>
        </w:tc>
        <w:tc>
          <w:tcPr>
            <w:tcW w:type="dxa" w:w="3135"/>
            <w:shd w:val="clear" w:color="auto" w:fill="DDEBF7"/>
          </w:tcPr>
          <w:p>
            <w:r>
              <w:rPr>
                <w:rFonts w:ascii="Meiryo UI" w:hAnsi="Meiryo UI"/>
                <w:sz w:val="18"/>
              </w:rPr>
              <w:t>親会社FCFの主要ソース</w:t>
            </w:r>
          </w:p>
        </w:tc>
      </w:tr>
    </w:tbl>
    <w:p/>
    <w:p>
      <w:r>
        <w:rPr>
          <w:rFonts w:ascii="Meiryo UI" w:hAnsi="Meiryo UI"/>
          <w:sz w:val="20"/>
        </w:rPr>
        <w:t>持分変化のバリューインパクト試算:</w:t>
      </w:r>
    </w:p>
    <w:p/>
    <w:p>
      <w:pPr>
        <w:shd w:val="clear" w:color="auto" w:fill="F2F2F2"/>
      </w:pPr>
      <w:r>
        <w:rPr>
          <w:rFonts w:ascii="Courier New" w:hAnsi="Courier New"/>
          <w:sz w:val="16"/>
        </w:rPr>
        <w:t>【ゆうちょ持分50%まで売却した場合】</w:t>
        <w:br/>
        <w:t>売却株数: (89%-50%) = 39%分</w:t>
        <w:br/>
        <w:t>ゆうちょ時価総額: 約4.0兆円</w:t>
        <w:br/>
        <w:t>売却収入（39%分）: 約1.56兆円</w:t>
        <w:br/>
        <w:br/>
        <w:t>→ 一株当たり売却収入: ¥1.56兆円 ÷ 26億株 = 約¥600/株</w:t>
        <w:br/>
        <w:br/>
        <w:t>【デメリット】</w:t>
        <w:br/>
        <w:t>持分50%での経常配当受取額: 現在比▲44%減少</w:t>
        <w:br/>
        <w:t>→ 年間配当受取 ▲約250〜350億円減少</w:t>
        <w:br/>
        <w:t>→ 一株DPS影響: 約▲¥10〜13/株</w:t>
        <w:br/>
        <w:br/>
        <w:t>【ネット評価】</w:t>
        <w:br/>
        <w:t>売却収入の資本活用（自社株買い・DPS引き上げ）が鍵。</w:t>
        <w:br/>
        <w:t>単純売却は「バリュー中立〜やや弱気」</w:t>
        <w:br/>
        <w:t>自社株買いへの活用なら「強気」に転換</w:t>
      </w:r>
    </w:p>
    <w:p/>
    <w:p>
      <w:pPr>
        <w:pStyle w:val="Heading4"/>
      </w:pPr>
      <w:r>
        <w:rPr>
          <w:rFonts w:ascii="Meiryo UI" w:hAnsi="Meiryo UI"/>
          <w:color w:val="2E74B5"/>
        </w:rPr>
        <w:t>2.5.2 かんぽ生命（7181）の分析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影響</w:t>
            </w:r>
          </w:p>
        </w:tc>
      </w:tr>
      <w:tr>
        <w:tc>
          <w:tcPr>
            <w:tcW w:type="dxa" w:w="3135"/>
          </w:tcPr>
          <w:p>
            <w:r>
              <w:rPr>
                <w:rFonts w:ascii="Meiryo UI" w:hAnsi="Meiryo UI"/>
                <w:sz w:val="18"/>
              </w:rPr>
              <w:t>現在持分比率</w:t>
            </w:r>
          </w:p>
        </w:tc>
        <w:tc>
          <w:tcPr>
            <w:tcW w:type="dxa" w:w="3135"/>
          </w:tcPr>
          <w:p>
            <w:r>
              <w:rPr>
                <w:rFonts w:ascii="Meiryo UI" w:hAnsi="Meiryo UI"/>
                <w:sz w:val="18"/>
              </w:rPr>
              <w:t>約49%</w:t>
            </w:r>
          </w:p>
        </w:tc>
        <w:tc>
          <w:tcPr>
            <w:tcW w:type="dxa" w:w="3135"/>
          </w:tcPr>
          <w:p>
            <w:r>
              <w:rPr>
                <w:rFonts w:ascii="Meiryo UI" w:hAnsi="Meiryo UI"/>
                <w:sz w:val="18"/>
              </w:rPr>
              <w:t>持分法適用</w:t>
            </w:r>
          </w:p>
        </w:tc>
      </w:tr>
      <w:tr>
        <w:tc>
          <w:tcPr>
            <w:tcW w:type="dxa" w:w="3135"/>
            <w:shd w:val="clear" w:color="auto" w:fill="DDEBF7"/>
          </w:tcPr>
          <w:p>
            <w:r>
              <w:rPr>
                <w:rFonts w:ascii="Meiryo UI" w:hAnsi="Meiryo UI"/>
                <w:sz w:val="18"/>
              </w:rPr>
              <w:t>不正販売問題の影響</w:t>
            </w:r>
          </w:p>
        </w:tc>
        <w:tc>
          <w:tcPr>
            <w:tcW w:type="dxa" w:w="3135"/>
            <w:shd w:val="clear" w:color="auto" w:fill="DDEBF7"/>
          </w:tcPr>
          <w:p>
            <w:r>
              <w:rPr>
                <w:rFonts w:ascii="Meiryo UI" w:hAnsi="Meiryo UI"/>
                <w:sz w:val="18"/>
              </w:rPr>
              <w:t>一巡しつつある</w:t>
            </w:r>
          </w:p>
        </w:tc>
        <w:tc>
          <w:tcPr>
            <w:tcW w:type="dxa" w:w="3135"/>
            <w:shd w:val="clear" w:color="auto" w:fill="DDEBF7"/>
          </w:tcPr>
          <w:p>
            <w:r>
              <w:rPr>
                <w:rFonts w:ascii="Meiryo UI" w:hAnsi="Meiryo UI"/>
                <w:sz w:val="18"/>
              </w:rPr>
              <w:t>2025年以降は収益正常化</w:t>
            </w:r>
          </w:p>
        </w:tc>
      </w:tr>
      <w:tr>
        <w:tc>
          <w:tcPr>
            <w:tcW w:type="dxa" w:w="3135"/>
          </w:tcPr>
          <w:p>
            <w:r>
              <w:rPr>
                <w:rFonts w:ascii="Meiryo UI" w:hAnsi="Meiryo UI"/>
                <w:sz w:val="18"/>
              </w:rPr>
              <w:t>保険料収入の構造変化</w:t>
            </w:r>
          </w:p>
        </w:tc>
        <w:tc>
          <w:tcPr>
            <w:tcW w:type="dxa" w:w="3135"/>
          </w:tcPr>
          <w:p>
            <w:r>
              <w:rPr>
                <w:rFonts w:ascii="Meiryo UI" w:hAnsi="Meiryo UI"/>
                <w:sz w:val="18"/>
              </w:rPr>
              <w:t>契約件数減少傾向</w:t>
            </w:r>
          </w:p>
        </w:tc>
        <w:tc>
          <w:tcPr>
            <w:tcW w:type="dxa" w:w="3135"/>
          </w:tcPr>
          <w:p>
            <w:r>
              <w:rPr>
                <w:rFonts w:ascii="Meiryo UI" w:hAnsi="Meiryo UI"/>
                <w:sz w:val="18"/>
              </w:rPr>
              <w:t>長期的には縮小リスク</w:t>
            </w:r>
          </w:p>
        </w:tc>
      </w:tr>
      <w:tr>
        <w:tc>
          <w:tcPr>
            <w:tcW w:type="dxa" w:w="3135"/>
            <w:shd w:val="clear" w:color="auto" w:fill="DDEBF7"/>
          </w:tcPr>
          <w:p>
            <w:r>
              <w:rPr>
                <w:rFonts w:ascii="Meiryo UI" w:hAnsi="Meiryo UI"/>
                <w:sz w:val="18"/>
              </w:rPr>
              <w:t>含み益（保有有価証券）</w:t>
            </w:r>
          </w:p>
        </w:tc>
        <w:tc>
          <w:tcPr>
            <w:tcW w:type="dxa" w:w="3135"/>
            <w:shd w:val="clear" w:color="auto" w:fill="DDEBF7"/>
          </w:tcPr>
          <w:p>
            <w:r>
              <w:rPr>
                <w:rFonts w:ascii="Meiryo UI" w:hAnsi="Meiryo UI"/>
                <w:sz w:val="18"/>
              </w:rPr>
              <w:t>約2,000〜3,000億円</w:t>
            </w:r>
          </w:p>
        </w:tc>
        <w:tc>
          <w:tcPr>
            <w:tcW w:type="dxa" w:w="3135"/>
            <w:shd w:val="clear" w:color="auto" w:fill="DDEBF7"/>
          </w:tcPr>
          <w:p>
            <w:r>
              <w:rPr>
                <w:rFonts w:ascii="Meiryo UI" w:hAnsi="Meiryo UI"/>
                <w:sz w:val="18"/>
              </w:rPr>
              <w:t>金利上昇で一部評価損リスク</w:t>
            </w:r>
          </w:p>
        </w:tc>
      </w:tr>
    </w:tbl>
    <w:p/>
    <w:p>
      <w:r>
        <w:rPr>
          <w:rFonts w:ascii="Meiryo UI" w:hAnsi="Meiryo UI"/>
          <w:sz w:val="20"/>
        </w:rPr>
        <w:t>かんぽ持分のバリュー:</w:t>
      </w:r>
    </w:p>
    <w:p>
      <w:pPr>
        <w:shd w:val="clear" w:color="auto" w:fill="F2F2F2"/>
      </w:pPr>
      <w:r>
        <w:rPr>
          <w:rFonts w:ascii="Courier New" w:hAnsi="Courier New"/>
          <w:sz w:val="16"/>
        </w:rPr>
        <w:t>かんぽ時価総額（推定）: 約6,500億円</w:t>
        <w:br/>
        <w:t>49%持分価値: 約3,185億円</w:t>
        <w:br/>
        <w:t>一株換算: 約¥123/株</w:t>
        <w:br/>
        <w:br/>
        <w:t>→ 現在株価¥1,819の約6.8%相当</w:t>
        <w:br/>
        <w:t>→ かんぽの完全売却（完全分離）なら</w:t>
        <w:br/>
        <w:t xml:space="preserve">  売却収入 ¥3,185億円 ÷ 26億株 = ¥123/株の「特別収入」が可能</w:t>
        <w:br/>
        <w:t xml:space="preserve">  ただし連結利益からの除外もあり、影響は限定的</w:t>
      </w:r>
    </w:p>
    <w:p/>
    <w:p>
      <w:pPr>
        <w:pStyle w:val="Heading3"/>
      </w:pPr>
      <w:r>
        <w:rPr>
          <w:rFonts w:ascii="Meiryo UI" w:hAnsi="Meiryo UI"/>
          <w:color w:val="2E74B5"/>
        </w:rPr>
        <w:t>2.6 低ROE（4.4%）の構造的原因と改善余地</w:t>
      </w:r>
    </w:p>
    <w:p/>
    <w:p>
      <w:pPr>
        <w:pStyle w:val="Heading4"/>
      </w:pPr>
      <w:r>
        <w:rPr>
          <w:rFonts w:ascii="Meiryo UI" w:hAnsi="Meiryo UI"/>
          <w:color w:val="2E74B5"/>
        </w:rPr>
        <w:t>【低ROE構造の解剖】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原因</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改善可能性</w:t>
            </w:r>
          </w:p>
        </w:tc>
      </w:tr>
      <w:tr>
        <w:tc>
          <w:tcPr>
            <w:tcW w:type="dxa" w:w="3135"/>
          </w:tcPr>
          <w:p>
            <w:r>
              <w:rPr>
                <w:rFonts w:ascii="Meiryo UI" w:hAnsi="Meiryo UI"/>
                <w:sz w:val="18"/>
              </w:rPr>
              <w:t>①過剰な純資産（資本効率の低さ）</w:t>
            </w:r>
          </w:p>
        </w:tc>
        <w:tc>
          <w:tcPr>
            <w:tcW w:type="dxa" w:w="3135"/>
          </w:tcPr>
          <w:p>
            <w:r>
              <w:rPr>
                <w:rFonts w:ascii="Meiryo UI" w:hAnsi="Meiryo UI"/>
                <w:sz w:val="18"/>
              </w:rPr>
              <w:t>BPS¥3,381 vs 利益水準が低すぎる</w:t>
            </w:r>
          </w:p>
        </w:tc>
        <w:tc>
          <w:tcPr>
            <w:tcW w:type="dxa" w:w="3135"/>
          </w:tcPr>
          <w:p>
            <w:r>
              <w:rPr>
                <w:rFonts w:ascii="Meiryo UI" w:hAnsi="Meiryo UI"/>
                <w:sz w:val="18"/>
              </w:rPr>
              <w:t>自社株買いで分母縮小可能</w:t>
            </w:r>
          </w:p>
        </w:tc>
      </w:tr>
      <w:tr>
        <w:tc>
          <w:tcPr>
            <w:tcW w:type="dxa" w:w="3135"/>
            <w:shd w:val="clear" w:color="auto" w:fill="DDEBF7"/>
          </w:tcPr>
          <w:p>
            <w:r>
              <w:rPr>
                <w:rFonts w:ascii="Meiryo UI" w:hAnsi="Meiryo UI"/>
                <w:sz w:val="18"/>
              </w:rPr>
              <w:t>②郵便事業の収益性低下</w:t>
            </w:r>
          </w:p>
        </w:tc>
        <w:tc>
          <w:tcPr>
            <w:tcW w:type="dxa" w:w="3135"/>
            <w:shd w:val="clear" w:color="auto" w:fill="DDEBF7"/>
          </w:tcPr>
          <w:p>
            <w:r>
              <w:rPr>
                <w:rFonts w:ascii="Meiryo UI" w:hAnsi="Meiryo UI"/>
                <w:sz w:val="18"/>
              </w:rPr>
              <w:t>郵便物数が年▲3〜4%減少。固定費高い</w:t>
            </w:r>
          </w:p>
        </w:tc>
        <w:tc>
          <w:tcPr>
            <w:tcW w:type="dxa" w:w="3135"/>
            <w:shd w:val="clear" w:color="auto" w:fill="DDEBF7"/>
          </w:tcPr>
          <w:p>
            <w:r>
              <w:rPr>
                <w:rFonts w:ascii="Meiryo UI" w:hAnsi="Meiryo UI"/>
                <w:sz w:val="18"/>
              </w:rPr>
              <w:t>物流転換で中期改善余地</w:t>
            </w:r>
          </w:p>
        </w:tc>
      </w:tr>
      <w:tr>
        <w:tc>
          <w:tcPr>
            <w:tcW w:type="dxa" w:w="3135"/>
          </w:tcPr>
          <w:p>
            <w:r>
              <w:rPr>
                <w:rFonts w:ascii="Meiryo UI" w:hAnsi="Meiryo UI"/>
                <w:sz w:val="18"/>
              </w:rPr>
              <w:t>③ゆうちょ運用利回りの低さ</w:t>
            </w:r>
          </w:p>
        </w:tc>
        <w:tc>
          <w:tcPr>
            <w:tcW w:type="dxa" w:w="3135"/>
          </w:tcPr>
          <w:p>
            <w:r>
              <w:rPr>
                <w:rFonts w:ascii="Meiryo UI" w:hAnsi="Meiryo UI"/>
                <w:sz w:val="18"/>
              </w:rPr>
              <w:t>ゼロ金利政策下での長期低収益</w:t>
            </w:r>
          </w:p>
        </w:tc>
        <w:tc>
          <w:tcPr>
            <w:tcW w:type="dxa" w:w="3135"/>
          </w:tcPr>
          <w:p>
            <w:r>
              <w:rPr>
                <w:rFonts w:ascii="Meiryo UI" w:hAnsi="Meiryo UI"/>
                <w:sz w:val="18"/>
              </w:rPr>
              <w:t>日銀正常化で最大のポジティブ</w:t>
            </w:r>
          </w:p>
        </w:tc>
      </w:tr>
      <w:tr>
        <w:tc>
          <w:tcPr>
            <w:tcW w:type="dxa" w:w="3135"/>
            <w:shd w:val="clear" w:color="auto" w:fill="DDEBF7"/>
          </w:tcPr>
          <w:p>
            <w:r>
              <w:rPr>
                <w:rFonts w:ascii="Meiryo UI" w:hAnsi="Meiryo UI"/>
                <w:sz w:val="18"/>
              </w:rPr>
              <w:t>④かんぽ不正問題の後遺症</w:t>
            </w:r>
          </w:p>
        </w:tc>
        <w:tc>
          <w:tcPr>
            <w:tcW w:type="dxa" w:w="3135"/>
            <w:shd w:val="clear" w:color="auto" w:fill="DDEBF7"/>
          </w:tcPr>
          <w:p>
            <w:r>
              <w:rPr>
                <w:rFonts w:ascii="Meiryo UI" w:hAnsi="Meiryo UI"/>
                <w:sz w:val="18"/>
              </w:rPr>
              <w:t>損害賠償・業務停止コスト</w:t>
            </w:r>
          </w:p>
        </w:tc>
        <w:tc>
          <w:tcPr>
            <w:tcW w:type="dxa" w:w="3135"/>
            <w:shd w:val="clear" w:color="auto" w:fill="DDEBF7"/>
          </w:tcPr>
          <w:p>
            <w:r>
              <w:rPr>
                <w:rFonts w:ascii="Meiryo UI" w:hAnsi="Meiryo UI"/>
                <w:sz w:val="18"/>
              </w:rPr>
              <w:t>2025年以降ほぼ一巡</w:t>
            </w:r>
          </w:p>
        </w:tc>
      </w:tr>
      <w:tr>
        <w:tc>
          <w:tcPr>
            <w:tcW w:type="dxa" w:w="3135"/>
          </w:tcPr>
          <w:p>
            <w:r>
              <w:rPr>
                <w:rFonts w:ascii="Meiryo UI" w:hAnsi="Meiryo UI"/>
                <w:sz w:val="18"/>
              </w:rPr>
              <w:t>⑤コングロマリット非効率</w:t>
            </w:r>
          </w:p>
        </w:tc>
        <w:tc>
          <w:tcPr>
            <w:tcW w:type="dxa" w:w="3135"/>
          </w:tcPr>
          <w:p>
            <w:r>
              <w:rPr>
                <w:rFonts w:ascii="Meiryo UI" w:hAnsi="Meiryo UI"/>
                <w:sz w:val="18"/>
              </w:rPr>
              <w:t>事業間の資本移動が硬直的</w:t>
            </w:r>
          </w:p>
        </w:tc>
        <w:tc>
          <w:tcPr>
            <w:tcW w:type="dxa" w:w="3135"/>
          </w:tcPr>
          <w:p>
            <w:r>
              <w:rPr>
                <w:rFonts w:ascii="Meiryo UI" w:hAnsi="Meiryo UI"/>
                <w:sz w:val="18"/>
              </w:rPr>
              <w:t>持株会社改革が必要</w:t>
            </w:r>
          </w:p>
        </w:tc>
      </w:tr>
    </w:tbl>
    <w:p/>
    <w:p>
      <w:pPr>
        <w:pStyle w:val="Heading4"/>
      </w:pPr>
      <w:r>
        <w:rPr>
          <w:rFonts w:ascii="Meiryo UI" w:hAnsi="Meiryo UI"/>
          <w:color w:val="2E74B5"/>
        </w:rPr>
        <w:t>【ROE改善シナリオ】</w:t>
      </w:r>
    </w:p>
    <w:p/>
    <w:p>
      <w:pPr>
        <w:shd w:val="clear" w:color="auto" w:fill="F2F2F2"/>
      </w:pPr>
      <w:r>
        <w:rPr>
          <w:rFonts w:ascii="Courier New" w:hAnsi="Courier New"/>
          <w:sz w:val="16"/>
        </w:rPr>
        <w:t>現状 ROE 4.4%</w:t>
        <w:br/>
        <w:br/>
        <w:t>シナリオA（2028年目標）:</w:t>
        <w:br/>
        <w:t xml:space="preserve">  ゆうちょNIM改善（+0.3%）による純利益増: +約800億円</w:t>
        <w:br/>
        <w:t xml:space="preserve">  物流事業改善: +200億円</w:t>
        <w:br/>
        <w:t xml:space="preserve">  自社株買い（資本効率改善）: ROE分母圧縮効果</w:t>
        <w:br/>
        <w:t xml:space="preserve">  → 合計 ROE 6.0〜6.5%水準へ改善可能</w:t>
        <w:br/>
        <w:br/>
        <w:t>シナリオB（2030年目標・楽観）:</w:t>
        <w:br/>
        <w:t xml:space="preserve">  ゆうちょの金利正常化完了 + 不動産収益化 + デジタル化完了</w:t>
        <w:br/>
        <w:t xml:space="preserve">  → ROE 7.0〜8.0%水準</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直近FY実績（FY2025/3期ベース・公開情報）</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前年比</w:t>
            </w:r>
          </w:p>
        </w:tc>
      </w:tr>
      <w:tr>
        <w:tc>
          <w:tcPr>
            <w:tcW w:type="dxa" w:w="3135"/>
          </w:tcPr>
          <w:p>
            <w:r>
              <w:rPr>
                <w:rFonts w:ascii="Meiryo UI" w:hAnsi="Meiryo UI"/>
                <w:sz w:val="18"/>
              </w:rPr>
              <w:t>連結営業収益（売上高）</w:t>
            </w:r>
          </w:p>
        </w:tc>
        <w:tc>
          <w:tcPr>
            <w:tcW w:type="dxa" w:w="3135"/>
          </w:tcPr>
          <w:p>
            <w:r>
              <w:rPr>
                <w:rFonts w:ascii="Meiryo UI" w:hAnsi="Meiryo UI"/>
                <w:sz w:val="18"/>
              </w:rPr>
              <w:t>約¥13.5兆円</w:t>
            </w:r>
          </w:p>
        </w:tc>
        <w:tc>
          <w:tcPr>
            <w:tcW w:type="dxa" w:w="3135"/>
          </w:tcPr>
          <w:p>
            <w:r>
              <w:rPr>
                <w:rFonts w:ascii="Meiryo UI" w:hAnsi="Meiryo UI"/>
                <w:sz w:val="18"/>
              </w:rPr>
              <w:t>+2.3%</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約¥4,500億円</w:t>
            </w:r>
          </w:p>
        </w:tc>
        <w:tc>
          <w:tcPr>
            <w:tcW w:type="dxa" w:w="3135"/>
            <w:shd w:val="clear" w:color="auto" w:fill="DDEBF7"/>
          </w:tcPr>
          <w:p>
            <w:r>
              <w:rPr>
                <w:rFonts w:ascii="Meiryo UI" w:hAnsi="Meiryo UI"/>
                <w:sz w:val="18"/>
              </w:rPr>
              <w:t>+5.1%</w:t>
            </w:r>
          </w:p>
        </w:tc>
      </w:tr>
      <w:tr>
        <w:tc>
          <w:tcPr>
            <w:tcW w:type="dxa" w:w="3135"/>
          </w:tcPr>
          <w:p>
            <w:r>
              <w:rPr>
                <w:rFonts w:ascii="Meiryo UI" w:hAnsi="Meiryo UI"/>
                <w:sz w:val="18"/>
              </w:rPr>
              <w:t>営業利益率</w:t>
            </w:r>
          </w:p>
        </w:tc>
        <w:tc>
          <w:tcPr>
            <w:tcW w:type="dxa" w:w="3135"/>
          </w:tcPr>
          <w:p>
            <w:r>
              <w:rPr>
                <w:rFonts w:ascii="Meiryo UI" w:hAnsi="Meiryo UI"/>
                <w:sz w:val="18"/>
              </w:rPr>
              <w:t>約3.3%</w:t>
            </w:r>
          </w:p>
        </w:tc>
        <w:tc>
          <w:tcPr>
            <w:tcW w:type="dxa" w:w="3135"/>
          </w:tcPr>
          <w:p>
            <w:r>
              <w:rPr>
                <w:rFonts w:ascii="Meiryo UI" w:hAnsi="Meiryo UI"/>
                <w:sz w:val="18"/>
              </w:rPr>
              <w:t>+0.1pt</w:t>
            </w:r>
          </w:p>
        </w:tc>
      </w:tr>
      <w:tr>
        <w:tc>
          <w:tcPr>
            <w:tcW w:type="dxa" w:w="3135"/>
            <w:shd w:val="clear" w:color="auto" w:fill="DDEBF7"/>
          </w:tcPr>
          <w:p>
            <w:r>
              <w:rPr>
                <w:rFonts w:ascii="Meiryo UI" w:hAnsi="Meiryo UI"/>
                <w:sz w:val="18"/>
              </w:rPr>
              <w:t>当期純利益</w:t>
            </w:r>
          </w:p>
        </w:tc>
        <w:tc>
          <w:tcPr>
            <w:tcW w:type="dxa" w:w="3135"/>
            <w:shd w:val="clear" w:color="auto" w:fill="DDEBF7"/>
          </w:tcPr>
          <w:p>
            <w:r>
              <w:rPr>
                <w:rFonts w:ascii="Meiryo UI" w:hAnsi="Meiryo UI"/>
                <w:sz w:val="18"/>
              </w:rPr>
              <w:t>約¥3,200億円</w:t>
            </w:r>
          </w:p>
        </w:tc>
        <w:tc>
          <w:tcPr>
            <w:tcW w:type="dxa" w:w="3135"/>
            <w:shd w:val="clear" w:color="auto" w:fill="DDEBF7"/>
          </w:tcPr>
          <w:p>
            <w:r>
              <w:rPr>
                <w:rFonts w:ascii="Meiryo UI" w:hAnsi="Meiryo UI"/>
                <w:sz w:val="18"/>
              </w:rPr>
              <w:t>+3.8%</w:t>
            </w:r>
          </w:p>
        </w:tc>
      </w:tr>
      <w:tr>
        <w:tc>
          <w:tcPr>
            <w:tcW w:type="dxa" w:w="3135"/>
          </w:tcPr>
          <w:p>
            <w:r>
              <w:rPr>
                <w:rFonts w:ascii="Meiryo UI" w:hAnsi="Meiryo UI"/>
                <w:sz w:val="18"/>
              </w:rPr>
              <w:t>EPS</w:t>
            </w:r>
          </w:p>
        </w:tc>
        <w:tc>
          <w:tcPr>
            <w:tcW w:type="dxa" w:w="3135"/>
          </w:tcPr>
          <w:p>
            <w:r>
              <w:rPr>
                <w:rFonts w:ascii="Meiryo UI" w:hAnsi="Meiryo UI"/>
                <w:sz w:val="18"/>
              </w:rPr>
              <w:t>¥123</w:t>
            </w:r>
          </w:p>
        </w:tc>
        <w:tc>
          <w:tcPr>
            <w:tcW w:type="dxa" w:w="3135"/>
          </w:tcPr>
          <w:p>
            <w:r>
              <w:rPr>
                <w:rFonts w:ascii="Meiryo UI" w:hAnsi="Meiryo UI"/>
                <w:sz w:val="18"/>
              </w:rPr>
              <w:t>（yfinance確認値）</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¥3,381</w:t>
            </w:r>
          </w:p>
        </w:tc>
        <w:tc>
          <w:tcPr>
            <w:tcW w:type="dxa" w:w="3135"/>
            <w:shd w:val="clear" w:color="auto" w:fill="DDEBF7"/>
          </w:tcPr>
          <w:p>
            <w:r>
              <w:rPr>
                <w:rFonts w:ascii="Meiryo UI" w:hAnsi="Meiryo UI"/>
                <w:sz w:val="18"/>
              </w:rPr>
              <w:t>（yfinance確認値）</w:t>
            </w:r>
          </w:p>
        </w:tc>
      </w:tr>
      <w:tr>
        <w:tc>
          <w:tcPr>
            <w:tcW w:type="dxa" w:w="3135"/>
          </w:tcPr>
          <w:p>
            <w:r>
              <w:rPr>
                <w:rFonts w:ascii="Meiryo UI" w:hAnsi="Meiryo UI"/>
                <w:sz w:val="18"/>
              </w:rPr>
              <w:t>ROE</w:t>
            </w:r>
          </w:p>
        </w:tc>
        <w:tc>
          <w:tcPr>
            <w:tcW w:type="dxa" w:w="3135"/>
          </w:tcPr>
          <w:p>
            <w:r>
              <w:rPr>
                <w:rFonts w:ascii="Meiryo UI" w:hAnsi="Meiryo UI"/>
                <w:sz w:val="18"/>
              </w:rPr>
              <w:t>4.4%</w:t>
            </w:r>
          </w:p>
        </w:tc>
        <w:tc>
          <w:tcPr>
            <w:tcW w:type="dxa" w:w="3135"/>
          </w:tcPr>
          <w:p>
            <w:r>
              <w:rPr>
                <w:rFonts w:ascii="Meiryo UI" w:hAnsi="Meiryo UI"/>
                <w:sz w:val="18"/>
              </w:rPr>
              <w:t>（yfinance確認値）</w:t>
            </w:r>
          </w:p>
        </w:tc>
      </w:tr>
      <w:tr>
        <w:tc>
          <w:tcPr>
            <w:tcW w:type="dxa" w:w="3135"/>
            <w:shd w:val="clear" w:color="auto" w:fill="DDEBF7"/>
          </w:tcPr>
          <w:p>
            <w:r>
              <w:rPr>
                <w:rFonts w:ascii="Meiryo UI" w:hAnsi="Meiryo UI"/>
                <w:sz w:val="18"/>
              </w:rPr>
              <w:t>配当（DPS）</w:t>
            </w:r>
          </w:p>
        </w:tc>
        <w:tc>
          <w:tcPr>
            <w:tcW w:type="dxa" w:w="3135"/>
            <w:shd w:val="clear" w:color="auto" w:fill="DDEBF7"/>
          </w:tcPr>
          <w:p>
            <w:r>
              <w:rPr>
                <w:rFonts w:ascii="Meiryo UI" w:hAnsi="Meiryo UI"/>
                <w:sz w:val="18"/>
              </w:rPr>
              <w:t>約¥50/株（推定）</w:t>
            </w:r>
          </w:p>
        </w:tc>
        <w:tc>
          <w:tcPr>
            <w:tcW w:type="dxa" w:w="3135"/>
            <w:shd w:val="clear" w:color="auto" w:fill="DDEBF7"/>
          </w:tcPr>
          <w:p>
            <w:r>
              <w:rPr>
                <w:rFonts w:ascii="Meiryo UI" w:hAnsi="Meiryo UI"/>
                <w:sz w:val="18"/>
              </w:rPr>
              <w:t>維持〜小幅増配傾向</w:t>
            </w:r>
          </w:p>
        </w:tc>
      </w:tr>
      <w:tr>
        <w:tc>
          <w:tcPr>
            <w:tcW w:type="dxa" w:w="3135"/>
          </w:tcPr>
          <w:p>
            <w:r>
              <w:rPr>
                <w:rFonts w:ascii="Meiryo UI" w:hAnsi="Meiryo UI"/>
                <w:sz w:val="18"/>
              </w:rPr>
              <w:t>配当利回り</w:t>
            </w:r>
          </w:p>
        </w:tc>
        <w:tc>
          <w:tcPr>
            <w:tcW w:type="dxa" w:w="3135"/>
          </w:tcPr>
          <w:p>
            <w:r>
              <w:rPr>
                <w:rFonts w:ascii="Meiryo UI" w:hAnsi="Meiryo UI"/>
                <w:sz w:val="18"/>
              </w:rPr>
              <w:t>約2.75%</w:t>
            </w:r>
          </w:p>
        </w:tc>
        <w:tc>
          <w:tcPr>
            <w:tcW w:type="dxa" w:w="3135"/>
          </w:tcPr>
          <w:p>
            <w:r>
              <w:rPr>
                <w:rFonts w:ascii="Meiryo UI" w:hAnsi="Meiryo UI"/>
                <w:sz w:val="18"/>
              </w:rPr>
              <w:t>現在株価¥1,819基準</w:t>
            </w:r>
          </w:p>
        </w:tc>
      </w:tr>
      <w:tr>
        <w:tc>
          <w:tcPr>
            <w:tcW w:type="dxa" w:w="3135"/>
            <w:shd w:val="clear" w:color="auto" w:fill="DDEBF7"/>
          </w:tcPr>
          <w:p>
            <w:r>
              <w:rPr>
                <w:rFonts w:ascii="Meiryo UI" w:hAnsi="Meiryo UI"/>
                <w:sz w:val="18"/>
              </w:rPr>
              <w:t>自社株買い</w:t>
            </w:r>
          </w:p>
        </w:tc>
        <w:tc>
          <w:tcPr>
            <w:tcW w:type="dxa" w:w="3135"/>
            <w:shd w:val="clear" w:color="auto" w:fill="DDEBF7"/>
          </w:tcPr>
          <w:p>
            <w:r>
              <w:rPr>
                <w:rFonts w:ascii="Meiryo UI" w:hAnsi="Meiryo UI"/>
                <w:sz w:val="18"/>
              </w:rPr>
              <w:t>実施継続中</w:t>
            </w:r>
          </w:p>
        </w:tc>
        <w:tc>
          <w:tcPr>
            <w:tcW w:type="dxa" w:w="3135"/>
            <w:shd w:val="clear" w:color="auto" w:fill="DDEBF7"/>
          </w:tcPr>
          <w:p>
            <w:r>
              <w:rPr>
                <w:rFonts w:ascii="Meiryo UI" w:hAnsi="Meiryo UI"/>
                <w:sz w:val="18"/>
              </w:rPr>
              <w:t>中期計画内</w:t>
            </w:r>
          </w:p>
        </w:tc>
      </w:tr>
    </w:tbl>
    <w:p/>
    <w:p>
      <w:pPr>
        <w:pStyle w:val="Heading3"/>
      </w:pPr>
      <w:r>
        <w:rPr>
          <w:rFonts w:ascii="Meiryo UI" w:hAnsi="Meiryo UI"/>
          <w:color w:val="2E74B5"/>
        </w:rPr>
        <w:t>3.2 セグメント別収益性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営業収益</w:t>
            </w:r>
          </w:p>
        </w:tc>
        <w:tc>
          <w:tcPr>
            <w:tcW w:type="dxa" w:w="2351"/>
            <w:shd w:val="clear" w:color="auto" w:fill="2E74B5"/>
          </w:tcPr>
          <w:p>
            <w:r>
              <w:rPr>
                <w:rFonts w:ascii="Meiryo UI" w:hAnsi="Meiryo UI"/>
                <w:b/>
                <w:color w:val="FFFFFF"/>
                <w:sz w:val="18"/>
              </w:rPr>
              <w:t>営業利益</w:t>
            </w:r>
          </w:p>
        </w:tc>
        <w:tc>
          <w:tcPr>
            <w:tcW w:type="dxa" w:w="2351"/>
            <w:shd w:val="clear" w:color="auto" w:fill="2E74B5"/>
          </w:tcPr>
          <w:p>
            <w:r>
              <w:rPr>
                <w:rFonts w:ascii="Meiryo UI" w:hAnsi="Meiryo UI"/>
                <w:b/>
                <w:color w:val="FFFFFF"/>
                <w:sz w:val="18"/>
              </w:rPr>
              <w:t>利益率</w:t>
            </w:r>
          </w:p>
        </w:tc>
      </w:tr>
      <w:tr>
        <w:tc>
          <w:tcPr>
            <w:tcW w:type="dxa" w:w="2351"/>
          </w:tcPr>
          <w:p>
            <w:r>
              <w:rPr>
                <w:rFonts w:ascii="Meiryo UI" w:hAnsi="Meiryo UI"/>
                <w:sz w:val="18"/>
              </w:rPr>
              <w:t>郵便・物流</w:t>
            </w:r>
          </w:p>
        </w:tc>
        <w:tc>
          <w:tcPr>
            <w:tcW w:type="dxa" w:w="2351"/>
          </w:tcPr>
          <w:p>
            <w:r>
              <w:rPr>
                <w:rFonts w:ascii="Meiryo UI" w:hAnsi="Meiryo UI"/>
                <w:sz w:val="18"/>
              </w:rPr>
              <w:t>約¥5.0兆円</w:t>
            </w:r>
          </w:p>
        </w:tc>
        <w:tc>
          <w:tcPr>
            <w:tcW w:type="dxa" w:w="2351"/>
          </w:tcPr>
          <w:p>
            <w:r>
              <w:rPr>
                <w:rFonts w:ascii="Meiryo UI" w:hAnsi="Meiryo UI"/>
                <w:sz w:val="18"/>
              </w:rPr>
              <w:t>約¥500億円</w:t>
            </w:r>
          </w:p>
        </w:tc>
        <w:tc>
          <w:tcPr>
            <w:tcW w:type="dxa" w:w="2351"/>
          </w:tcPr>
          <w:p>
            <w:r>
              <w:rPr>
                <w:rFonts w:ascii="Meiryo UI" w:hAnsi="Meiryo UI"/>
                <w:sz w:val="18"/>
              </w:rPr>
              <w:t>1.0%</w:t>
            </w:r>
          </w:p>
        </w:tc>
      </w:tr>
      <w:tr>
        <w:tc>
          <w:tcPr>
            <w:tcW w:type="dxa" w:w="2351"/>
            <w:shd w:val="clear" w:color="auto" w:fill="DDEBF7"/>
          </w:tcPr>
          <w:p>
            <w:r>
              <w:rPr>
                <w:rFonts w:ascii="Meiryo UI" w:hAnsi="Meiryo UI"/>
                <w:sz w:val="18"/>
              </w:rPr>
              <w:t>金融窓口（郵便局）</w:t>
            </w:r>
          </w:p>
        </w:tc>
        <w:tc>
          <w:tcPr>
            <w:tcW w:type="dxa" w:w="2351"/>
            <w:shd w:val="clear" w:color="auto" w:fill="DDEBF7"/>
          </w:tcPr>
          <w:p>
            <w:r>
              <w:rPr>
                <w:rFonts w:ascii="Meiryo UI" w:hAnsi="Meiryo UI"/>
                <w:sz w:val="18"/>
              </w:rPr>
              <w:t>約¥1.8兆円</w:t>
            </w:r>
          </w:p>
        </w:tc>
        <w:tc>
          <w:tcPr>
            <w:tcW w:type="dxa" w:w="2351"/>
            <w:shd w:val="clear" w:color="auto" w:fill="DDEBF7"/>
          </w:tcPr>
          <w:p>
            <w:r>
              <w:rPr>
                <w:rFonts w:ascii="Meiryo UI" w:hAnsi="Meiryo UI"/>
                <w:sz w:val="18"/>
              </w:rPr>
              <w:t>約¥200億円</w:t>
            </w:r>
          </w:p>
        </w:tc>
        <w:tc>
          <w:tcPr>
            <w:tcW w:type="dxa" w:w="2351"/>
            <w:shd w:val="clear" w:color="auto" w:fill="DDEBF7"/>
          </w:tcPr>
          <w:p>
            <w:r>
              <w:rPr>
                <w:rFonts w:ascii="Meiryo UI" w:hAnsi="Meiryo UI"/>
                <w:sz w:val="18"/>
              </w:rPr>
              <w:t>1.1%</w:t>
            </w:r>
          </w:p>
        </w:tc>
      </w:tr>
      <w:tr>
        <w:tc>
          <w:tcPr>
            <w:tcW w:type="dxa" w:w="2351"/>
          </w:tcPr>
          <w:p>
            <w:r>
              <w:rPr>
                <w:rFonts w:ascii="Meiryo UI" w:hAnsi="Meiryo UI"/>
                <w:sz w:val="18"/>
              </w:rPr>
              <w:t>ゆうちょ銀行</w:t>
            </w:r>
          </w:p>
        </w:tc>
        <w:tc>
          <w:tcPr>
            <w:tcW w:type="dxa" w:w="2351"/>
          </w:tcPr>
          <w:p>
            <w:r>
              <w:rPr>
                <w:rFonts w:ascii="Meiryo UI" w:hAnsi="Meiryo UI"/>
                <w:sz w:val="18"/>
              </w:rPr>
              <w:t>約¥5.0兆円</w:t>
            </w:r>
          </w:p>
        </w:tc>
        <w:tc>
          <w:tcPr>
            <w:tcW w:type="dxa" w:w="2351"/>
          </w:tcPr>
          <w:p>
            <w:r>
              <w:rPr>
                <w:rFonts w:ascii="Meiryo UI" w:hAnsi="Meiryo UI"/>
                <w:sz w:val="18"/>
              </w:rPr>
              <w:t>約¥2,500億円</w:t>
            </w:r>
          </w:p>
        </w:tc>
        <w:tc>
          <w:tcPr>
            <w:tcW w:type="dxa" w:w="2351"/>
          </w:tcPr>
          <w:p>
            <w:r>
              <w:rPr>
                <w:rFonts w:ascii="Meiryo UI" w:hAnsi="Meiryo UI"/>
                <w:sz w:val="18"/>
              </w:rPr>
              <w:t>5.0%</w:t>
            </w:r>
          </w:p>
        </w:tc>
      </w:tr>
      <w:tr>
        <w:tc>
          <w:tcPr>
            <w:tcW w:type="dxa" w:w="2351"/>
            <w:shd w:val="clear" w:color="auto" w:fill="DDEBF7"/>
          </w:tcPr>
          <w:p>
            <w:r>
              <w:rPr>
                <w:rFonts w:ascii="Meiryo UI" w:hAnsi="Meiryo UI"/>
                <w:sz w:val="18"/>
              </w:rPr>
              <w:t>かんぽ生命</w:t>
            </w:r>
          </w:p>
        </w:tc>
        <w:tc>
          <w:tcPr>
            <w:tcW w:type="dxa" w:w="2351"/>
            <w:shd w:val="clear" w:color="auto" w:fill="DDEBF7"/>
          </w:tcPr>
          <w:p>
            <w:r>
              <w:rPr>
                <w:rFonts w:ascii="Meiryo UI" w:hAnsi="Meiryo UI"/>
                <w:sz w:val="18"/>
              </w:rPr>
              <w:t>約¥1.7兆円</w:t>
            </w:r>
          </w:p>
        </w:tc>
        <w:tc>
          <w:tcPr>
            <w:tcW w:type="dxa" w:w="2351"/>
            <w:shd w:val="clear" w:color="auto" w:fill="DDEBF7"/>
          </w:tcPr>
          <w:p>
            <w:r>
              <w:rPr>
                <w:rFonts w:ascii="Meiryo UI" w:hAnsi="Meiryo UI"/>
                <w:sz w:val="18"/>
              </w:rPr>
              <w:t>約¥900億円</w:t>
            </w:r>
          </w:p>
        </w:tc>
        <w:tc>
          <w:tcPr>
            <w:tcW w:type="dxa" w:w="2351"/>
            <w:shd w:val="clear" w:color="auto" w:fill="DDEBF7"/>
          </w:tcPr>
          <w:p>
            <w:r>
              <w:rPr>
                <w:rFonts w:ascii="Meiryo UI" w:hAnsi="Meiryo UI"/>
                <w:sz w:val="18"/>
              </w:rPr>
              <w:t>5.3%</w:t>
            </w:r>
          </w:p>
        </w:tc>
      </w:tr>
      <w:tr>
        <w:tc>
          <w:tcPr>
            <w:tcW w:type="dxa" w:w="2351"/>
          </w:tcPr>
          <w:p>
            <w:r>
              <w:rPr>
                <w:rFonts w:ascii="Meiryo UI" w:hAnsi="Meiryo UI"/>
                <w:sz w:val="18"/>
              </w:rPr>
              <w:t>不動産・その他</w:t>
            </w:r>
          </w:p>
        </w:tc>
        <w:tc>
          <w:tcPr>
            <w:tcW w:type="dxa" w:w="2351"/>
          </w:tcPr>
          <w:p>
            <w:r>
              <w:rPr>
                <w:rFonts w:ascii="Meiryo UI" w:hAnsi="Meiryo UI"/>
                <w:sz w:val="18"/>
              </w:rPr>
              <w:t>約¥1.0兆円</w:t>
            </w:r>
          </w:p>
        </w:tc>
        <w:tc>
          <w:tcPr>
            <w:tcW w:type="dxa" w:w="2351"/>
          </w:tcPr>
          <w:p>
            <w:r>
              <w:rPr>
                <w:rFonts w:ascii="Meiryo UI" w:hAnsi="Meiryo UI"/>
                <w:sz w:val="18"/>
              </w:rPr>
              <w:t>約¥400億円</w:t>
            </w:r>
          </w:p>
        </w:tc>
        <w:tc>
          <w:tcPr>
            <w:tcW w:type="dxa" w:w="2351"/>
          </w:tcPr>
          <w:p>
            <w:r>
              <w:rPr>
                <w:rFonts w:ascii="Meiryo UI" w:hAnsi="Meiryo UI"/>
                <w:sz w:val="18"/>
              </w:rPr>
              <w:t>4.0%</w:t>
            </w:r>
          </w:p>
        </w:tc>
      </w:tr>
    </w:tbl>
    <w:p/>
    <w:p>
      <w:pPr>
        <w:pStyle w:val="Heading3"/>
      </w:pPr>
      <w:r>
        <w:rPr>
          <w:rFonts w:ascii="Meiryo UI" w:hAnsi="Meiryo UI"/>
          <w:color w:val="2E74B5"/>
        </w:rPr>
        <w:t>3.3 FCF・キャッシュフロー</w:t>
      </w:r>
    </w:p>
    <w:p/>
    <w:p>
      <w:pPr>
        <w:shd w:val="clear" w:color="auto" w:fill="F2F2F2"/>
      </w:pPr>
      <w:r>
        <w:rPr>
          <w:rFonts w:ascii="Courier New" w:hAnsi="Courier New"/>
          <w:sz w:val="16"/>
        </w:rPr>
        <w:t>営業CF（推定）: 約¥6,000〜7,000億円/年</w:t>
        <w:br/>
        <w:t>投資CF（推定）: 約▲¥3,000〜4,000億円/年</w:t>
        <w:br/>
        <w:t>フリーCF（推定）: 約¥2,500〜3,500億円/年</w:t>
        <w:br/>
        <w:t>FCFマージン（売上高対比）: 約1.9〜2.6%</w:t>
        <w:br/>
        <w:br/>
        <w:t>→ FCFの使途: 配当（約¥1,300億円/年）+ 自社株買い（約¥500〜1,000億円/年）</w:t>
        <w:br/>
        <w:t>→ 株主還元総額: 約¥1,800〜2,300億円/年</w:t>
        <w:br/>
        <w:t>→ FCFカバレッジ: 概ね1.2〜1.5倍 → 配当の持続性は高い</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WACC算出</w:t>
      </w:r>
    </w:p>
    <w:p/>
    <w:p>
      <w:pPr>
        <w:pStyle w:val="Heading4"/>
      </w:pPr>
      <w:r>
        <w:rPr>
          <w:rFonts w:ascii="Meiryo UI" w:hAnsi="Meiryo UI"/>
          <w:color w:val="2E74B5"/>
        </w:rPr>
        <w:t>資本構成・コスト前提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根拠・出典</w:t>
            </w:r>
          </w:p>
        </w:tc>
      </w:tr>
      <w:tr>
        <w:tc>
          <w:tcPr>
            <w:tcW w:type="dxa" w:w="3135"/>
          </w:tcPr>
          <w:p>
            <w:r>
              <w:rPr>
                <w:rFonts w:ascii="Meiryo UI" w:hAnsi="Meiryo UI"/>
                <w:sz w:val="18"/>
              </w:rPr>
              <w:t>Rf（リスクフリーレート）</w:t>
            </w:r>
          </w:p>
        </w:tc>
        <w:tc>
          <w:tcPr>
            <w:tcW w:type="dxa" w:w="3135"/>
          </w:tcPr>
          <w:p>
            <w:r>
              <w:rPr>
                <w:rFonts w:ascii="Meiryo UI" w:hAnsi="Meiryo UI"/>
                <w:sz w:val="18"/>
              </w:rPr>
              <w:t>2.380%</w:t>
            </w:r>
          </w:p>
        </w:tc>
        <w:tc>
          <w:tcPr>
            <w:tcW w:type="dxa" w:w="3135"/>
          </w:tcPr>
          <w:p>
            <w:r>
              <w:rPr>
                <w:rFonts w:ascii="Meiryo UI" w:hAnsi="Meiryo UI"/>
                <w:sz w:val="18"/>
              </w:rPr>
              <w:t>JGB10Y（社長確認値 2026-04-06）</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5.50%</w:t>
            </w:r>
          </w:p>
        </w:tc>
        <w:tc>
          <w:tcPr>
            <w:tcW w:type="dxa" w:w="3135"/>
            <w:shd w:val="clear" w:color="auto" w:fill="DDEBF7"/>
          </w:tcPr>
          <w:p>
            <w:r>
              <w:rPr>
                <w:rFonts w:ascii="Meiryo UI" w:hAnsi="Meiryo UI"/>
                <w:sz w:val="18"/>
              </w:rPr>
              <w:t>日本株式市場標準値（Damodaran 2025）</w:t>
            </w:r>
          </w:p>
        </w:tc>
      </w:tr>
      <w:tr>
        <w:tc>
          <w:tcPr>
            <w:tcW w:type="dxa" w:w="3135"/>
          </w:tcPr>
          <w:p>
            <w:r>
              <w:rPr>
                <w:rFonts w:ascii="Meiryo UI" w:hAnsi="Meiryo UI"/>
                <w:sz w:val="18"/>
              </w:rPr>
              <w:t>β（ベータ）</w:t>
            </w:r>
          </w:p>
        </w:tc>
        <w:tc>
          <w:tcPr>
            <w:tcW w:type="dxa" w:w="3135"/>
          </w:tcPr>
          <w:p>
            <w:r>
              <w:rPr>
                <w:rFonts w:ascii="Meiryo UI" w:hAnsi="Meiryo UI"/>
                <w:sz w:val="18"/>
              </w:rPr>
              <w:t>1.10</w:t>
            </w:r>
          </w:p>
        </w:tc>
        <w:tc>
          <w:tcPr>
            <w:tcW w:type="dxa" w:w="3135"/>
          </w:tcPr>
          <w:p>
            <w:r>
              <w:rPr>
                <w:rFonts w:ascii="Meiryo UI" w:hAnsi="Meiryo UI"/>
                <w:sz w:val="18"/>
              </w:rPr>
              <w:t>金融持株会社・規制業種・低流動性調整</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8.43%</w:t>
            </w:r>
          </w:p>
        </w:tc>
        <w:tc>
          <w:tcPr>
            <w:tcW w:type="dxa" w:w="3135"/>
            <w:shd w:val="clear" w:color="auto" w:fill="DDEBF7"/>
          </w:tcPr>
          <w:p>
            <w:r>
              <w:rPr>
                <w:rFonts w:ascii="Meiryo UI" w:hAnsi="Meiryo UI"/>
                <w:sz w:val="18"/>
              </w:rPr>
              <w:t>Re = 2.380% + 1.10 × 5.50%</w:t>
            </w:r>
          </w:p>
        </w:tc>
      </w:tr>
      <w:tr>
        <w:tc>
          <w:tcPr>
            <w:tcW w:type="dxa" w:w="3135"/>
          </w:tcPr>
          <w:p>
            <w:r>
              <w:rPr>
                <w:rFonts w:ascii="Meiryo UI" w:hAnsi="Meiryo UI"/>
                <w:sz w:val="18"/>
              </w:rPr>
              <w:t>Rd（負債コスト）</w:t>
            </w:r>
          </w:p>
        </w:tc>
        <w:tc>
          <w:tcPr>
            <w:tcW w:type="dxa" w:w="3135"/>
          </w:tcPr>
          <w:p>
            <w:r>
              <w:rPr>
                <w:rFonts w:ascii="Meiryo UI" w:hAnsi="Meiryo UI"/>
                <w:sz w:val="18"/>
              </w:rPr>
              <w:t>1.80%</w:t>
            </w:r>
          </w:p>
        </w:tc>
        <w:tc>
          <w:tcPr>
            <w:tcW w:type="dxa" w:w="3135"/>
          </w:tcPr>
          <w:p>
            <w:r>
              <w:rPr>
                <w:rFonts w:ascii="Meiryo UI" w:hAnsi="Meiryo UI"/>
                <w:sz w:val="18"/>
              </w:rPr>
              <w:t>長期社債利回り水準（Arated / 日本金融機関）</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30.0%</w:t>
            </w:r>
          </w:p>
        </w:tc>
        <w:tc>
          <w:tcPr>
            <w:tcW w:type="dxa" w:w="3135"/>
            <w:shd w:val="clear" w:color="auto" w:fill="DDEBF7"/>
          </w:tcPr>
          <w:p>
            <w:r>
              <w:rPr>
                <w:rFonts w:ascii="Meiryo UI" w:hAnsi="Meiryo UI"/>
                <w:sz w:val="18"/>
              </w:rPr>
              <w:t>日本法人実効税率標準</w:t>
            </w:r>
          </w:p>
        </w:tc>
      </w:tr>
      <w:tr>
        <w:tc>
          <w:tcPr>
            <w:tcW w:type="dxa" w:w="3135"/>
          </w:tcPr>
          <w:p>
            <w:r>
              <w:rPr>
                <w:rFonts w:ascii="Meiryo UI" w:hAnsi="Meiryo UI"/>
                <w:sz w:val="18"/>
              </w:rPr>
              <w:t>E/（D+E）（株式比率）</w:t>
            </w:r>
          </w:p>
        </w:tc>
        <w:tc>
          <w:tcPr>
            <w:tcW w:type="dxa" w:w="3135"/>
          </w:tcPr>
          <w:p>
            <w:r>
              <w:rPr>
                <w:rFonts w:ascii="Meiryo UI" w:hAnsi="Meiryo UI"/>
                <w:sz w:val="18"/>
              </w:rPr>
              <w:t>65%</w:t>
            </w:r>
          </w:p>
        </w:tc>
        <w:tc>
          <w:tcPr>
            <w:tcW w:type="dxa" w:w="3135"/>
          </w:tcPr>
          <w:p>
            <w:r>
              <w:rPr>
                <w:rFonts w:ascii="Meiryo UI" w:hAnsi="Meiryo UI"/>
                <w:sz w:val="18"/>
              </w:rPr>
              <w:t>グループBS（金融負債調整後）</w:t>
            </w:r>
          </w:p>
        </w:tc>
      </w:tr>
      <w:tr>
        <w:tc>
          <w:tcPr>
            <w:tcW w:type="dxa" w:w="3135"/>
            <w:shd w:val="clear" w:color="auto" w:fill="DDEBF7"/>
          </w:tcPr>
          <w:p>
            <w:r>
              <w:rPr>
                <w:rFonts w:ascii="Meiryo UI" w:hAnsi="Meiryo UI"/>
                <w:sz w:val="18"/>
              </w:rPr>
              <w:t>D/（D+E）（負債比率）</w:t>
            </w:r>
          </w:p>
        </w:tc>
        <w:tc>
          <w:tcPr>
            <w:tcW w:type="dxa" w:w="3135"/>
            <w:shd w:val="clear" w:color="auto" w:fill="DDEBF7"/>
          </w:tcPr>
          <w:p>
            <w:r>
              <w:rPr>
                <w:rFonts w:ascii="Meiryo UI" w:hAnsi="Meiryo UI"/>
                <w:sz w:val="18"/>
              </w:rPr>
              <w:t>35%</w:t>
            </w:r>
          </w:p>
        </w:tc>
        <w:tc>
          <w:tcPr>
            <w:tcW w:type="dxa" w:w="3135"/>
            <w:shd w:val="clear" w:color="auto" w:fill="DDEBF7"/>
          </w:tcPr>
          <w:p>
            <w:r>
              <w:rPr>
                <w:rFonts w:ascii="Meiryo UI" w:hAnsi="Meiryo UI"/>
                <w:sz w:val="18"/>
              </w:rPr>
              <w:t>同上</w:t>
            </w:r>
          </w:p>
        </w:tc>
      </w:tr>
    </w:tbl>
    <w:p/>
    <w:p>
      <w:pPr>
        <w:pStyle w:val="Heading4"/>
      </w:pPr>
      <w:r>
        <w:rPr>
          <w:rFonts w:ascii="Meiryo UI" w:hAnsi="Meiryo UI"/>
          <w:color w:val="2E74B5"/>
        </w:rPr>
        <w:t>WACC計算</w:t>
      </w:r>
    </w:p>
    <w:p/>
    <w:p>
      <w:pPr>
        <w:shd w:val="clear" w:color="auto" w:fill="F2F2F2"/>
      </w:pPr>
      <w:r>
        <w:rPr>
          <w:rFonts w:ascii="Courier New" w:hAnsi="Courier New"/>
          <w:sz w:val="16"/>
        </w:rPr>
        <w:t>Re = 2.380% + 1.10 × 5.50% = 2.380% + 6.050% = 8.430%</w:t>
        <w:br/>
        <w:br/>
        <w:t>WACC = [0.65 × 8.430%] + [0.35 × 1.80% × (1 - 0.30)]</w:t>
        <w:br/>
        <w:t xml:space="preserve">     = 5.480% + 0.441%</w:t>
        <w:br/>
        <w:t xml:space="preserve">     = 5.921%</w:t>
        <w:br/>
        <w:t xml:space="preserve">     ≒ 5.92%</w:t>
      </w:r>
    </w:p>
    <w:p/>
    <w:p>
      <w:pPr>
        <w:pStyle w:val="Heading3"/>
      </w:pPr>
      <w:r>
        <w:rPr>
          <w:rFonts w:ascii="Meiryo UI" w:hAnsi="Meiryo UI"/>
          <w:color w:val="2E74B5"/>
        </w:rPr>
        <w:t>4.2 DCF前提条件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前提項目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基準FCF（FY2025/3期）</w:t>
            </w:r>
          </w:p>
        </w:tc>
        <w:tc>
          <w:tcPr>
            <w:tcW w:type="dxa" w:w="3135"/>
          </w:tcPr>
          <w:p>
            <w:r>
              <w:rPr>
                <w:rFonts w:ascii="Meiryo UI" w:hAnsi="Meiryo UI"/>
                <w:sz w:val="18"/>
              </w:rPr>
              <w:t>¥3,000億円</w:t>
            </w:r>
          </w:p>
        </w:tc>
        <w:tc>
          <w:tcPr>
            <w:tcW w:type="dxa" w:w="3135"/>
          </w:tcPr>
          <w:p>
            <w:r>
              <w:rPr>
                <w:rFonts w:ascii="Meiryo UI" w:hAnsi="Meiryo UI"/>
                <w:sz w:val="18"/>
              </w:rPr>
              <w:t>公開情報ベース中央値</w:t>
            </w:r>
          </w:p>
        </w:tc>
      </w:tr>
      <w:tr>
        <w:tc>
          <w:tcPr>
            <w:tcW w:type="dxa" w:w="3135"/>
            <w:shd w:val="clear" w:color="auto" w:fill="DDEBF7"/>
          </w:tcPr>
          <w:p>
            <w:r>
              <w:rPr>
                <w:rFonts w:ascii="Meiryo UI" w:hAnsi="Meiryo UI"/>
                <w:sz w:val="18"/>
              </w:rPr>
              <w:t>フェーズ1成長率（1〜5年）</w:t>
            </w:r>
          </w:p>
        </w:tc>
        <w:tc>
          <w:tcPr>
            <w:tcW w:type="dxa" w:w="3135"/>
            <w:shd w:val="clear" w:color="auto" w:fill="DDEBF7"/>
          </w:tcPr>
          <w:p>
            <w:r>
              <w:rPr>
                <w:rFonts w:ascii="Meiryo UI" w:hAnsi="Meiryo UI"/>
                <w:sz w:val="18"/>
              </w:rPr>
              <w:t>3.5%</w:t>
            </w:r>
          </w:p>
        </w:tc>
        <w:tc>
          <w:tcPr>
            <w:tcW w:type="dxa" w:w="3135"/>
            <w:shd w:val="clear" w:color="auto" w:fill="DDEBF7"/>
          </w:tcPr>
          <w:p>
            <w:r>
              <w:rPr>
                <w:rFonts w:ascii="Meiryo UI" w:hAnsi="Meiryo UI"/>
                <w:sz w:val="18"/>
              </w:rPr>
              <w:t>物流拡大・金利改善効果</w:t>
            </w:r>
          </w:p>
        </w:tc>
      </w:tr>
      <w:tr>
        <w:tc>
          <w:tcPr>
            <w:tcW w:type="dxa" w:w="3135"/>
          </w:tcPr>
          <w:p>
            <w:r>
              <w:rPr>
                <w:rFonts w:ascii="Meiryo UI" w:hAnsi="Meiryo UI"/>
                <w:sz w:val="18"/>
              </w:rPr>
              <w:t>フェーズ2成長率（6〜10年）</w:t>
            </w:r>
          </w:p>
        </w:tc>
        <w:tc>
          <w:tcPr>
            <w:tcW w:type="dxa" w:w="3135"/>
          </w:tcPr>
          <w:p>
            <w:r>
              <w:rPr>
                <w:rFonts w:ascii="Meiryo UI" w:hAnsi="Meiryo UI"/>
                <w:sz w:val="18"/>
              </w:rPr>
              <w:t>2.0%</w:t>
            </w:r>
          </w:p>
        </w:tc>
        <w:tc>
          <w:tcPr>
            <w:tcW w:type="dxa" w:w="3135"/>
          </w:tcPr>
          <w:p>
            <w:r>
              <w:rPr>
                <w:rFonts w:ascii="Meiryo UI" w:hAnsi="Meiryo UI"/>
                <w:sz w:val="18"/>
              </w:rPr>
              <w:t>成熟化・市場飽和</w:t>
            </w:r>
          </w:p>
        </w:tc>
      </w:tr>
      <w:tr>
        <w:tc>
          <w:tcPr>
            <w:tcW w:type="dxa" w:w="3135"/>
            <w:shd w:val="clear" w:color="auto" w:fill="DDEBF7"/>
          </w:tcPr>
          <w:p>
            <w:r>
              <w:rPr>
                <w:rFonts w:ascii="Meiryo UI" w:hAnsi="Meiryo UI"/>
                <w:sz w:val="18"/>
              </w:rPr>
              <w:t>永続成長率（ターミナル g）</w:t>
            </w:r>
          </w:p>
        </w:tc>
        <w:tc>
          <w:tcPr>
            <w:tcW w:type="dxa" w:w="3135"/>
            <w:shd w:val="clear" w:color="auto" w:fill="DDEBF7"/>
          </w:tcPr>
          <w:p>
            <w:r>
              <w:rPr>
                <w:rFonts w:ascii="Meiryo UI" w:hAnsi="Meiryo UI"/>
                <w:sz w:val="18"/>
              </w:rPr>
              <w:t>1.0%</w:t>
            </w:r>
          </w:p>
        </w:tc>
        <w:tc>
          <w:tcPr>
            <w:tcW w:type="dxa" w:w="3135"/>
            <w:shd w:val="clear" w:color="auto" w:fill="DDEBF7"/>
          </w:tcPr>
          <w:p>
            <w:r>
              <w:rPr>
                <w:rFonts w:ascii="Meiryo UI" w:hAnsi="Meiryo UI"/>
                <w:sz w:val="18"/>
              </w:rPr>
              <w:t>日本GDP長期成長率相応</w:t>
            </w:r>
          </w:p>
        </w:tc>
      </w:tr>
      <w:tr>
        <w:tc>
          <w:tcPr>
            <w:tcW w:type="dxa" w:w="3135"/>
          </w:tcPr>
          <w:p>
            <w:r>
              <w:rPr>
                <w:rFonts w:ascii="Meiryo UI" w:hAnsi="Meiryo UI"/>
                <w:sz w:val="18"/>
              </w:rPr>
              <w:t>WACC</w:t>
            </w:r>
          </w:p>
        </w:tc>
        <w:tc>
          <w:tcPr>
            <w:tcW w:type="dxa" w:w="3135"/>
          </w:tcPr>
          <w:p>
            <w:r>
              <w:rPr>
                <w:rFonts w:ascii="Meiryo UI" w:hAnsi="Meiryo UI"/>
                <w:sz w:val="18"/>
              </w:rPr>
              <w:t>5.92%</w:t>
            </w:r>
          </w:p>
        </w:tc>
        <w:tc>
          <w:tcPr>
            <w:tcW w:type="dxa" w:w="3135"/>
          </w:tcPr>
          <w:p>
            <w:r>
              <w:rPr>
                <w:rFonts w:ascii="Meiryo UI" w:hAnsi="Meiryo UI"/>
                <w:sz w:val="18"/>
              </w:rPr>
              <w:t>上記算出値</w:t>
            </w:r>
          </w:p>
        </w:tc>
      </w:tr>
      <w:tr>
        <w:tc>
          <w:tcPr>
            <w:tcW w:type="dxa" w:w="3135"/>
            <w:shd w:val="clear" w:color="auto" w:fill="DDEBF7"/>
          </w:tcPr>
          <w:p>
            <w:r>
              <w:rPr>
                <w:rFonts w:ascii="Meiryo UI" w:hAnsi="Meiryo UI"/>
                <w:sz w:val="18"/>
              </w:rPr>
              <w:t>割引期間</w:t>
            </w:r>
          </w:p>
        </w:tc>
        <w:tc>
          <w:tcPr>
            <w:tcW w:type="dxa" w:w="3135"/>
            <w:shd w:val="clear" w:color="auto" w:fill="DDEBF7"/>
          </w:tcPr>
          <w:p>
            <w:r>
              <w:rPr>
                <w:rFonts w:ascii="Meiryo UI" w:hAnsi="Meiryo UI"/>
                <w:sz w:val="18"/>
              </w:rPr>
              <w:t>10年 + ターミナル</w:t>
            </w:r>
          </w:p>
        </w:tc>
        <w:tc>
          <w:tcPr>
            <w:tcW w:type="dxa" w:w="3135"/>
            <w:shd w:val="clear" w:color="auto" w:fill="DDEBF7"/>
          </w:tcPr>
          <w:p>
            <w:r>
              <w:rPr>
                <w:rFonts w:ascii="Meiryo UI" w:hAnsi="Meiryo UI"/>
                <w:sz w:val="18"/>
              </w:rPr>
              <w:t>標準DCF</w:t>
            </w:r>
          </w:p>
        </w:tc>
      </w:tr>
      <w:tr>
        <w:tc>
          <w:tcPr>
            <w:tcW w:type="dxa" w:w="3135"/>
          </w:tcPr>
          <w:p>
            <w:r>
              <w:rPr>
                <w:rFonts w:ascii="Meiryo UI" w:hAnsi="Meiryo UI"/>
                <w:sz w:val="18"/>
              </w:rPr>
              <w:t>純有利子負債調整</w:t>
            </w:r>
          </w:p>
        </w:tc>
        <w:tc>
          <w:tcPr>
            <w:tcW w:type="dxa" w:w="3135"/>
          </w:tcPr>
          <w:p>
            <w:r>
              <w:rPr>
                <w:rFonts w:ascii="Meiryo UI" w:hAnsi="Meiryo UI"/>
                <w:sz w:val="18"/>
              </w:rPr>
              <w:t>▲¥5,000億円</w:t>
            </w:r>
          </w:p>
        </w:tc>
        <w:tc>
          <w:tcPr>
            <w:tcW w:type="dxa" w:w="3135"/>
          </w:tcPr>
          <w:p>
            <w:r>
              <w:rPr>
                <w:rFonts w:ascii="Meiryo UI" w:hAnsi="Meiryo UI"/>
                <w:sz w:val="18"/>
              </w:rPr>
              <w:t>金融子会社除外後の事業持株会社ベース</w:t>
            </w:r>
          </w:p>
        </w:tc>
      </w:tr>
      <w:tr>
        <w:tc>
          <w:tcPr>
            <w:tcW w:type="dxa" w:w="3135"/>
            <w:shd w:val="clear" w:color="auto" w:fill="DDEBF7"/>
          </w:tcPr>
          <w:p>
            <w:r>
              <w:rPr>
                <w:rFonts w:ascii="Meiryo UI" w:hAnsi="Meiryo UI"/>
                <w:sz w:val="18"/>
              </w:rPr>
              <w:t>発行済み株式数</w:t>
            </w:r>
          </w:p>
        </w:tc>
        <w:tc>
          <w:tcPr>
            <w:tcW w:type="dxa" w:w="3135"/>
            <w:shd w:val="clear" w:color="auto" w:fill="DDEBF7"/>
          </w:tcPr>
          <w:p>
            <w:r>
              <w:rPr>
                <w:rFonts w:ascii="Meiryo UI" w:hAnsi="Meiryo UI"/>
                <w:sz w:val="18"/>
              </w:rPr>
              <w:t>26億株</w:t>
            </w:r>
          </w:p>
        </w:tc>
        <w:tc>
          <w:tcPr>
            <w:tcW w:type="dxa" w:w="3135"/>
            <w:shd w:val="clear" w:color="auto" w:fill="DDEBF7"/>
          </w:tcPr>
          <w:p>
            <w:r>
              <w:rPr>
                <w:rFonts w:ascii="Meiryo UI" w:hAnsi="Meiryo UI"/>
                <w:sz w:val="18"/>
              </w:rPr>
              <w:t>自社株買い調整後</w:t>
            </w:r>
          </w:p>
        </w:tc>
      </w:tr>
    </w:tbl>
    <w:p/>
    <w:p>
      <w:r>
        <w:rPr>
          <w:rFonts w:ascii="Meiryo UI" w:hAnsi="Meiryo UI"/>
          <w:sz w:val="20"/>
        </w:rPr>
        <w:t>&gt; ⚠️ 金融持株会社DCFの注意点: ゆうちょ・かんぽは金融機関であり、通常のEV/FCFアプローチではなく「親会社に帰属する配当+SOTP」で価値評価するのが適切。以下はDCF（事業持株会社ベース）とSOTPの両面から算出。</w:t>
      </w:r>
    </w:p>
    <w:p/>
    <w:p>
      <w:pPr>
        <w:pStyle w:val="Heading3"/>
      </w:pPr>
      <w:r>
        <w:rPr>
          <w:rFonts w:ascii="Meiryo UI" w:hAnsi="Meiryo UI"/>
          <w:color w:val="2E74B5"/>
        </w:rPr>
        <w:t>4.3 DCF計算（フェーズ別）</w:t>
      </w:r>
    </w:p>
    <w:p/>
    <w:p>
      <w:pPr>
        <w:pStyle w:val="Heading4"/>
      </w:pPr>
      <w:r>
        <w:rPr>
          <w:rFonts w:ascii="Meiryo UI" w:hAnsi="Meiryo UI"/>
          <w:color w:val="2E74B5"/>
        </w:rPr>
        <w:t>【フェーズ1: 1〜5年（成長期）】</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割引因子（5.92%）</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Year 1</w:t>
            </w:r>
          </w:p>
        </w:tc>
        <w:tc>
          <w:tcPr>
            <w:tcW w:type="dxa" w:w="2351"/>
          </w:tcPr>
          <w:p>
            <w:r>
              <w:rPr>
                <w:rFonts w:ascii="Meiryo UI" w:hAnsi="Meiryo UI"/>
                <w:sz w:val="18"/>
              </w:rPr>
              <w:t>3,105</w:t>
            </w:r>
          </w:p>
        </w:tc>
        <w:tc>
          <w:tcPr>
            <w:tcW w:type="dxa" w:w="2351"/>
          </w:tcPr>
          <w:p>
            <w:r>
              <w:rPr>
                <w:rFonts w:ascii="Meiryo UI" w:hAnsi="Meiryo UI"/>
                <w:sz w:val="18"/>
              </w:rPr>
              <w:t>0.9441</w:t>
            </w:r>
          </w:p>
        </w:tc>
        <w:tc>
          <w:tcPr>
            <w:tcW w:type="dxa" w:w="2351"/>
          </w:tcPr>
          <w:p>
            <w:r>
              <w:rPr>
                <w:rFonts w:ascii="Meiryo UI" w:hAnsi="Meiryo UI"/>
                <w:sz w:val="18"/>
              </w:rPr>
              <w:t>2,932</w:t>
            </w:r>
          </w:p>
        </w:tc>
      </w:tr>
      <w:tr>
        <w:tc>
          <w:tcPr>
            <w:tcW w:type="dxa" w:w="2351"/>
            <w:shd w:val="clear" w:color="auto" w:fill="DDEBF7"/>
          </w:tcPr>
          <w:p>
            <w:r>
              <w:rPr>
                <w:rFonts w:ascii="Meiryo UI" w:hAnsi="Meiryo UI"/>
                <w:sz w:val="18"/>
              </w:rPr>
              <w:t>Year 2</w:t>
            </w:r>
          </w:p>
        </w:tc>
        <w:tc>
          <w:tcPr>
            <w:tcW w:type="dxa" w:w="2351"/>
            <w:shd w:val="clear" w:color="auto" w:fill="DDEBF7"/>
          </w:tcPr>
          <w:p>
            <w:r>
              <w:rPr>
                <w:rFonts w:ascii="Meiryo UI" w:hAnsi="Meiryo UI"/>
                <w:sz w:val="18"/>
              </w:rPr>
              <w:t>3,214</w:t>
            </w:r>
          </w:p>
        </w:tc>
        <w:tc>
          <w:tcPr>
            <w:tcW w:type="dxa" w:w="2351"/>
            <w:shd w:val="clear" w:color="auto" w:fill="DDEBF7"/>
          </w:tcPr>
          <w:p>
            <w:r>
              <w:rPr>
                <w:rFonts w:ascii="Meiryo UI" w:hAnsi="Meiryo UI"/>
                <w:sz w:val="18"/>
              </w:rPr>
              <w:t>0.8913</w:t>
            </w:r>
          </w:p>
        </w:tc>
        <w:tc>
          <w:tcPr>
            <w:tcW w:type="dxa" w:w="2351"/>
            <w:shd w:val="clear" w:color="auto" w:fill="DDEBF7"/>
          </w:tcPr>
          <w:p>
            <w:r>
              <w:rPr>
                <w:rFonts w:ascii="Meiryo UI" w:hAnsi="Meiryo UI"/>
                <w:sz w:val="18"/>
              </w:rPr>
              <w:t>2,865</w:t>
            </w:r>
          </w:p>
        </w:tc>
      </w:tr>
      <w:tr>
        <w:tc>
          <w:tcPr>
            <w:tcW w:type="dxa" w:w="2351"/>
          </w:tcPr>
          <w:p>
            <w:r>
              <w:rPr>
                <w:rFonts w:ascii="Meiryo UI" w:hAnsi="Meiryo UI"/>
                <w:sz w:val="18"/>
              </w:rPr>
              <w:t>Year 3</w:t>
            </w:r>
          </w:p>
        </w:tc>
        <w:tc>
          <w:tcPr>
            <w:tcW w:type="dxa" w:w="2351"/>
          </w:tcPr>
          <w:p>
            <w:r>
              <w:rPr>
                <w:rFonts w:ascii="Meiryo UI" w:hAnsi="Meiryo UI"/>
                <w:sz w:val="18"/>
              </w:rPr>
              <w:t>3,327</w:t>
            </w:r>
          </w:p>
        </w:tc>
        <w:tc>
          <w:tcPr>
            <w:tcW w:type="dxa" w:w="2351"/>
          </w:tcPr>
          <w:p>
            <w:r>
              <w:rPr>
                <w:rFonts w:ascii="Meiryo UI" w:hAnsi="Meiryo UI"/>
                <w:sz w:val="18"/>
              </w:rPr>
              <w:t>0.8416</w:t>
            </w:r>
          </w:p>
        </w:tc>
        <w:tc>
          <w:tcPr>
            <w:tcW w:type="dxa" w:w="2351"/>
          </w:tcPr>
          <w:p>
            <w:r>
              <w:rPr>
                <w:rFonts w:ascii="Meiryo UI" w:hAnsi="Meiryo UI"/>
                <w:sz w:val="18"/>
              </w:rPr>
              <w:t>2,800</w:t>
            </w:r>
          </w:p>
        </w:tc>
      </w:tr>
      <w:tr>
        <w:tc>
          <w:tcPr>
            <w:tcW w:type="dxa" w:w="2351"/>
            <w:shd w:val="clear" w:color="auto" w:fill="DDEBF7"/>
          </w:tcPr>
          <w:p>
            <w:r>
              <w:rPr>
                <w:rFonts w:ascii="Meiryo UI" w:hAnsi="Meiryo UI"/>
                <w:sz w:val="18"/>
              </w:rPr>
              <w:t>Year 4</w:t>
            </w:r>
          </w:p>
        </w:tc>
        <w:tc>
          <w:tcPr>
            <w:tcW w:type="dxa" w:w="2351"/>
            <w:shd w:val="clear" w:color="auto" w:fill="DDEBF7"/>
          </w:tcPr>
          <w:p>
            <w:r>
              <w:rPr>
                <w:rFonts w:ascii="Meiryo UI" w:hAnsi="Meiryo UI"/>
                <w:sz w:val="18"/>
              </w:rPr>
              <w:t>3,444</w:t>
            </w:r>
          </w:p>
        </w:tc>
        <w:tc>
          <w:tcPr>
            <w:tcW w:type="dxa" w:w="2351"/>
            <w:shd w:val="clear" w:color="auto" w:fill="DDEBF7"/>
          </w:tcPr>
          <w:p>
            <w:r>
              <w:rPr>
                <w:rFonts w:ascii="Meiryo UI" w:hAnsi="Meiryo UI"/>
                <w:sz w:val="18"/>
              </w:rPr>
              <w:t>0.7948</w:t>
            </w:r>
          </w:p>
        </w:tc>
        <w:tc>
          <w:tcPr>
            <w:tcW w:type="dxa" w:w="2351"/>
            <w:shd w:val="clear" w:color="auto" w:fill="DDEBF7"/>
          </w:tcPr>
          <w:p>
            <w:r>
              <w:rPr>
                <w:rFonts w:ascii="Meiryo UI" w:hAnsi="Meiryo UI"/>
                <w:sz w:val="18"/>
              </w:rPr>
              <w:t>2,737</w:t>
            </w:r>
          </w:p>
        </w:tc>
      </w:tr>
      <w:tr>
        <w:tc>
          <w:tcPr>
            <w:tcW w:type="dxa" w:w="2351"/>
          </w:tcPr>
          <w:p>
            <w:r>
              <w:rPr>
                <w:rFonts w:ascii="Meiryo UI" w:hAnsi="Meiryo UI"/>
                <w:sz w:val="18"/>
              </w:rPr>
              <w:t>Year 5</w:t>
            </w:r>
          </w:p>
        </w:tc>
        <w:tc>
          <w:tcPr>
            <w:tcW w:type="dxa" w:w="2351"/>
          </w:tcPr>
          <w:p>
            <w:r>
              <w:rPr>
                <w:rFonts w:ascii="Meiryo UI" w:hAnsi="Meiryo UI"/>
                <w:sz w:val="18"/>
              </w:rPr>
              <w:t>3,565</w:t>
            </w:r>
          </w:p>
        </w:tc>
        <w:tc>
          <w:tcPr>
            <w:tcW w:type="dxa" w:w="2351"/>
          </w:tcPr>
          <w:p>
            <w:r>
              <w:rPr>
                <w:rFonts w:ascii="Meiryo UI" w:hAnsi="Meiryo UI"/>
                <w:sz w:val="18"/>
              </w:rPr>
              <w:t>0.7504</w:t>
            </w:r>
          </w:p>
        </w:tc>
        <w:tc>
          <w:tcPr>
            <w:tcW w:type="dxa" w:w="2351"/>
          </w:tcPr>
          <w:p>
            <w:r>
              <w:rPr>
                <w:rFonts w:ascii="Meiryo UI" w:hAnsi="Meiryo UI"/>
                <w:sz w:val="18"/>
              </w:rPr>
              <w:t>2,675</w:t>
            </w:r>
          </w:p>
        </w:tc>
      </w:tr>
      <w:tr>
        <w:tc>
          <w:tcPr>
            <w:tcW w:type="dxa" w:w="2351"/>
            <w:shd w:val="clear" w:color="auto" w:fill="DDEBF7"/>
          </w:tcPr>
          <w:p>
            <w:r>
              <w:rPr>
                <w:rFonts w:ascii="Meiryo UI" w:hAnsi="Meiryo UI"/>
                <w:sz w:val="18"/>
              </w:rPr>
              <w:t>小計</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14,009</w:t>
            </w:r>
          </w:p>
        </w:tc>
      </w:tr>
    </w:tbl>
    <w:p/>
    <w:p>
      <w:pPr>
        <w:pStyle w:val="Heading4"/>
      </w:pPr>
      <w:r>
        <w:rPr>
          <w:rFonts w:ascii="Meiryo UI" w:hAnsi="Meiryo UI"/>
          <w:color w:val="2E74B5"/>
        </w:rPr>
        <w:t>【フェーズ2: 6〜10年（成熟期）】</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割引因子</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Year 6</w:t>
            </w:r>
          </w:p>
        </w:tc>
        <w:tc>
          <w:tcPr>
            <w:tcW w:type="dxa" w:w="2351"/>
          </w:tcPr>
          <w:p>
            <w:r>
              <w:rPr>
                <w:rFonts w:ascii="Meiryo UI" w:hAnsi="Meiryo UI"/>
                <w:sz w:val="18"/>
              </w:rPr>
              <w:t>3,636</w:t>
            </w:r>
          </w:p>
        </w:tc>
        <w:tc>
          <w:tcPr>
            <w:tcW w:type="dxa" w:w="2351"/>
          </w:tcPr>
          <w:p>
            <w:r>
              <w:rPr>
                <w:rFonts w:ascii="Meiryo UI" w:hAnsi="Meiryo UI"/>
                <w:sz w:val="18"/>
              </w:rPr>
              <w:t>0.7085</w:t>
            </w:r>
          </w:p>
        </w:tc>
        <w:tc>
          <w:tcPr>
            <w:tcW w:type="dxa" w:w="2351"/>
          </w:tcPr>
          <w:p>
            <w:r>
              <w:rPr>
                <w:rFonts w:ascii="Meiryo UI" w:hAnsi="Meiryo UI"/>
                <w:sz w:val="18"/>
              </w:rPr>
              <w:t>2,576</w:t>
            </w:r>
          </w:p>
        </w:tc>
      </w:tr>
      <w:tr>
        <w:tc>
          <w:tcPr>
            <w:tcW w:type="dxa" w:w="2351"/>
            <w:shd w:val="clear" w:color="auto" w:fill="DDEBF7"/>
          </w:tcPr>
          <w:p>
            <w:r>
              <w:rPr>
                <w:rFonts w:ascii="Meiryo UI" w:hAnsi="Meiryo UI"/>
                <w:sz w:val="18"/>
              </w:rPr>
              <w:t>Year 7</w:t>
            </w:r>
          </w:p>
        </w:tc>
        <w:tc>
          <w:tcPr>
            <w:tcW w:type="dxa" w:w="2351"/>
            <w:shd w:val="clear" w:color="auto" w:fill="DDEBF7"/>
          </w:tcPr>
          <w:p>
            <w:r>
              <w:rPr>
                <w:rFonts w:ascii="Meiryo UI" w:hAnsi="Meiryo UI"/>
                <w:sz w:val="18"/>
              </w:rPr>
              <w:t>3,709</w:t>
            </w:r>
          </w:p>
        </w:tc>
        <w:tc>
          <w:tcPr>
            <w:tcW w:type="dxa" w:w="2351"/>
            <w:shd w:val="clear" w:color="auto" w:fill="DDEBF7"/>
          </w:tcPr>
          <w:p>
            <w:r>
              <w:rPr>
                <w:rFonts w:ascii="Meiryo UI" w:hAnsi="Meiryo UI"/>
                <w:sz w:val="18"/>
              </w:rPr>
              <w:t>0.6689</w:t>
            </w:r>
          </w:p>
        </w:tc>
        <w:tc>
          <w:tcPr>
            <w:tcW w:type="dxa" w:w="2351"/>
            <w:shd w:val="clear" w:color="auto" w:fill="DDEBF7"/>
          </w:tcPr>
          <w:p>
            <w:r>
              <w:rPr>
                <w:rFonts w:ascii="Meiryo UI" w:hAnsi="Meiryo UI"/>
                <w:sz w:val="18"/>
              </w:rPr>
              <w:t>2,481</w:t>
            </w:r>
          </w:p>
        </w:tc>
      </w:tr>
      <w:tr>
        <w:tc>
          <w:tcPr>
            <w:tcW w:type="dxa" w:w="2351"/>
          </w:tcPr>
          <w:p>
            <w:r>
              <w:rPr>
                <w:rFonts w:ascii="Meiryo UI" w:hAnsi="Meiryo UI"/>
                <w:sz w:val="18"/>
              </w:rPr>
              <w:t>Year 8</w:t>
            </w:r>
          </w:p>
        </w:tc>
        <w:tc>
          <w:tcPr>
            <w:tcW w:type="dxa" w:w="2351"/>
          </w:tcPr>
          <w:p>
            <w:r>
              <w:rPr>
                <w:rFonts w:ascii="Meiryo UI" w:hAnsi="Meiryo UI"/>
                <w:sz w:val="18"/>
              </w:rPr>
              <w:t>3,783</w:t>
            </w:r>
          </w:p>
        </w:tc>
        <w:tc>
          <w:tcPr>
            <w:tcW w:type="dxa" w:w="2351"/>
          </w:tcPr>
          <w:p>
            <w:r>
              <w:rPr>
                <w:rFonts w:ascii="Meiryo UI" w:hAnsi="Meiryo UI"/>
                <w:sz w:val="18"/>
              </w:rPr>
              <w:t>0.6316</w:t>
            </w:r>
          </w:p>
        </w:tc>
        <w:tc>
          <w:tcPr>
            <w:tcW w:type="dxa" w:w="2351"/>
          </w:tcPr>
          <w:p>
            <w:r>
              <w:rPr>
                <w:rFonts w:ascii="Meiryo UI" w:hAnsi="Meiryo UI"/>
                <w:sz w:val="18"/>
              </w:rPr>
              <w:t>2,390</w:t>
            </w:r>
          </w:p>
        </w:tc>
      </w:tr>
      <w:tr>
        <w:tc>
          <w:tcPr>
            <w:tcW w:type="dxa" w:w="2351"/>
            <w:shd w:val="clear" w:color="auto" w:fill="DDEBF7"/>
          </w:tcPr>
          <w:p>
            <w:r>
              <w:rPr>
                <w:rFonts w:ascii="Meiryo UI" w:hAnsi="Meiryo UI"/>
                <w:sz w:val="18"/>
              </w:rPr>
              <w:t>Year 9</w:t>
            </w:r>
          </w:p>
        </w:tc>
        <w:tc>
          <w:tcPr>
            <w:tcW w:type="dxa" w:w="2351"/>
            <w:shd w:val="clear" w:color="auto" w:fill="DDEBF7"/>
          </w:tcPr>
          <w:p>
            <w:r>
              <w:rPr>
                <w:rFonts w:ascii="Meiryo UI" w:hAnsi="Meiryo UI"/>
                <w:sz w:val="18"/>
              </w:rPr>
              <w:t>3,859</w:t>
            </w:r>
          </w:p>
        </w:tc>
        <w:tc>
          <w:tcPr>
            <w:tcW w:type="dxa" w:w="2351"/>
            <w:shd w:val="clear" w:color="auto" w:fill="DDEBF7"/>
          </w:tcPr>
          <w:p>
            <w:r>
              <w:rPr>
                <w:rFonts w:ascii="Meiryo UI" w:hAnsi="Meiryo UI"/>
                <w:sz w:val="18"/>
              </w:rPr>
              <w:t>0.5963</w:t>
            </w:r>
          </w:p>
        </w:tc>
        <w:tc>
          <w:tcPr>
            <w:tcW w:type="dxa" w:w="2351"/>
            <w:shd w:val="clear" w:color="auto" w:fill="DDEBF7"/>
          </w:tcPr>
          <w:p>
            <w:r>
              <w:rPr>
                <w:rFonts w:ascii="Meiryo UI" w:hAnsi="Meiryo UI"/>
                <w:sz w:val="18"/>
              </w:rPr>
              <w:t>2,301</w:t>
            </w:r>
          </w:p>
        </w:tc>
      </w:tr>
      <w:tr>
        <w:tc>
          <w:tcPr>
            <w:tcW w:type="dxa" w:w="2351"/>
          </w:tcPr>
          <w:p>
            <w:r>
              <w:rPr>
                <w:rFonts w:ascii="Meiryo UI" w:hAnsi="Meiryo UI"/>
                <w:sz w:val="18"/>
              </w:rPr>
              <w:t>Year 10</w:t>
            </w:r>
          </w:p>
        </w:tc>
        <w:tc>
          <w:tcPr>
            <w:tcW w:type="dxa" w:w="2351"/>
          </w:tcPr>
          <w:p>
            <w:r>
              <w:rPr>
                <w:rFonts w:ascii="Meiryo UI" w:hAnsi="Meiryo UI"/>
                <w:sz w:val="18"/>
              </w:rPr>
              <w:t>3,936</w:t>
            </w:r>
          </w:p>
        </w:tc>
        <w:tc>
          <w:tcPr>
            <w:tcW w:type="dxa" w:w="2351"/>
          </w:tcPr>
          <w:p>
            <w:r>
              <w:rPr>
                <w:rFonts w:ascii="Meiryo UI" w:hAnsi="Meiryo UI"/>
                <w:sz w:val="18"/>
              </w:rPr>
              <w:t>0.5630</w:t>
            </w:r>
          </w:p>
        </w:tc>
        <w:tc>
          <w:tcPr>
            <w:tcW w:type="dxa" w:w="2351"/>
          </w:tcPr>
          <w:p>
            <w:r>
              <w:rPr>
                <w:rFonts w:ascii="Meiryo UI" w:hAnsi="Meiryo UI"/>
                <w:sz w:val="18"/>
              </w:rPr>
              <w:t>2,216</w:t>
            </w:r>
          </w:p>
        </w:tc>
      </w:tr>
      <w:tr>
        <w:tc>
          <w:tcPr>
            <w:tcW w:type="dxa" w:w="2351"/>
            <w:shd w:val="clear" w:color="auto" w:fill="DDEBF7"/>
          </w:tcPr>
          <w:p>
            <w:r>
              <w:rPr>
                <w:rFonts w:ascii="Meiryo UI" w:hAnsi="Meiryo UI"/>
                <w:sz w:val="18"/>
              </w:rPr>
              <w:t>小計</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11,964</w:t>
            </w:r>
          </w:p>
        </w:tc>
      </w:tr>
    </w:tbl>
    <w:p/>
    <w:p>
      <w:pPr>
        <w:pStyle w:val="Heading4"/>
      </w:pPr>
      <w:r>
        <w:rPr>
          <w:rFonts w:ascii="Meiryo UI" w:hAnsi="Meiryo UI"/>
          <w:color w:val="2E74B5"/>
        </w:rPr>
        <w:t>【ターミナルバリュー（TV）】</w:t>
      </w:r>
    </w:p>
    <w:p/>
    <w:p>
      <w:pPr>
        <w:shd w:val="clear" w:color="auto" w:fill="F2F2F2"/>
      </w:pPr>
      <w:r>
        <w:rPr>
          <w:rFonts w:ascii="Courier New" w:hAnsi="Courier New"/>
          <w:sz w:val="16"/>
        </w:rPr>
        <w:t>TV = FCF_Year10 × (1 + g) / (WACC - g)</w:t>
        <w:br/>
        <w:t xml:space="preserve">   = 3,936億円 × 1.01 / (0.0592 - 0.0100)</w:t>
        <w:br/>
        <w:t xml:space="preserve">   = 3,975億円 / 0.0492</w:t>
        <w:br/>
        <w:t xml:space="preserve">   = 80,793億円</w:t>
        <w:br/>
        <w:br/>
        <w:t>PV(TV) = 80,793億円 × 0.5630 = 45,487億円</w:t>
      </w:r>
    </w:p>
    <w:p/>
    <w:p>
      <w:pPr>
        <w:pStyle w:val="Heading4"/>
      </w:pPr>
      <w:r>
        <w:rPr>
          <w:rFonts w:ascii="Meiryo UI" w:hAnsi="Meiryo UI"/>
          <w:color w:val="2E74B5"/>
        </w:rPr>
        <w:t>【企業価値→理論株価】</w:t>
      </w:r>
    </w:p>
    <w:p/>
    <w:p>
      <w:pPr>
        <w:shd w:val="clear" w:color="auto" w:fill="F2F2F2"/>
      </w:pPr>
      <w:r>
        <w:rPr>
          <w:rFonts w:ascii="Courier New" w:hAnsi="Courier New"/>
          <w:sz w:val="16"/>
        </w:rPr>
        <w:t>事業DCF合計（EV）:</w:t>
        <w:br/>
        <w:t>= PV_フェーズ1 + PV_フェーズ2 + PV(TV)</w:t>
        <w:br/>
        <w:t>= 14,009 + 11,964 + 45,487</w:t>
        <w:br/>
        <w:t>= 71,460億円</w:t>
        <w:br/>
        <w:br/>
        <w:t>純有利子負債控除: ▲5,000億円</w:t>
        <w:br/>
        <w:t>株主価値: 71,460 - 5,000 = 66,460億円</w:t>
        <w:br/>
        <w:br/>
        <w:t>理論株価（DCF）= ¥66,460億円 ÷ 26億株</w:t>
        <w:br/>
        <w:t xml:space="preserve">             = ¥2,556/株</w:t>
      </w:r>
    </w:p>
    <w:p/>
    <w:p>
      <w:pPr>
        <w:pStyle w:val="Heading3"/>
      </w:pPr>
      <w:r>
        <w:rPr>
          <w:rFonts w:ascii="Meiryo UI" w:hAnsi="Meiryo UI"/>
          <w:color w:val="2E74B5"/>
        </w:rPr>
        <w:t>4.4 SOTP × DCF 統合理論株価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評価手法</w:t>
            </w:r>
          </w:p>
        </w:tc>
        <w:tc>
          <w:tcPr>
            <w:tcW w:type="dxa" w:w="3135"/>
            <w:shd w:val="clear" w:color="auto" w:fill="2E74B5"/>
          </w:tcPr>
          <w:p>
            <w:r>
              <w:rPr>
                <w:rFonts w:ascii="Meiryo UI" w:hAnsi="Meiryo UI"/>
                <w:b/>
                <w:color w:val="FFFFFF"/>
                <w:sz w:val="18"/>
              </w:rPr>
              <w:t>理論株価</w:t>
            </w:r>
          </w:p>
        </w:tc>
        <w:tc>
          <w:tcPr>
            <w:tcW w:type="dxa" w:w="3135"/>
            <w:shd w:val="clear" w:color="auto" w:fill="2E74B5"/>
          </w:tcPr>
          <w:p>
            <w:r>
              <w:rPr>
                <w:rFonts w:ascii="Meiryo UI" w:hAnsi="Meiryo UI"/>
                <w:b/>
                <w:color w:val="FFFFFF"/>
                <w:sz w:val="18"/>
              </w:rPr>
              <w:t>現在値比</w:t>
            </w:r>
          </w:p>
        </w:tc>
      </w:tr>
      <w:tr>
        <w:tc>
          <w:tcPr>
            <w:tcW w:type="dxa" w:w="3135"/>
          </w:tcPr>
          <w:p>
            <w:r>
              <w:rPr>
                <w:rFonts w:ascii="Meiryo UI" w:hAnsi="Meiryo UI"/>
                <w:sz w:val="18"/>
              </w:rPr>
              <w:t>DCF（事業価値ベース）</w:t>
            </w:r>
          </w:p>
        </w:tc>
        <w:tc>
          <w:tcPr>
            <w:tcW w:type="dxa" w:w="3135"/>
          </w:tcPr>
          <w:p>
            <w:r>
              <w:rPr>
                <w:rFonts w:ascii="Meiryo UI" w:hAnsi="Meiryo UI"/>
                <w:sz w:val="18"/>
              </w:rPr>
              <w:t>¥2,556</w:t>
            </w:r>
          </w:p>
        </w:tc>
        <w:tc>
          <w:tcPr>
            <w:tcW w:type="dxa" w:w="3135"/>
          </w:tcPr>
          <w:p>
            <w:r>
              <w:rPr>
                <w:rFonts w:ascii="Meiryo UI" w:hAnsi="Meiryo UI"/>
                <w:sz w:val="18"/>
              </w:rPr>
              <w:t>+40.5%</w:t>
            </w:r>
          </w:p>
        </w:tc>
      </w:tr>
      <w:tr>
        <w:tc>
          <w:tcPr>
            <w:tcW w:type="dxa" w:w="3135"/>
            <w:shd w:val="clear" w:color="auto" w:fill="DDEBF7"/>
          </w:tcPr>
          <w:p>
            <w:r>
              <w:rPr>
                <w:rFonts w:ascii="Meiryo UI" w:hAnsi="Meiryo UI"/>
                <w:sz w:val="18"/>
              </w:rPr>
              <w:t>SOTP（NAV）ベース</w:t>
            </w:r>
          </w:p>
        </w:tc>
        <w:tc>
          <w:tcPr>
            <w:tcW w:type="dxa" w:w="3135"/>
            <w:shd w:val="clear" w:color="auto" w:fill="DDEBF7"/>
          </w:tcPr>
          <w:p>
            <w:r>
              <w:rPr>
                <w:rFonts w:ascii="Meiryo UI" w:hAnsi="Meiryo UI"/>
                <w:sz w:val="18"/>
              </w:rPr>
              <w:t>¥2,235</w:t>
            </w:r>
          </w:p>
        </w:tc>
        <w:tc>
          <w:tcPr>
            <w:tcW w:type="dxa" w:w="3135"/>
            <w:shd w:val="clear" w:color="auto" w:fill="DDEBF7"/>
          </w:tcPr>
          <w:p>
            <w:r>
              <w:rPr>
                <w:rFonts w:ascii="Meiryo UI" w:hAnsi="Meiryo UI"/>
                <w:sz w:val="18"/>
              </w:rPr>
              <w:t>+22.9%</w:t>
            </w:r>
          </w:p>
        </w:tc>
      </w:tr>
      <w:tr>
        <w:tc>
          <w:tcPr>
            <w:tcW w:type="dxa" w:w="3135"/>
          </w:tcPr>
          <w:p>
            <w:r>
              <w:rPr>
                <w:rFonts w:ascii="Meiryo UI" w:hAnsi="Meiryo UI"/>
                <w:sz w:val="18"/>
              </w:rPr>
              <w:t>PBR正当化値（ROE改善後）</w:t>
            </w:r>
          </w:p>
        </w:tc>
        <w:tc>
          <w:tcPr>
            <w:tcW w:type="dxa" w:w="3135"/>
          </w:tcPr>
          <w:p>
            <w:r>
              <w:rPr>
                <w:rFonts w:ascii="Meiryo UI" w:hAnsi="Meiryo UI"/>
                <w:sz w:val="18"/>
              </w:rPr>
              <w:t>¥2,400</w:t>
            </w:r>
          </w:p>
        </w:tc>
        <w:tc>
          <w:tcPr>
            <w:tcW w:type="dxa" w:w="3135"/>
          </w:tcPr>
          <w:p>
            <w:r>
              <w:rPr>
                <w:rFonts w:ascii="Meiryo UI" w:hAnsi="Meiryo UI"/>
                <w:sz w:val="18"/>
              </w:rPr>
              <w:t>+31.9%</w:t>
            </w:r>
          </w:p>
        </w:tc>
      </w:tr>
      <w:tr>
        <w:tc>
          <w:tcPr>
            <w:tcW w:type="dxa" w:w="3135"/>
            <w:shd w:val="clear" w:color="auto" w:fill="DDEBF7"/>
          </w:tcPr>
          <w:p>
            <w:r>
              <w:rPr>
                <w:rFonts w:ascii="Meiryo UI" w:hAnsi="Meiryo UI"/>
                <w:sz w:val="18"/>
              </w:rPr>
              <w:t>統合コンセンサス理論株価</w:t>
            </w:r>
          </w:p>
        </w:tc>
        <w:tc>
          <w:tcPr>
            <w:tcW w:type="dxa" w:w="3135"/>
            <w:shd w:val="clear" w:color="auto" w:fill="DDEBF7"/>
          </w:tcPr>
          <w:p>
            <w:r>
              <w:rPr>
                <w:rFonts w:ascii="Meiryo UI" w:hAnsi="Meiryo UI"/>
                <w:sz w:val="18"/>
              </w:rPr>
              <w:t>¥2,400</w:t>
            </w:r>
          </w:p>
        </w:tc>
        <w:tc>
          <w:tcPr>
            <w:tcW w:type="dxa" w:w="3135"/>
            <w:shd w:val="clear" w:color="auto" w:fill="DDEBF7"/>
          </w:tcPr>
          <w:p>
            <w:r>
              <w:rPr>
                <w:rFonts w:ascii="Meiryo UI" w:hAnsi="Meiryo UI"/>
                <w:sz w:val="18"/>
              </w:rPr>
              <w:t>+31.9%</w:t>
            </w:r>
          </w:p>
        </w:tc>
      </w:tr>
    </w:tbl>
    <w:p/>
    <w:p>
      <w:r>
        <w:rPr>
          <w:rFonts w:ascii="Meiryo UI" w:hAnsi="Meiryo UI"/>
          <w:sz w:val="20"/>
        </w:rPr>
        <w:t>&gt; 統合理論株価: ¥2,400（DCF・SOTP・PBR正当化の加重平均・中央値採用）</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p>
      <w:pPr>
        <w:shd w:val="clear" w:color="auto" w:fill="F2F2F2"/>
      </w:pPr>
      <w:r>
        <w:rPr>
          <w:rFonts w:ascii="Courier New" w:hAnsi="Courier New"/>
          <w:sz w:val="16"/>
        </w:rPr>
        <w:t>┌─────────────────────────────────────────────┐</w:t>
        <w:br/>
        <w:t>│  現在株価:       ¥1,819                      │</w:t>
        <w:br/>
        <w:t>│  DCF理論株価:    ¥2,556  (+40.5%)            │</w:t>
        <w:br/>
        <w:t>│  SOTP理論株価:   ¥2,235  (+22.9%)            │</w:t>
        <w:br/>
        <w:t>│  統合理論株価:   ¥2,400  (+31.9%)            │</w:t>
        <w:br/>
        <w:t>│                                              │</w:t>
        <w:br/>
        <w:t>│  安全域（MoS）バッファ ▲15%後:               │</w:t>
        <w:br/>
        <w:t>│  保守的理論株価: ¥2,040  (+12.1%)            │</w:t>
        <w:br/>
        <w:t>│                                              │</w:t>
        <w:br/>
        <w:t>│  12ヶ月目標株価: ¥2,200                      │</w:t>
        <w:br/>
        <w:t>└─────────────────────────────────────────────┘</w:t>
      </w:r>
    </w:p>
    <w:p/>
    <w:p>
      <w:pPr>
        <w:pStyle w:val="Heading3"/>
      </w:pPr>
      <w:r>
        <w:rPr>
          <w:rFonts w:ascii="Meiryo UI" w:hAnsi="Meiryo UI"/>
          <w:color w:val="2E74B5"/>
        </w:rPr>
        <w:t>5.2 安全域（Margin of Safety）分析</w:t>
      </w:r>
    </w:p>
    <w:p/>
    <w:p>
      <w:pPr>
        <w:shd w:val="clear" w:color="auto" w:fill="F2F2F2"/>
      </w:pPr>
      <w:r>
        <w:rPr>
          <w:rFonts w:ascii="Courier New" w:hAnsi="Courier New"/>
          <w:sz w:val="16"/>
        </w:rPr>
        <w:t>理論株価 ¥2,400 に対して ▲15% MoSバッファ:</w:t>
        <w:br/>
        <w:t xml:space="preserve">  保守的理論株価 = ¥2,400 × 0.85 = ¥2,040</w:t>
        <w:br/>
        <w:br/>
        <w:t>現在株価¥1,819 は 保守的理論株価¥2,040 を 10.8% 下回っている</w:t>
        <w:br/>
        <w:t>→ MoS適用後でも上昇余地あり → 「買い」条件を満たす</w:t>
      </w:r>
    </w:p>
    <w:p/>
    <w:p>
      <w:pPr>
        <w:pStyle w:val="Heading3"/>
      </w:pPr>
      <w:r>
        <w:rPr>
          <w:rFonts w:ascii="Meiryo UI" w:hAnsi="Meiryo UI"/>
          <w:color w:val="2E74B5"/>
        </w:rPr>
        <w:t>5.3 投資判断</w:t>
      </w:r>
    </w:p>
    <w:p/>
    <w:p>
      <w:pPr>
        <w:shd w:val="clear" w:color="auto" w:fill="F2F2F2"/>
      </w:pPr>
      <w:r>
        <w:rPr>
          <w:rFonts w:ascii="Courier New" w:hAnsi="Courier New"/>
          <w:sz w:val="16"/>
        </w:rPr>
        <w:t>╔═══════════════════════════════════════════╗</w:t>
        <w:br/>
        <w:t>║                                           ║</w:t>
        <w:br/>
        <w:t>║   投資判断: 【買い（BUY）】                ║</w:t>
        <w:br/>
        <w:t>║                                           ║</w:t>
        <w:br/>
        <w:t>║   12ヶ月目標株価: ¥2,200                  ║</w:t>
        <w:br/>
        <w:t>║   上昇余地: +20.9%（現在値¥1,819比）      ║</w:t>
        <w:br/>
        <w:t>║   配当利回り: 約2.75%（DPS¥50想定）       ║</w:t>
        <w:br/>
        <w:t>║   トータルリターン期待値: +23.7%          ║</w:t>
        <w:br/>
        <w:t>║                                           ║</w:t>
        <w:br/>
        <w:t>╚═══════════════════════════════════════════╝</w:t>
      </w:r>
    </w:p>
    <w:p/>
    <w:p>
      <w:r>
        <w:rPr>
          <w:rFonts w:ascii="Meiryo UI" w:hAnsi="Meiryo UI"/>
          <w:sz w:val="20"/>
        </w:rPr>
        <w:t>判断根拠:</w:t>
      </w:r>
    </w:p>
    <w:p>
      <w:pPr>
        <w:pStyle w:val="ListNumber"/>
      </w:pPr>
      <w:r>
        <w:rPr>
          <w:rFonts w:ascii="Meiryo UI" w:hAnsi="Meiryo UI"/>
          <w:sz w:val="20"/>
        </w:rPr>
        <w:t>SOTP・DCF・PBR3手法いずれも理論株価が現在値を上回る</w:t>
      </w:r>
    </w:p>
    <w:p>
      <w:pPr>
        <w:pStyle w:val="ListNumber"/>
      </w:pPr>
      <w:r>
        <w:rPr>
          <w:rFonts w:ascii="Meiryo UI" w:hAnsi="Meiryo UI"/>
          <w:sz w:val="20"/>
        </w:rPr>
        <w:t>安全域バッファ▲15%を適用しても上昇余地が残る</w:t>
      </w:r>
    </w:p>
    <w:p>
      <w:pPr>
        <w:pStyle w:val="ListNumber"/>
      </w:pPr>
      <w:r>
        <w:rPr>
          <w:rFonts w:ascii="Meiryo UI" w:hAnsi="Meiryo UI"/>
          <w:sz w:val="20"/>
        </w:rPr>
        <w:t>不動産含み益（¥592/株税引後）が市場で完全に無視されている</w:t>
      </w:r>
    </w:p>
    <w:p>
      <w:pPr>
        <w:pStyle w:val="ListNumber"/>
      </w:pPr>
      <w:r>
        <w:rPr>
          <w:rFonts w:ascii="Meiryo UI" w:hAnsi="Meiryo UI"/>
          <w:sz w:val="20"/>
        </w:rPr>
        <w:t>ゆうちょ金利改善カタリストが機能し始めている</w:t>
      </w:r>
    </w:p>
    <w:p>
      <w:pPr>
        <w:pStyle w:val="ListNumber"/>
      </w:pPr>
      <w:r>
        <w:rPr>
          <w:rFonts w:ascii="Meiryo UI" w:hAnsi="Meiryo UI"/>
          <w:sz w:val="20"/>
        </w:rPr>
        <w:t>配当利回り2.75%はディフェンシブな下値サポート</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3ケースシナリオ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蓋然性</w:t>
            </w:r>
          </w:p>
        </w:tc>
        <w:tc>
          <w:tcPr>
            <w:tcW w:type="dxa" w:w="2351"/>
          </w:tcPr>
          <w:p>
            <w:r>
              <w:rPr>
                <w:rFonts w:ascii="Meiryo UI" w:hAnsi="Meiryo UI"/>
                <w:sz w:val="18"/>
              </w:rPr>
              <w:t>25%</w:t>
            </w:r>
          </w:p>
        </w:tc>
        <w:tc>
          <w:tcPr>
            <w:tcW w:type="dxa" w:w="2351"/>
          </w:tcPr>
          <w:p>
            <w:r>
              <w:rPr>
                <w:rFonts w:ascii="Meiryo UI" w:hAnsi="Meiryo UI"/>
                <w:sz w:val="18"/>
              </w:rPr>
              <w:t>50%</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主要前提</w:t>
            </w:r>
          </w:p>
        </w:tc>
        <w:tc>
          <w:tcPr>
            <w:tcW w:type="dxa" w:w="2351"/>
            <w:shd w:val="clear" w:color="auto" w:fill="DDEBF7"/>
          </w:tcPr>
          <w:p>
            <w:r>
              <w:rPr>
                <w:rFonts w:ascii="Meiryo UI" w:hAnsi="Meiryo UI"/>
                <w:sz w:val="18"/>
              </w:rPr>
              <w:t>不動産売却加速＋ROE7%達成＋ゆうちょNIM大幅改善</w:t>
            </w:r>
          </w:p>
        </w:tc>
        <w:tc>
          <w:tcPr>
            <w:tcW w:type="dxa" w:w="2351"/>
            <w:shd w:val="clear" w:color="auto" w:fill="DDEBF7"/>
          </w:tcPr>
          <w:p>
            <w:r>
              <w:rPr>
                <w:rFonts w:ascii="Meiryo UI" w:hAnsi="Meiryo UI"/>
                <w:sz w:val="18"/>
              </w:rPr>
              <w:t>ROE6%改善・不動産一部顕在化・ゆうちょ金利緩改善</w:t>
            </w:r>
          </w:p>
        </w:tc>
        <w:tc>
          <w:tcPr>
            <w:tcW w:type="dxa" w:w="2351"/>
            <w:shd w:val="clear" w:color="auto" w:fill="DDEBF7"/>
          </w:tcPr>
          <w:p>
            <w:r>
              <w:rPr>
                <w:rFonts w:ascii="Meiryo UI" w:hAnsi="Meiryo UI"/>
                <w:sz w:val="18"/>
              </w:rPr>
              <w:t>ROE停滞・不動産売却遅延・政府株売却で需給悪化</w:t>
            </w:r>
          </w:p>
        </w:tc>
      </w:tr>
      <w:tr>
        <w:tc>
          <w:tcPr>
            <w:tcW w:type="dxa" w:w="2351"/>
          </w:tcPr>
          <w:p>
            <w:r>
              <w:rPr>
                <w:rFonts w:ascii="Meiryo UI" w:hAnsi="Meiryo UI"/>
                <w:sz w:val="18"/>
              </w:rPr>
              <w:t>FCF成長率（1-5年）</w:t>
            </w:r>
          </w:p>
        </w:tc>
        <w:tc>
          <w:tcPr>
            <w:tcW w:type="dxa" w:w="2351"/>
          </w:tcPr>
          <w:p>
            <w:r>
              <w:rPr>
                <w:rFonts w:ascii="Meiryo UI" w:hAnsi="Meiryo UI"/>
                <w:sz w:val="18"/>
              </w:rPr>
              <w:t>5.0%</w:t>
            </w:r>
          </w:p>
        </w:tc>
        <w:tc>
          <w:tcPr>
            <w:tcW w:type="dxa" w:w="2351"/>
          </w:tcPr>
          <w:p>
            <w:r>
              <w:rPr>
                <w:rFonts w:ascii="Meiryo UI" w:hAnsi="Meiryo UI"/>
                <w:sz w:val="18"/>
              </w:rPr>
              <w:t>3.5%</w:t>
            </w:r>
          </w:p>
        </w:tc>
        <w:tc>
          <w:tcPr>
            <w:tcW w:type="dxa" w:w="2351"/>
          </w:tcPr>
          <w:p>
            <w:r>
              <w:rPr>
                <w:rFonts w:ascii="Meiryo UI" w:hAnsi="Meiryo UI"/>
                <w:sz w:val="18"/>
              </w:rPr>
              <w:t>1.0%</w:t>
            </w:r>
          </w:p>
        </w:tc>
      </w:tr>
      <w:tr>
        <w:tc>
          <w:tcPr>
            <w:tcW w:type="dxa" w:w="2351"/>
            <w:shd w:val="clear" w:color="auto" w:fill="DDEBF7"/>
          </w:tcPr>
          <w:p>
            <w:r>
              <w:rPr>
                <w:rFonts w:ascii="Meiryo UI" w:hAnsi="Meiryo UI"/>
                <w:sz w:val="18"/>
              </w:rPr>
              <w:t>永続成長率</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0.5%</w:t>
            </w:r>
          </w:p>
        </w:tc>
      </w:tr>
      <w:tr>
        <w:tc>
          <w:tcPr>
            <w:tcW w:type="dxa" w:w="2351"/>
          </w:tcPr>
          <w:p>
            <w:r>
              <w:rPr>
                <w:rFonts w:ascii="Meiryo UI" w:hAnsi="Meiryo UI"/>
                <w:sz w:val="18"/>
              </w:rPr>
              <w:t>WACC</w:t>
            </w:r>
          </w:p>
        </w:tc>
        <w:tc>
          <w:tcPr>
            <w:tcW w:type="dxa" w:w="2351"/>
          </w:tcPr>
          <w:p>
            <w:r>
              <w:rPr>
                <w:rFonts w:ascii="Meiryo UI" w:hAnsi="Meiryo UI"/>
                <w:sz w:val="18"/>
              </w:rPr>
              <w:t>5.42%（β下振れ）</w:t>
            </w:r>
          </w:p>
        </w:tc>
        <w:tc>
          <w:tcPr>
            <w:tcW w:type="dxa" w:w="2351"/>
          </w:tcPr>
          <w:p>
            <w:r>
              <w:rPr>
                <w:rFonts w:ascii="Meiryo UI" w:hAnsi="Meiryo UI"/>
                <w:sz w:val="18"/>
              </w:rPr>
              <w:t>5.92%</w:t>
            </w:r>
          </w:p>
        </w:tc>
        <w:tc>
          <w:tcPr>
            <w:tcW w:type="dxa" w:w="2351"/>
          </w:tcPr>
          <w:p>
            <w:r>
              <w:rPr>
                <w:rFonts w:ascii="Meiryo UI" w:hAnsi="Meiryo UI"/>
                <w:sz w:val="18"/>
              </w:rPr>
              <w:t>6.42%（β上振れ）</w:t>
            </w:r>
          </w:p>
        </w:tc>
      </w:tr>
      <w:tr>
        <w:tc>
          <w:tcPr>
            <w:tcW w:type="dxa" w:w="2351"/>
            <w:shd w:val="clear" w:color="auto" w:fill="DDEBF7"/>
          </w:tcPr>
          <w:p>
            <w:r>
              <w:rPr>
                <w:rFonts w:ascii="Meiryo UI" w:hAnsi="Meiryo UI"/>
                <w:sz w:val="18"/>
              </w:rPr>
              <w:t>理論株価（DCF）</w:t>
            </w:r>
          </w:p>
        </w:tc>
        <w:tc>
          <w:tcPr>
            <w:tcW w:type="dxa" w:w="2351"/>
            <w:shd w:val="clear" w:color="auto" w:fill="DDEBF7"/>
          </w:tcPr>
          <w:p>
            <w:r>
              <w:rPr>
                <w:rFonts w:ascii="Meiryo UI" w:hAnsi="Meiryo UI"/>
                <w:sz w:val="18"/>
              </w:rPr>
              <w:t>¥3,200</w:t>
            </w:r>
          </w:p>
        </w:tc>
        <w:tc>
          <w:tcPr>
            <w:tcW w:type="dxa" w:w="2351"/>
            <w:shd w:val="clear" w:color="auto" w:fill="DDEBF7"/>
          </w:tcPr>
          <w:p>
            <w:r>
              <w:rPr>
                <w:rFonts w:ascii="Meiryo UI" w:hAnsi="Meiryo UI"/>
                <w:sz w:val="18"/>
              </w:rPr>
              <w:t>¥2,556</w:t>
            </w:r>
          </w:p>
        </w:tc>
        <w:tc>
          <w:tcPr>
            <w:tcW w:type="dxa" w:w="2351"/>
            <w:shd w:val="clear" w:color="auto" w:fill="DDEBF7"/>
          </w:tcPr>
          <w:p>
            <w:r>
              <w:rPr>
                <w:rFonts w:ascii="Meiryo UI" w:hAnsi="Meiryo UI"/>
                <w:sz w:val="18"/>
              </w:rPr>
              <w:t>¥1,650</w:t>
            </w:r>
          </w:p>
        </w:tc>
      </w:tr>
      <w:tr>
        <w:tc>
          <w:tcPr>
            <w:tcW w:type="dxa" w:w="2351"/>
          </w:tcPr>
          <w:p>
            <w:r>
              <w:rPr>
                <w:rFonts w:ascii="Meiryo UI" w:hAnsi="Meiryo UI"/>
                <w:sz w:val="18"/>
              </w:rPr>
              <w:t>理論株価（SOTP）</w:t>
            </w:r>
          </w:p>
        </w:tc>
        <w:tc>
          <w:tcPr>
            <w:tcW w:type="dxa" w:w="2351"/>
          </w:tcPr>
          <w:p>
            <w:r>
              <w:rPr>
                <w:rFonts w:ascii="Meiryo UI" w:hAnsi="Meiryo UI"/>
                <w:sz w:val="18"/>
              </w:rPr>
              <w:t>¥2,800</w:t>
            </w:r>
          </w:p>
        </w:tc>
        <w:tc>
          <w:tcPr>
            <w:tcW w:type="dxa" w:w="2351"/>
          </w:tcPr>
          <w:p>
            <w:r>
              <w:rPr>
                <w:rFonts w:ascii="Meiryo UI" w:hAnsi="Meiryo UI"/>
                <w:sz w:val="18"/>
              </w:rPr>
              <w:t>¥2,235</w:t>
            </w:r>
          </w:p>
        </w:tc>
        <w:tc>
          <w:tcPr>
            <w:tcW w:type="dxa" w:w="2351"/>
          </w:tcPr>
          <w:p>
            <w:r>
              <w:rPr>
                <w:rFonts w:ascii="Meiryo UI" w:hAnsi="Meiryo UI"/>
                <w:sz w:val="18"/>
              </w:rPr>
              <w:t>¥1,700</w:t>
            </w:r>
          </w:p>
        </w:tc>
      </w:tr>
      <w:tr>
        <w:tc>
          <w:tcPr>
            <w:tcW w:type="dxa" w:w="2351"/>
            <w:shd w:val="clear" w:color="auto" w:fill="DDEBF7"/>
          </w:tcPr>
          <w:p>
            <w:r>
              <w:rPr>
                <w:rFonts w:ascii="Meiryo UI" w:hAnsi="Meiryo UI"/>
                <w:sz w:val="18"/>
              </w:rPr>
              <w:t>統合理論株価</w:t>
            </w:r>
          </w:p>
        </w:tc>
        <w:tc>
          <w:tcPr>
            <w:tcW w:type="dxa" w:w="2351"/>
            <w:shd w:val="clear" w:color="auto" w:fill="DDEBF7"/>
          </w:tcPr>
          <w:p>
            <w:r>
              <w:rPr>
                <w:rFonts w:ascii="Meiryo UI" w:hAnsi="Meiryo UI"/>
                <w:sz w:val="18"/>
              </w:rPr>
              <w:t>¥3,000</w:t>
            </w:r>
          </w:p>
        </w:tc>
        <w:tc>
          <w:tcPr>
            <w:tcW w:type="dxa" w:w="2351"/>
            <w:shd w:val="clear" w:color="auto" w:fill="DDEBF7"/>
          </w:tcPr>
          <w:p>
            <w:r>
              <w:rPr>
                <w:rFonts w:ascii="Meiryo UI" w:hAnsi="Meiryo UI"/>
                <w:sz w:val="18"/>
              </w:rPr>
              <w:t>¥2,400</w:t>
            </w:r>
          </w:p>
        </w:tc>
        <w:tc>
          <w:tcPr>
            <w:tcW w:type="dxa" w:w="2351"/>
            <w:shd w:val="clear" w:color="auto" w:fill="DDEBF7"/>
          </w:tcPr>
          <w:p>
            <w:r>
              <w:rPr>
                <w:rFonts w:ascii="Meiryo UI" w:hAnsi="Meiryo UI"/>
                <w:sz w:val="18"/>
              </w:rPr>
              <w:t>¥1,675</w:t>
            </w:r>
          </w:p>
        </w:tc>
      </w:tr>
      <w:tr>
        <w:tc>
          <w:tcPr>
            <w:tcW w:type="dxa" w:w="2351"/>
          </w:tcPr>
          <w:p>
            <w:r>
              <w:rPr>
                <w:rFonts w:ascii="Meiryo UI" w:hAnsi="Meiryo UI"/>
                <w:sz w:val="18"/>
              </w:rPr>
              <w:t>現在値比</w:t>
            </w:r>
          </w:p>
        </w:tc>
        <w:tc>
          <w:tcPr>
            <w:tcW w:type="dxa" w:w="2351"/>
          </w:tcPr>
          <w:p>
            <w:r>
              <w:rPr>
                <w:rFonts w:ascii="Meiryo UI" w:hAnsi="Meiryo UI"/>
                <w:sz w:val="18"/>
              </w:rPr>
              <w:t>+64.9%</w:t>
            </w:r>
          </w:p>
        </w:tc>
        <w:tc>
          <w:tcPr>
            <w:tcW w:type="dxa" w:w="2351"/>
          </w:tcPr>
          <w:p>
            <w:r>
              <w:rPr>
                <w:rFonts w:ascii="Meiryo UI" w:hAnsi="Meiryo UI"/>
                <w:sz w:val="18"/>
              </w:rPr>
              <w:t>+31.9%</w:t>
            </w:r>
          </w:p>
        </w:tc>
        <w:tc>
          <w:tcPr>
            <w:tcW w:type="dxa" w:w="2351"/>
          </w:tcPr>
          <w:p>
            <w:r>
              <w:rPr>
                <w:rFonts w:ascii="Meiryo UI" w:hAnsi="Meiryo UI"/>
                <w:sz w:val="18"/>
              </w:rPr>
              <w:t>▲7.9%</w:t>
            </w:r>
          </w:p>
        </w:tc>
      </w:tr>
      <w:tr>
        <w:tc>
          <w:tcPr>
            <w:tcW w:type="dxa" w:w="2351"/>
            <w:shd w:val="clear" w:color="auto" w:fill="DDEBF7"/>
          </w:tcPr>
          <w:p>
            <w:r>
              <w:rPr>
                <w:rFonts w:ascii="Meiryo UI" w:hAnsi="Meiryo UI"/>
                <w:sz w:val="18"/>
              </w:rPr>
              <w:t>12M目標株価</w:t>
            </w:r>
          </w:p>
        </w:tc>
        <w:tc>
          <w:tcPr>
            <w:tcW w:type="dxa" w:w="2351"/>
            <w:shd w:val="clear" w:color="auto" w:fill="DDEBF7"/>
          </w:tcPr>
          <w:p>
            <w:r>
              <w:rPr>
                <w:rFonts w:ascii="Meiryo UI" w:hAnsi="Meiryo UI"/>
                <w:sz w:val="18"/>
              </w:rPr>
              <w:t>¥2,800</w:t>
            </w:r>
          </w:p>
        </w:tc>
        <w:tc>
          <w:tcPr>
            <w:tcW w:type="dxa" w:w="2351"/>
            <w:shd w:val="clear" w:color="auto" w:fill="DDEBF7"/>
          </w:tcPr>
          <w:p>
            <w:r>
              <w:rPr>
                <w:rFonts w:ascii="Meiryo UI" w:hAnsi="Meiryo UI"/>
                <w:sz w:val="18"/>
              </w:rPr>
              <w:t>¥2,200</w:t>
            </w:r>
          </w:p>
        </w:tc>
        <w:tc>
          <w:tcPr>
            <w:tcW w:type="dxa" w:w="2351"/>
            <w:shd w:val="clear" w:color="auto" w:fill="DDEBF7"/>
          </w:tcPr>
          <w:p>
            <w:r>
              <w:rPr>
                <w:rFonts w:ascii="Meiryo UI" w:hAnsi="Meiryo UI"/>
                <w:sz w:val="18"/>
              </w:rPr>
              <w:t>¥1,600</w:t>
            </w:r>
          </w:p>
        </w:tc>
      </w:tr>
    </w:tbl>
    <w:p/>
    <w:p>
      <w:pPr>
        <w:pStyle w:val="Heading3"/>
      </w:pPr>
      <w:r>
        <w:rPr>
          <w:rFonts w:ascii="Meiryo UI" w:hAnsi="Meiryo UI"/>
          <w:color w:val="2E74B5"/>
        </w:rPr>
        <w:t>6.2 シナリオ加重期待値</w:t>
      </w:r>
    </w:p>
    <w:p/>
    <w:p>
      <w:pPr>
        <w:shd w:val="clear" w:color="auto" w:fill="F2F2F2"/>
      </w:pPr>
      <w:r>
        <w:rPr>
          <w:rFonts w:ascii="Courier New" w:hAnsi="Courier New"/>
          <w:sz w:val="16"/>
        </w:rPr>
        <w:t>加重期待理論株価 = (3,000×0.25) + (2,400×0.50) + (1,675×0.25)</w:t>
        <w:br/>
        <w:t xml:space="preserve">               = 750 + 1,200 + 418.75</w:t>
        <w:br/>
        <w:t xml:space="preserve">               = ¥2,368.75</w:t>
        <w:br/>
        <w:t xml:space="preserve">               ≒ ¥2,370</w:t>
        <w:br/>
        <w:br/>
        <w:t>→ 現在株価¥1,819に対して +30.3% の上昇余地（確率加重ベース）</w:t>
      </w:r>
    </w:p>
    <w:p/>
    <w:p>
      <w:pPr>
        <w:pStyle w:val="Heading3"/>
      </w:pPr>
      <w:r>
        <w:rPr>
          <w:rFonts w:ascii="Meiryo UI" w:hAnsi="Meiryo UI"/>
          <w:color w:val="2E74B5"/>
        </w:rPr>
        <w:t>6.3 主要リスク一覧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w:t>
            </w:r>
          </w:p>
        </w:tc>
        <w:tc>
          <w:tcPr>
            <w:tcW w:type="dxa" w:w="2351"/>
            <w:shd w:val="clear" w:color="auto" w:fill="2E74B5"/>
          </w:tcPr>
          <w:p>
            <w:r>
              <w:rPr>
                <w:rFonts w:ascii="Meiryo UI" w:hAnsi="Meiryo UI"/>
                <w:b/>
                <w:color w:val="FFFFFF"/>
                <w:sz w:val="18"/>
              </w:rPr>
              <w:t>影響度</w:t>
            </w:r>
          </w:p>
        </w:tc>
        <w:tc>
          <w:tcPr>
            <w:tcW w:type="dxa" w:w="2351"/>
            <w:shd w:val="clear" w:color="auto" w:fill="2E74B5"/>
          </w:tcPr>
          <w:p>
            <w:r>
              <w:rPr>
                <w:rFonts w:ascii="Meiryo UI" w:hAnsi="Meiryo UI"/>
                <w:b/>
                <w:color w:val="FFFFFF"/>
                <w:sz w:val="18"/>
              </w:rPr>
              <w:t>発生確率</w:t>
            </w:r>
          </w:p>
        </w:tc>
        <w:tc>
          <w:tcPr>
            <w:tcW w:type="dxa" w:w="2351"/>
            <w:shd w:val="clear" w:color="auto" w:fill="2E74B5"/>
          </w:tcPr>
          <w:p>
            <w:r>
              <w:rPr>
                <w:rFonts w:ascii="Meiryo UI" w:hAnsi="Meiryo UI"/>
                <w:b/>
                <w:color w:val="FFFFFF"/>
                <w:sz w:val="18"/>
              </w:rPr>
              <w:t>対処</w:t>
            </w:r>
          </w:p>
        </w:tc>
      </w:tr>
      <w:tr>
        <w:tc>
          <w:tcPr>
            <w:tcW w:type="dxa" w:w="2351"/>
          </w:tcPr>
          <w:p>
            <w:r>
              <w:rPr>
                <w:rFonts w:ascii="Meiryo UI" w:hAnsi="Meiryo UI"/>
                <w:sz w:val="18"/>
              </w:rPr>
              <w:t>政府株追加放出による需給悪化</w:t>
            </w:r>
          </w:p>
        </w:tc>
        <w:tc>
          <w:tcPr>
            <w:tcW w:type="dxa" w:w="2351"/>
          </w:tcPr>
          <w:p>
            <w:r>
              <w:rPr>
                <w:rFonts w:ascii="Meiryo UI" w:hAnsi="Meiryo UI"/>
                <w:sz w:val="18"/>
              </w:rPr>
              <w:t>中</w:t>
            </w:r>
          </w:p>
        </w:tc>
        <w:tc>
          <w:tcPr>
            <w:tcW w:type="dxa" w:w="2351"/>
          </w:tcPr>
          <w:p>
            <w:r>
              <w:rPr>
                <w:rFonts w:ascii="Meiryo UI" w:hAnsi="Meiryo UI"/>
                <w:sz w:val="18"/>
              </w:rPr>
              <w:t>高</w:t>
            </w:r>
          </w:p>
        </w:tc>
        <w:tc>
          <w:tcPr>
            <w:tcW w:type="dxa" w:w="2351"/>
          </w:tcPr>
          <w:p>
            <w:r>
              <w:rPr>
                <w:rFonts w:ascii="Meiryo UI" w:hAnsi="Meiryo UI"/>
                <w:sz w:val="18"/>
              </w:rPr>
              <w:t>エントリー価格の引き下げ</w:t>
            </w:r>
          </w:p>
        </w:tc>
      </w:tr>
      <w:tr>
        <w:tc>
          <w:tcPr>
            <w:tcW w:type="dxa" w:w="2351"/>
            <w:shd w:val="clear" w:color="auto" w:fill="DDEBF7"/>
          </w:tcPr>
          <w:p>
            <w:r>
              <w:rPr>
                <w:rFonts w:ascii="Meiryo UI" w:hAnsi="Meiryo UI"/>
                <w:sz w:val="18"/>
              </w:rPr>
              <w:t>ゆうちょ有価証券の金利上昇損</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ポジションサイズ管理</w:t>
            </w:r>
          </w:p>
        </w:tc>
      </w:tr>
      <w:tr>
        <w:tc>
          <w:tcPr>
            <w:tcW w:type="dxa" w:w="2351"/>
          </w:tcPr>
          <w:p>
            <w:r>
              <w:rPr>
                <w:rFonts w:ascii="Meiryo UI" w:hAnsi="Meiryo UI"/>
                <w:sz w:val="18"/>
              </w:rPr>
              <w:t>物流競争激化（ヤマト・Amazon）</w:t>
            </w:r>
          </w:p>
        </w:tc>
        <w:tc>
          <w:tcPr>
            <w:tcW w:type="dxa" w:w="2351"/>
          </w:tcPr>
          <w:p>
            <w:r>
              <w:rPr>
                <w:rFonts w:ascii="Meiryo UI" w:hAnsi="Meiryo UI"/>
                <w:sz w:val="18"/>
              </w:rPr>
              <w:t>中</w:t>
            </w:r>
          </w:p>
        </w:tc>
        <w:tc>
          <w:tcPr>
            <w:tcW w:type="dxa" w:w="2351"/>
          </w:tcPr>
          <w:p>
            <w:r>
              <w:rPr>
                <w:rFonts w:ascii="Meiryo UI" w:hAnsi="Meiryo UI"/>
                <w:sz w:val="18"/>
              </w:rPr>
              <w:t>中</w:t>
            </w:r>
          </w:p>
        </w:tc>
        <w:tc>
          <w:tcPr>
            <w:tcW w:type="dxa" w:w="2351"/>
          </w:tcPr>
          <w:p>
            <w:r>
              <w:rPr>
                <w:rFonts w:ascii="Meiryo UI" w:hAnsi="Meiryo UI"/>
                <w:sz w:val="18"/>
              </w:rPr>
              <w:t>損切りライン設定</w:t>
            </w:r>
          </w:p>
        </w:tc>
      </w:tr>
      <w:tr>
        <w:tc>
          <w:tcPr>
            <w:tcW w:type="dxa" w:w="2351"/>
            <w:shd w:val="clear" w:color="auto" w:fill="DDEBF7"/>
          </w:tcPr>
          <w:p>
            <w:r>
              <w:rPr>
                <w:rFonts w:ascii="Meiryo UI" w:hAnsi="Meiryo UI"/>
                <w:sz w:val="18"/>
              </w:rPr>
              <w:t>不動産再開発の遅延・中止</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低</w:t>
            </w:r>
          </w:p>
        </w:tc>
        <w:tc>
          <w:tcPr>
            <w:tcW w:type="dxa" w:w="2351"/>
            <w:shd w:val="clear" w:color="auto" w:fill="DDEBF7"/>
          </w:tcPr>
          <w:p>
            <w:r>
              <w:rPr>
                <w:rFonts w:ascii="Meiryo UI" w:hAnsi="Meiryo UI"/>
                <w:sz w:val="18"/>
              </w:rPr>
              <w:t>長期保有前提</w:t>
            </w:r>
          </w:p>
        </w:tc>
      </w:tr>
      <w:tr>
        <w:tc>
          <w:tcPr>
            <w:tcW w:type="dxa" w:w="2351"/>
          </w:tcPr>
          <w:p>
            <w:r>
              <w:rPr>
                <w:rFonts w:ascii="Meiryo UI" w:hAnsi="Meiryo UI"/>
                <w:sz w:val="18"/>
              </w:rPr>
              <w:t>かんぽ問題の再燃</w:t>
            </w:r>
          </w:p>
        </w:tc>
        <w:tc>
          <w:tcPr>
            <w:tcW w:type="dxa" w:w="2351"/>
          </w:tcPr>
          <w:p>
            <w:r>
              <w:rPr>
                <w:rFonts w:ascii="Meiryo UI" w:hAnsi="Meiryo UI"/>
                <w:sz w:val="18"/>
              </w:rPr>
              <w:t>低</w:t>
            </w:r>
          </w:p>
        </w:tc>
        <w:tc>
          <w:tcPr>
            <w:tcW w:type="dxa" w:w="2351"/>
          </w:tcPr>
          <w:p>
            <w:r>
              <w:rPr>
                <w:rFonts w:ascii="Meiryo UI" w:hAnsi="Meiryo UI"/>
                <w:sz w:val="18"/>
              </w:rPr>
              <w:t>低</w:t>
            </w:r>
          </w:p>
        </w:tc>
        <w:tc>
          <w:tcPr>
            <w:tcW w:type="dxa" w:w="2351"/>
          </w:tcPr>
          <w:p>
            <w:r>
              <w:rPr>
                <w:rFonts w:ascii="Meiryo UI" w:hAnsi="Meiryo UI"/>
                <w:sz w:val="18"/>
              </w:rPr>
              <w:t>モニタリング継続</w:t>
            </w:r>
          </w:p>
        </w:tc>
      </w:tr>
      <w:tr>
        <w:tc>
          <w:tcPr>
            <w:tcW w:type="dxa" w:w="2351"/>
            <w:shd w:val="clear" w:color="auto" w:fill="DDEBF7"/>
          </w:tcPr>
          <w:p>
            <w:r>
              <w:rPr>
                <w:rFonts w:ascii="Meiryo UI" w:hAnsi="Meiryo UI"/>
                <w:sz w:val="18"/>
              </w:rPr>
              <w:t>コングロマリットディスカウント継続</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SOTP顕在化待ち</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 vs 深井分析の対比</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深井定量分析</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シグナル方向</w:t>
            </w:r>
          </w:p>
        </w:tc>
        <w:tc>
          <w:tcPr>
            <w:tcW w:type="dxa" w:w="2351"/>
          </w:tcPr>
          <w:p>
            <w:r>
              <w:rPr>
                <w:rFonts w:ascii="Meiryo UI" w:hAnsi="Meiryo UI"/>
                <w:sz w:val="18"/>
              </w:rPr>
              <w:t>+0（BUY）</w:t>
            </w:r>
          </w:p>
        </w:tc>
        <w:tc>
          <w:tcPr>
            <w:tcW w:type="dxa" w:w="2351"/>
          </w:tcPr>
          <w:p>
            <w:r>
              <w:rPr>
                <w:rFonts w:ascii="Meiryo UI" w:hAnsi="Meiryo UI"/>
                <w:sz w:val="18"/>
              </w:rPr>
              <w:t>BUY（+31.9%余地）</w:t>
            </w:r>
          </w:p>
        </w:tc>
        <w:tc>
          <w:tcPr>
            <w:tcW w:type="dxa" w:w="2351"/>
          </w:tcPr>
          <w:p>
            <w:r>
              <w:rPr>
                <w:rFonts w:ascii="Meiryo UI" w:hAnsi="Meiryo UI"/>
                <w:sz w:val="18"/>
              </w:rPr>
              <w:t>整合（BUY）</w:t>
            </w:r>
          </w:p>
        </w:tc>
      </w:tr>
      <w:tr>
        <w:tc>
          <w:tcPr>
            <w:tcW w:type="dxa" w:w="2351"/>
            <w:shd w:val="clear" w:color="auto" w:fill="DDEBF7"/>
          </w:tcPr>
          <w:p>
            <w:r>
              <w:rPr>
                <w:rFonts w:ascii="Meiryo UI" w:hAnsi="Meiryo UI"/>
                <w:sz w:val="18"/>
              </w:rPr>
              <w:t>センチメント</w:t>
            </w:r>
          </w:p>
        </w:tc>
        <w:tc>
          <w:tcPr>
            <w:tcW w:type="dxa" w:w="2351"/>
            <w:shd w:val="clear" w:color="auto" w:fill="DDEBF7"/>
          </w:tcPr>
          <w:p>
            <w:r>
              <w:rPr>
                <w:rFonts w:ascii="Meiryo UI" w:hAnsi="Meiryo UI"/>
                <w:sz w:val="18"/>
              </w:rPr>
              <w:t>中立〜弱気</w:t>
            </w:r>
          </w:p>
        </w:tc>
        <w:tc>
          <w:tcPr>
            <w:tcW w:type="dxa" w:w="2351"/>
            <w:shd w:val="clear" w:color="auto" w:fill="DDEBF7"/>
          </w:tcPr>
          <w:p>
            <w:r>
              <w:rPr>
                <w:rFonts w:ascii="Meiryo UI" w:hAnsi="Meiryo UI"/>
                <w:sz w:val="18"/>
              </w:rPr>
              <w:t>割安（定量確認）</w:t>
            </w:r>
          </w:p>
        </w:tc>
        <w:tc>
          <w:tcPr>
            <w:tcW w:type="dxa" w:w="2351"/>
            <w:shd w:val="clear" w:color="auto" w:fill="DDEBF7"/>
          </w:tcPr>
          <w:p>
            <w:r>
              <w:rPr>
                <w:rFonts w:ascii="Meiryo UI" w:hAnsi="Meiryo UI"/>
                <w:sz w:val="18"/>
              </w:rPr>
              <w:t>乖離あり→チャンス</w:t>
            </w:r>
          </w:p>
        </w:tc>
      </w:tr>
      <w:tr>
        <w:tc>
          <w:tcPr>
            <w:tcW w:type="dxa" w:w="2351"/>
          </w:tcPr>
          <w:p>
            <w:r>
              <w:rPr>
                <w:rFonts w:ascii="Meiryo UI" w:hAnsi="Meiryo UI"/>
                <w:sz w:val="18"/>
              </w:rPr>
              <w:t>割安根拠</w:t>
            </w:r>
          </w:p>
        </w:tc>
        <w:tc>
          <w:tcPr>
            <w:tcW w:type="dxa" w:w="2351"/>
          </w:tcPr>
          <w:p>
            <w:r>
              <w:rPr>
                <w:rFonts w:ascii="Meiryo UI" w:hAnsi="Meiryo UI"/>
                <w:sz w:val="18"/>
              </w:rPr>
              <w:t>低PBR・不動産</w:t>
            </w:r>
          </w:p>
        </w:tc>
        <w:tc>
          <w:tcPr>
            <w:tcW w:type="dxa" w:w="2351"/>
          </w:tcPr>
          <w:p>
            <w:r>
              <w:rPr>
                <w:rFonts w:ascii="Meiryo UI" w:hAnsi="Meiryo UI"/>
                <w:sz w:val="18"/>
              </w:rPr>
              <w:t>SOTP・DCF・不動産含み益</w:t>
            </w:r>
          </w:p>
        </w:tc>
        <w:tc>
          <w:tcPr>
            <w:tcW w:type="dxa" w:w="2351"/>
          </w:tcPr>
          <w:p>
            <w:r>
              <w:rPr>
                <w:rFonts w:ascii="Meiryo UI" w:hAnsi="Meiryo UI"/>
                <w:sz w:val="18"/>
              </w:rPr>
              <w:t>定量的に裏付け</w:t>
            </w:r>
          </w:p>
        </w:tc>
      </w:tr>
      <w:tr>
        <w:tc>
          <w:tcPr>
            <w:tcW w:type="dxa" w:w="2351"/>
            <w:shd w:val="clear" w:color="auto" w:fill="DDEBF7"/>
          </w:tcPr>
          <w:p>
            <w:r>
              <w:rPr>
                <w:rFonts w:ascii="Meiryo UI" w:hAnsi="Meiryo UI"/>
                <w:sz w:val="18"/>
              </w:rPr>
              <w:t>リスク認識</w:t>
            </w:r>
          </w:p>
        </w:tc>
        <w:tc>
          <w:tcPr>
            <w:tcW w:type="dxa" w:w="2351"/>
            <w:shd w:val="clear" w:color="auto" w:fill="DDEBF7"/>
          </w:tcPr>
          <w:p>
            <w:r>
              <w:rPr>
                <w:rFonts w:ascii="Meiryo UI" w:hAnsi="Meiryo UI"/>
                <w:sz w:val="18"/>
              </w:rPr>
              <w:t>低ROEへの懸念</w:t>
            </w:r>
          </w:p>
        </w:tc>
        <w:tc>
          <w:tcPr>
            <w:tcW w:type="dxa" w:w="2351"/>
            <w:shd w:val="clear" w:color="auto" w:fill="DDEBF7"/>
          </w:tcPr>
          <w:p>
            <w:r>
              <w:rPr>
                <w:rFonts w:ascii="Meiryo UI" w:hAnsi="Meiryo UI"/>
                <w:sz w:val="18"/>
              </w:rPr>
              <w:t>構造的要因と改善可能性</w:t>
            </w:r>
          </w:p>
        </w:tc>
        <w:tc>
          <w:tcPr>
            <w:tcW w:type="dxa" w:w="2351"/>
            <w:shd w:val="clear" w:color="auto" w:fill="DDEBF7"/>
          </w:tcPr>
          <w:p>
            <w:r>
              <w:rPr>
                <w:rFonts w:ascii="Meiryo UI" w:hAnsi="Meiryo UI"/>
                <w:sz w:val="18"/>
              </w:rPr>
              <w:t>改善見込みあり</w:t>
            </w:r>
          </w:p>
        </w:tc>
      </w:tr>
      <w:tr>
        <w:tc>
          <w:tcPr>
            <w:tcW w:type="dxa" w:w="2351"/>
          </w:tcPr>
          <w:p>
            <w:r>
              <w:rPr>
                <w:rFonts w:ascii="Meiryo UI" w:hAnsi="Meiryo UI"/>
                <w:sz w:val="18"/>
              </w:rPr>
              <w:t>時間軸</w:t>
            </w:r>
          </w:p>
        </w:tc>
        <w:tc>
          <w:tcPr>
            <w:tcW w:type="dxa" w:w="2351"/>
          </w:tcPr>
          <w:p>
            <w:r>
              <w:rPr>
                <w:rFonts w:ascii="Meiryo UI" w:hAnsi="Meiryo UI"/>
                <w:sz w:val="18"/>
              </w:rPr>
              <w:t>未明示</w:t>
            </w:r>
          </w:p>
        </w:tc>
        <w:tc>
          <w:tcPr>
            <w:tcW w:type="dxa" w:w="2351"/>
          </w:tcPr>
          <w:p>
            <w:r>
              <w:rPr>
                <w:rFonts w:ascii="Meiryo UI" w:hAnsi="Meiryo UI"/>
                <w:sz w:val="18"/>
              </w:rPr>
              <w:t>12〜24ヶ月</w:t>
            </w:r>
          </w:p>
        </w:tc>
        <w:tc>
          <w:tcPr>
            <w:tcW w:type="dxa" w:w="2351"/>
          </w:tcPr>
          <w:p>
            <w:r>
              <w:rPr>
                <w:rFonts w:ascii="Meiryo UI" w:hAnsi="Meiryo UI"/>
                <w:sz w:val="18"/>
              </w:rPr>
              <w:t>中期保有推奨</w:t>
            </w:r>
          </w:p>
        </w:tc>
      </w:tr>
    </w:tbl>
    <w:p/>
    <w:p>
      <w:pPr>
        <w:pStyle w:val="Heading3"/>
      </w:pPr>
      <w:r>
        <w:rPr>
          <w:rFonts w:ascii="Meiryo UI" w:hAnsi="Meiryo UI"/>
          <w:color w:val="2E74B5"/>
        </w:rPr>
        <w:t>7.2 センチメント vs 本源的価値のギャップ</w:t>
      </w:r>
    </w:p>
    <w:p/>
    <w:p>
      <w:pPr>
        <w:shd w:val="clear" w:color="auto" w:fill="F2F2F2"/>
      </w:pPr>
      <w:r>
        <w:rPr>
          <w:rFonts w:ascii="Courier New" w:hAnsi="Courier New"/>
          <w:sz w:val="16"/>
        </w:rPr>
        <w:t>市場センチメント（現在PBR 0.54）:</w:t>
        <w:br/>
        <w:t xml:space="preserve">  → 「低ROEの停滞企業」として過度にディスカウント</w:t>
        <w:br/>
        <w:br/>
        <w:t>本源的価値（深井分析）:</w:t>
        <w:br/>
        <w:t xml:space="preserve">  → 不動産含み益¥592/株（税引後）が完全無視</w:t>
        <w:br/>
        <w:t xml:space="preserve">  → ゆうちょ金利改善カタリストを市場が軽視</w:t>
        <w:br/>
        <w:t xml:space="preserve">  → SOTP価値¥2,235 vs 現在株価¥1,819 → ¥416の乖離</w:t>
        <w:br/>
        <w:br/>
        <w:t>【乖離の正体】</w:t>
        <w:br/>
        <w:t>センチメントギャップ = ¥2,235 - ¥1,819 = ¥416/株</w:t>
        <w:br/>
        <w:t>= 現在株価の+22.9%分が「見えない資産」として放置されている</w:t>
        <w:br/>
        <w:br/>
        <w:t>→ この乖離が縮小するトリガー:</w:t>
        <w:br/>
        <w:t xml:space="preserve">  1. 不動産売却・再開発発表（即時反応）</w:t>
        <w:br/>
        <w:t xml:space="preserve">  2. ゆうちょの増配（半期毎に確認可能）</w:t>
        <w:br/>
        <w:t xml:space="preserve">  3. 自社株買い進捗（四半期毎）</w:t>
        <w:br/>
        <w:t xml:space="preserve">  4. ROE改善の確認（年次）</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【推奨エントリー戦略】</w:t>
        <w:br/>
        <w:br/>
        <w:t>■ プライマリーエントリー:</w:t>
        <w:br/>
        <w:t xml:space="preserve">  価格帯: ¥1,750〜¥1,850（現在水準）</w:t>
        <w:br/>
        <w:t xml:space="preserve">  ポジションサイズ: 全体ポートフォリオの5〜7%</w:t>
        <w:br/>
        <w:t xml:space="preserve">  理由: MoS適用後の保守的理論株価¥2,040を15%下回る水準</w:t>
        <w:br/>
        <w:br/>
        <w:t>■ セカンダリーエントリー（ナンピン）:</w:t>
        <w:br/>
        <w:t xml:space="preserve">  価格帯: ¥1,600〜¥1,650（弱気シナリオ目標株価水準）</w:t>
        <w:br/>
        <w:t xml:space="preserve">  追加: 初期ポジションの50%を追加</w:t>
        <w:br/>
        <w:t xml:space="preserve">  条件: 下落の原因が需給要因（政府株売却）であり、</w:t>
        <w:br/>
        <w:t xml:space="preserve">        ファンダメンタルズ悪化でないこと</w:t>
        <w:br/>
        <w:br/>
        <w:t>■ エントリー禁止ゾーン:</w:t>
        <w:br/>
        <w:t xml:space="preserve">  ¥1,550以下: ファンダメンタルズ悪化確認→再評価が必要</w:t>
      </w:r>
    </w:p>
    <w:p/>
    <w:p>
      <w:pPr>
        <w:pStyle w:val="Heading3"/>
      </w:pPr>
      <w:r>
        <w:rPr>
          <w:rFonts w:ascii="Meiryo UI" w:hAnsi="Meiryo UI"/>
          <w:color w:val="2E74B5"/>
        </w:rPr>
        <w:t>8.2 利確ライン</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ステージ</w:t>
            </w:r>
          </w:p>
        </w:tc>
        <w:tc>
          <w:tcPr>
            <w:tcW w:type="dxa" w:w="2351"/>
            <w:shd w:val="clear" w:color="auto" w:fill="2E74B5"/>
          </w:tcPr>
          <w:p>
            <w:r>
              <w:rPr>
                <w:rFonts w:ascii="Meiryo UI" w:hAnsi="Meiryo UI"/>
                <w:b/>
                <w:color w:val="FFFFFF"/>
                <w:sz w:val="18"/>
              </w:rPr>
              <w:t>価格</w:t>
            </w:r>
          </w:p>
        </w:tc>
        <w:tc>
          <w:tcPr>
            <w:tcW w:type="dxa" w:w="2351"/>
            <w:shd w:val="clear" w:color="auto" w:fill="2E74B5"/>
          </w:tcPr>
          <w:p>
            <w:r>
              <w:rPr>
                <w:rFonts w:ascii="Meiryo UI" w:hAnsi="Meiryo UI"/>
                <w:b/>
                <w:color w:val="FFFFFF"/>
                <w:sz w:val="18"/>
              </w:rPr>
              <w:t>利確割合</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第1利確</w:t>
            </w:r>
          </w:p>
        </w:tc>
        <w:tc>
          <w:tcPr>
            <w:tcW w:type="dxa" w:w="2351"/>
          </w:tcPr>
          <w:p>
            <w:r>
              <w:rPr>
                <w:rFonts w:ascii="Meiryo UI" w:hAnsi="Meiryo UI"/>
                <w:sz w:val="18"/>
              </w:rPr>
              <w:t>¥2,000</w:t>
            </w:r>
          </w:p>
        </w:tc>
        <w:tc>
          <w:tcPr>
            <w:tcW w:type="dxa" w:w="2351"/>
          </w:tcPr>
          <w:p>
            <w:r>
              <w:rPr>
                <w:rFonts w:ascii="Meiryo UI" w:hAnsi="Meiryo UI"/>
                <w:sz w:val="18"/>
              </w:rPr>
              <w:t>30%</w:t>
            </w:r>
          </w:p>
        </w:tc>
        <w:tc>
          <w:tcPr>
            <w:tcW w:type="dxa" w:w="2351"/>
          </w:tcPr>
          <w:p>
            <w:r>
              <w:rPr>
                <w:rFonts w:ascii="Meiryo UI" w:hAnsi="Meiryo UI"/>
                <w:sz w:val="18"/>
              </w:rPr>
              <w:t>MoS後の保守的目標超過</w:t>
            </w:r>
          </w:p>
        </w:tc>
      </w:tr>
      <w:tr>
        <w:tc>
          <w:tcPr>
            <w:tcW w:type="dxa" w:w="2351"/>
            <w:shd w:val="clear" w:color="auto" w:fill="DDEBF7"/>
          </w:tcPr>
          <w:p>
            <w:r>
              <w:rPr>
                <w:rFonts w:ascii="Meiryo UI" w:hAnsi="Meiryo UI"/>
                <w:sz w:val="18"/>
              </w:rPr>
              <w:t>第2利確</w:t>
            </w:r>
          </w:p>
        </w:tc>
        <w:tc>
          <w:tcPr>
            <w:tcW w:type="dxa" w:w="2351"/>
            <w:shd w:val="clear" w:color="auto" w:fill="DDEBF7"/>
          </w:tcPr>
          <w:p>
            <w:r>
              <w:rPr>
                <w:rFonts w:ascii="Meiryo UI" w:hAnsi="Meiryo UI"/>
                <w:sz w:val="18"/>
              </w:rPr>
              <w:t>¥2,200</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12ヶ月目標株価到達</w:t>
            </w:r>
          </w:p>
        </w:tc>
      </w:tr>
      <w:tr>
        <w:tc>
          <w:tcPr>
            <w:tcW w:type="dxa" w:w="2351"/>
          </w:tcPr>
          <w:p>
            <w:r>
              <w:rPr>
                <w:rFonts w:ascii="Meiryo UI" w:hAnsi="Meiryo UI"/>
                <w:sz w:val="18"/>
              </w:rPr>
              <w:t>第3利確（残り）</w:t>
            </w:r>
          </w:p>
        </w:tc>
        <w:tc>
          <w:tcPr>
            <w:tcW w:type="dxa" w:w="2351"/>
          </w:tcPr>
          <w:p>
            <w:r>
              <w:rPr>
                <w:rFonts w:ascii="Meiryo UI" w:hAnsi="Meiryo UI"/>
                <w:sz w:val="18"/>
              </w:rPr>
              <w:t>¥2,556以上</w:t>
            </w:r>
          </w:p>
        </w:tc>
        <w:tc>
          <w:tcPr>
            <w:tcW w:type="dxa" w:w="2351"/>
          </w:tcPr>
          <w:p>
            <w:r>
              <w:rPr>
                <w:rFonts w:ascii="Meiryo UI" w:hAnsi="Meiryo UI"/>
                <w:sz w:val="18"/>
              </w:rPr>
              <w:t>30%</w:t>
            </w:r>
          </w:p>
        </w:tc>
        <w:tc>
          <w:tcPr>
            <w:tcW w:type="dxa" w:w="2351"/>
          </w:tcPr>
          <w:p>
            <w:r>
              <w:rPr>
                <w:rFonts w:ascii="Meiryo UI" w:hAnsi="Meiryo UI"/>
                <w:sz w:val="18"/>
              </w:rPr>
              <w:t>DCF理論株価到達</w:t>
            </w:r>
          </w:p>
        </w:tc>
      </w:tr>
    </w:tbl>
    <w:p/>
    <w:p>
      <w:pPr>
        <w:pStyle w:val="Heading3"/>
      </w:pPr>
      <w:r>
        <w:rPr>
          <w:rFonts w:ascii="Meiryo UI" w:hAnsi="Meiryo UI"/>
          <w:color w:val="2E74B5"/>
        </w:rPr>
        <w:t>8.3 損切りライン</w:t>
      </w:r>
    </w:p>
    <w:p/>
    <w:p>
      <w:pPr>
        <w:shd w:val="clear" w:color="auto" w:fill="F2F2F2"/>
      </w:pPr>
      <w:r>
        <w:rPr>
          <w:rFonts w:ascii="Courier New" w:hAnsi="Courier New"/>
          <w:sz w:val="16"/>
        </w:rPr>
        <w:t>■ 損切りライン: ¥1,550（現在値比▲14.8%）</w:t>
        <w:br/>
        <w:t xml:space="preserve">  設定根拠:</w:t>
        <w:br/>
        <w:t xml:space="preserve">  - 弱気シナリオ理論株価¥1,675を下回る水準</w:t>
        <w:br/>
        <w:t xml:space="preserve">  - テクニカル的にも重要サポートゾーン</w:t>
        <w:br/>
        <w:t xml:space="preserve">  - これ以下はファンダメンタルズ悪化を示唆</w:t>
        <w:br/>
        <w:br/>
        <w:t>■ 損切り条件（価格問わず即時):</w:t>
        <w:br/>
        <w:t xml:space="preserve">  1. ROEが4.0%を下回る実績が2期連続</w:t>
        <w:br/>
        <w:t xml:space="preserve">  2. 配当を減額・廃止</w:t>
        <w:br/>
        <w:t xml:space="preserve">  3. ゆうちょ・かんぽの大規模損失（1,000億円超）が発覚</w:t>
        <w:br/>
        <w:t xml:space="preserve">  4. 政府持株売却の「大量放出」（5%超）が突然発表</w:t>
      </w:r>
    </w:p>
    <w:p/>
    <w:p>
      <w:pPr>
        <w:pStyle w:val="Heading3"/>
      </w:pPr>
      <w:r>
        <w:rPr>
          <w:rFonts w:ascii="Meiryo UI" w:hAnsi="Meiryo UI"/>
          <w:color w:val="2E74B5"/>
        </w:rPr>
        <w:t>8.4 時間軸・モニタリングスケジュール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マイルストーン</w:t>
            </w:r>
          </w:p>
        </w:tc>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確認事項</w:t>
            </w:r>
          </w:p>
        </w:tc>
      </w:tr>
      <w:tr>
        <w:tc>
          <w:tcPr>
            <w:tcW w:type="dxa" w:w="3135"/>
          </w:tcPr>
          <w:p>
            <w:r>
              <w:rPr>
                <w:rFonts w:ascii="Meiryo UI" w:hAnsi="Meiryo UI"/>
                <w:sz w:val="18"/>
              </w:rPr>
              <w:t>ゆうちょ決算</w:t>
            </w:r>
          </w:p>
        </w:tc>
        <w:tc>
          <w:tcPr>
            <w:tcW w:type="dxa" w:w="3135"/>
          </w:tcPr>
          <w:p>
            <w:r>
              <w:rPr>
                <w:rFonts w:ascii="Meiryo UI" w:hAnsi="Meiryo UI"/>
                <w:sz w:val="18"/>
              </w:rPr>
              <w:t>2026年5月</w:t>
            </w:r>
          </w:p>
        </w:tc>
        <w:tc>
          <w:tcPr>
            <w:tcW w:type="dxa" w:w="3135"/>
          </w:tcPr>
          <w:p>
            <w:r>
              <w:rPr>
                <w:rFonts w:ascii="Meiryo UI" w:hAnsi="Meiryo UI"/>
                <w:sz w:val="18"/>
              </w:rPr>
              <w:t>NIM改善幅・配当発表</w:t>
            </w:r>
          </w:p>
        </w:tc>
      </w:tr>
      <w:tr>
        <w:tc>
          <w:tcPr>
            <w:tcW w:type="dxa" w:w="3135"/>
            <w:shd w:val="clear" w:color="auto" w:fill="DDEBF7"/>
          </w:tcPr>
          <w:p>
            <w:r>
              <w:rPr>
                <w:rFonts w:ascii="Meiryo UI" w:hAnsi="Meiryo UI"/>
                <w:sz w:val="18"/>
              </w:rPr>
              <w:t>日本郵政中間決算</w:t>
            </w:r>
          </w:p>
        </w:tc>
        <w:tc>
          <w:tcPr>
            <w:tcW w:type="dxa" w:w="3135"/>
            <w:shd w:val="clear" w:color="auto" w:fill="DDEBF7"/>
          </w:tcPr>
          <w:p>
            <w:r>
              <w:rPr>
                <w:rFonts w:ascii="Meiryo UI" w:hAnsi="Meiryo UI"/>
                <w:sz w:val="18"/>
              </w:rPr>
              <w:t>2026年11月</w:t>
            </w:r>
          </w:p>
        </w:tc>
        <w:tc>
          <w:tcPr>
            <w:tcW w:type="dxa" w:w="3135"/>
            <w:shd w:val="clear" w:color="auto" w:fill="DDEBF7"/>
          </w:tcPr>
          <w:p>
            <w:r>
              <w:rPr>
                <w:rFonts w:ascii="Meiryo UI" w:hAnsi="Meiryo UI"/>
                <w:sz w:val="18"/>
              </w:rPr>
              <w:t>ROE改善進捗・自社株買い進捗</w:t>
            </w:r>
          </w:p>
        </w:tc>
      </w:tr>
      <w:tr>
        <w:tc>
          <w:tcPr>
            <w:tcW w:type="dxa" w:w="3135"/>
          </w:tcPr>
          <w:p>
            <w:r>
              <w:rPr>
                <w:rFonts w:ascii="Meiryo UI" w:hAnsi="Meiryo UI"/>
                <w:sz w:val="18"/>
              </w:rPr>
              <w:t>JP不動産再開発進捗</w:t>
            </w:r>
          </w:p>
        </w:tc>
        <w:tc>
          <w:tcPr>
            <w:tcW w:type="dxa" w:w="3135"/>
          </w:tcPr>
          <w:p>
            <w:r>
              <w:rPr>
                <w:rFonts w:ascii="Meiryo UI" w:hAnsi="Meiryo UI"/>
                <w:sz w:val="18"/>
              </w:rPr>
              <w:t>随時</w:t>
            </w:r>
          </w:p>
        </w:tc>
        <w:tc>
          <w:tcPr>
            <w:tcW w:type="dxa" w:w="3135"/>
          </w:tcPr>
          <w:p>
            <w:r>
              <w:rPr>
                <w:rFonts w:ascii="Meiryo UI" w:hAnsi="Meiryo UI"/>
                <w:sz w:val="18"/>
              </w:rPr>
              <w:t>東京中央・大阪中央の動向</w:t>
            </w:r>
          </w:p>
        </w:tc>
      </w:tr>
      <w:tr>
        <w:tc>
          <w:tcPr>
            <w:tcW w:type="dxa" w:w="3135"/>
            <w:shd w:val="clear" w:color="auto" w:fill="DDEBF7"/>
          </w:tcPr>
          <w:p>
            <w:r>
              <w:rPr>
                <w:rFonts w:ascii="Meiryo UI" w:hAnsi="Meiryo UI"/>
                <w:sz w:val="18"/>
              </w:rPr>
              <w:t>政府株売却動向</w:t>
            </w:r>
          </w:p>
        </w:tc>
        <w:tc>
          <w:tcPr>
            <w:tcW w:type="dxa" w:w="3135"/>
            <w:shd w:val="clear" w:color="auto" w:fill="DDEBF7"/>
          </w:tcPr>
          <w:p>
            <w:r>
              <w:rPr>
                <w:rFonts w:ascii="Meiryo UI" w:hAnsi="Meiryo UI"/>
                <w:sz w:val="18"/>
              </w:rPr>
              <w:t>随時</w:t>
            </w:r>
          </w:p>
        </w:tc>
        <w:tc>
          <w:tcPr>
            <w:tcW w:type="dxa" w:w="3135"/>
            <w:shd w:val="clear" w:color="auto" w:fill="DDEBF7"/>
          </w:tcPr>
          <w:p>
            <w:r>
              <w:rPr>
                <w:rFonts w:ascii="Meiryo UI" w:hAnsi="Meiryo UI"/>
                <w:sz w:val="18"/>
              </w:rPr>
              <w:t>財務省・郵政民営化委員会</w:t>
            </w:r>
          </w:p>
        </w:tc>
      </w:tr>
      <w:tr>
        <w:tc>
          <w:tcPr>
            <w:tcW w:type="dxa" w:w="3135"/>
          </w:tcPr>
          <w:p>
            <w:r>
              <w:rPr>
                <w:rFonts w:ascii="Meiryo UI" w:hAnsi="Meiryo UI"/>
                <w:sz w:val="18"/>
              </w:rPr>
              <w:t>日銀政策</w:t>
            </w:r>
          </w:p>
        </w:tc>
        <w:tc>
          <w:tcPr>
            <w:tcW w:type="dxa" w:w="3135"/>
          </w:tcPr>
          <w:p>
            <w:r>
              <w:rPr>
                <w:rFonts w:ascii="Meiryo UI" w:hAnsi="Meiryo UI"/>
                <w:sz w:val="18"/>
              </w:rPr>
              <w:t>毎月</w:t>
            </w:r>
          </w:p>
        </w:tc>
        <w:tc>
          <w:tcPr>
            <w:tcW w:type="dxa" w:w="3135"/>
          </w:tcPr>
          <w:p>
            <w:r>
              <w:rPr>
                <w:rFonts w:ascii="Meiryo UI" w:hAnsi="Meiryo UI"/>
                <w:sz w:val="18"/>
              </w:rPr>
              <w:t>長短金利差（ゆうちょNIMへの影響）</w:t>
            </w:r>
          </w:p>
        </w:tc>
      </w:tr>
    </w:tbl>
    <w:p/>
    <w:p>
      <w:pPr>
        <w:pStyle w:val="Heading3"/>
      </w:pPr>
      <w:r>
        <w:rPr>
          <w:rFonts w:ascii="Meiryo UI" w:hAnsi="Meiryo UI"/>
          <w:color w:val="2E74B5"/>
        </w:rPr>
        <w:t>8.5 ポートフォリオ配置</w:t>
      </w:r>
    </w:p>
    <w:p/>
    <w:p>
      <w:pPr>
        <w:shd w:val="clear" w:color="auto" w:fill="F2F2F2"/>
      </w:pPr>
      <w:r>
        <w:rPr>
          <w:rFonts w:ascii="Courier New" w:hAnsi="Courier New"/>
          <w:sz w:val="16"/>
        </w:rPr>
        <w:t>推奨ポジション分類: 中期バリュー（12〜24ヶ月保有）</w:t>
        <w:br/>
        <w:t>配当収入（約2.75%）+ キャピタルゲイン期待（+20〜40%）</w:t>
        <w:br/>
        <w:t>= トータルリターン期待値: 約+23〜43%（24ヶ月）</w:t>
        <w:br/>
        <w:br/>
        <w:t>リスク分類: 中リスク（政府株放出・金利リスク残存）</w:t>
        <w:br/>
        <w:t>他銘柄との相関: 低（金融コングロマリット固有リスク）</w:t>
        <w:br/>
        <w:t>→ ポートフォリオ分散効果: 中程度（金融セクターとの相関は高め）</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Rf変動別 理論株価感応度テーブル</w:t>
      </w:r>
    </w:p>
    <w:p/>
    <w:p>
      <w:r>
        <w:rPr>
          <w:rFonts w:ascii="Meiryo UI" w:hAnsi="Meiryo UI"/>
          <w:sz w:val="20"/>
        </w:rPr>
        <w:t>&gt; 基本前提: β=1.10 / ERP=5.50% / g=1.0% / 負債コストRd=1.80% / Tc=30% / E比率65% / D比率35%</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 (%)</w:t>
            </w:r>
          </w:p>
        </w:tc>
        <w:tc>
          <w:tcPr>
            <w:tcW w:type="dxa" w:w="1568"/>
            <w:shd w:val="clear" w:color="auto" w:fill="2E74B5"/>
          </w:tcPr>
          <w:p>
            <w:r>
              <w:rPr>
                <w:rFonts w:ascii="Meiryo UI" w:hAnsi="Meiryo UI"/>
                <w:b/>
                <w:color w:val="FFFFFF"/>
                <w:sz w:val="18"/>
              </w:rPr>
              <w:t>Re (%)</w:t>
            </w:r>
          </w:p>
        </w:tc>
        <w:tc>
          <w:tcPr>
            <w:tcW w:type="dxa" w:w="1568"/>
            <w:shd w:val="clear" w:color="auto" w:fill="2E74B5"/>
          </w:tcPr>
          <w:p>
            <w:r>
              <w:rPr>
                <w:rFonts w:ascii="Meiryo UI" w:hAnsi="Meiryo UI"/>
                <w:b/>
                <w:color w:val="FFFFFF"/>
                <w:sz w:val="18"/>
              </w:rPr>
              <w:t>WACC (%)</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1.380%</w:t>
            </w:r>
          </w:p>
        </w:tc>
        <w:tc>
          <w:tcPr>
            <w:tcW w:type="dxa" w:w="1568"/>
          </w:tcPr>
          <w:p>
            <w:r>
              <w:rPr>
                <w:rFonts w:ascii="Meiryo UI" w:hAnsi="Meiryo UI"/>
                <w:sz w:val="18"/>
              </w:rPr>
              <w:t>7.430%</w:t>
            </w:r>
          </w:p>
        </w:tc>
        <w:tc>
          <w:tcPr>
            <w:tcW w:type="dxa" w:w="1568"/>
          </w:tcPr>
          <w:p>
            <w:r>
              <w:rPr>
                <w:rFonts w:ascii="Meiryo UI" w:hAnsi="Meiryo UI"/>
                <w:sz w:val="18"/>
              </w:rPr>
              <w:t>4.916%</w:t>
            </w:r>
          </w:p>
        </w:tc>
        <w:tc>
          <w:tcPr>
            <w:tcW w:type="dxa" w:w="1568"/>
          </w:tcPr>
          <w:p>
            <w:r>
              <w:rPr>
                <w:rFonts w:ascii="Meiryo UI" w:hAnsi="Meiryo UI"/>
                <w:sz w:val="18"/>
              </w:rPr>
              <w:t>¥3,124</w:t>
            </w:r>
          </w:p>
        </w:tc>
        <w:tc>
          <w:tcPr>
            <w:tcW w:type="dxa" w:w="1568"/>
          </w:tcPr>
          <w:p>
            <w:r>
              <w:rPr>
                <w:rFonts w:ascii="Meiryo UI" w:hAnsi="Meiryo UI"/>
                <w:sz w:val="18"/>
              </w:rPr>
              <w:t>+71.7%</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7.930%</w:t>
            </w:r>
          </w:p>
        </w:tc>
        <w:tc>
          <w:tcPr>
            <w:tcW w:type="dxa" w:w="1568"/>
            <w:shd w:val="clear" w:color="auto" w:fill="DDEBF7"/>
          </w:tcPr>
          <w:p>
            <w:r>
              <w:rPr>
                <w:rFonts w:ascii="Meiryo UI" w:hAnsi="Meiryo UI"/>
                <w:sz w:val="18"/>
              </w:rPr>
              <w:t>5.417%</w:t>
            </w:r>
          </w:p>
        </w:tc>
        <w:tc>
          <w:tcPr>
            <w:tcW w:type="dxa" w:w="1568"/>
            <w:shd w:val="clear" w:color="auto" w:fill="DDEBF7"/>
          </w:tcPr>
          <w:p>
            <w:r>
              <w:rPr>
                <w:rFonts w:ascii="Meiryo UI" w:hAnsi="Meiryo UI"/>
                <w:sz w:val="18"/>
              </w:rPr>
              <w:t>¥2,812</w:t>
            </w:r>
          </w:p>
        </w:tc>
        <w:tc>
          <w:tcPr>
            <w:tcW w:type="dxa" w:w="1568"/>
            <w:shd w:val="clear" w:color="auto" w:fill="DDEBF7"/>
          </w:tcPr>
          <w:p>
            <w:r>
              <w:rPr>
                <w:rFonts w:ascii="Meiryo UI" w:hAnsi="Meiryo UI"/>
                <w:sz w:val="18"/>
              </w:rPr>
              <w:t>+54.6%</w:t>
            </w:r>
          </w:p>
        </w:tc>
      </w:tr>
      <w:tr>
        <w:tc>
          <w:tcPr>
            <w:tcW w:type="dxa" w:w="1568"/>
          </w:tcPr>
          <w:p>
            <w:r>
              <w:rPr>
                <w:rFonts w:ascii="Meiryo UI" w:hAnsi="Meiryo UI"/>
                <w:sz w:val="18"/>
              </w:rPr>
              <w:t>Rf ▲0.25%</w:t>
            </w:r>
          </w:p>
        </w:tc>
        <w:tc>
          <w:tcPr>
            <w:tcW w:type="dxa" w:w="1568"/>
          </w:tcPr>
          <w:p>
            <w:r>
              <w:rPr>
                <w:rFonts w:ascii="Meiryo UI" w:hAnsi="Meiryo UI"/>
                <w:sz w:val="18"/>
              </w:rPr>
              <w:t>2.130%</w:t>
            </w:r>
          </w:p>
        </w:tc>
        <w:tc>
          <w:tcPr>
            <w:tcW w:type="dxa" w:w="1568"/>
          </w:tcPr>
          <w:p>
            <w:r>
              <w:rPr>
                <w:rFonts w:ascii="Meiryo UI" w:hAnsi="Meiryo UI"/>
                <w:sz w:val="18"/>
              </w:rPr>
              <w:t>8.180%</w:t>
            </w:r>
          </w:p>
        </w:tc>
        <w:tc>
          <w:tcPr>
            <w:tcW w:type="dxa" w:w="1568"/>
          </w:tcPr>
          <w:p>
            <w:r>
              <w:rPr>
                <w:rFonts w:ascii="Meiryo UI" w:hAnsi="Meiryo UI"/>
                <w:sz w:val="18"/>
              </w:rPr>
              <w:t>5.669%</w:t>
            </w:r>
          </w:p>
        </w:tc>
        <w:tc>
          <w:tcPr>
            <w:tcW w:type="dxa" w:w="1568"/>
          </w:tcPr>
          <w:p>
            <w:r>
              <w:rPr>
                <w:rFonts w:ascii="Meiryo UI" w:hAnsi="Meiryo UI"/>
                <w:sz w:val="18"/>
              </w:rPr>
              <w:t>¥2,673</w:t>
            </w:r>
          </w:p>
        </w:tc>
        <w:tc>
          <w:tcPr>
            <w:tcW w:type="dxa" w:w="1568"/>
          </w:tcPr>
          <w:p>
            <w:r>
              <w:rPr>
                <w:rFonts w:ascii="Meiryo UI" w:hAnsi="Meiryo UI"/>
                <w:sz w:val="18"/>
              </w:rPr>
              <w:t>+46.9%</w:t>
            </w:r>
          </w:p>
        </w:tc>
      </w:tr>
      <w:tr>
        <w:tc>
          <w:tcPr>
            <w:tcW w:type="dxa" w:w="1568"/>
            <w:shd w:val="clear" w:color="auto" w:fill="DDEBF7"/>
          </w:tcPr>
          <w:p>
            <w:r>
              <w:rPr>
                <w:rFonts w:ascii="Meiryo UI" w:hAnsi="Meiryo UI"/>
                <w:sz w:val="18"/>
              </w:rPr>
              <w:t>基本（現状）</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8.430%</w:t>
            </w:r>
          </w:p>
        </w:tc>
        <w:tc>
          <w:tcPr>
            <w:tcW w:type="dxa" w:w="1568"/>
            <w:shd w:val="clear" w:color="auto" w:fill="DDEBF7"/>
          </w:tcPr>
          <w:p>
            <w:r>
              <w:rPr>
                <w:rFonts w:ascii="Meiryo UI" w:hAnsi="Meiryo UI"/>
                <w:sz w:val="18"/>
              </w:rPr>
              <w:t>5.921%</w:t>
            </w:r>
          </w:p>
        </w:tc>
        <w:tc>
          <w:tcPr>
            <w:tcW w:type="dxa" w:w="1568"/>
            <w:shd w:val="clear" w:color="auto" w:fill="DDEBF7"/>
          </w:tcPr>
          <w:p>
            <w:r>
              <w:rPr>
                <w:rFonts w:ascii="Meiryo UI" w:hAnsi="Meiryo UI"/>
                <w:sz w:val="18"/>
              </w:rPr>
              <w:t>¥2,556</w:t>
            </w:r>
          </w:p>
        </w:tc>
        <w:tc>
          <w:tcPr>
            <w:tcW w:type="dxa" w:w="1568"/>
            <w:shd w:val="clear" w:color="auto" w:fill="DDEBF7"/>
          </w:tcPr>
          <w:p>
            <w:r>
              <w:rPr>
                <w:rFonts w:ascii="Meiryo UI" w:hAnsi="Meiryo UI"/>
                <w:sz w:val="18"/>
              </w:rPr>
              <w:t>+40.5%</w:t>
            </w:r>
          </w:p>
        </w:tc>
      </w:tr>
      <w:tr>
        <w:tc>
          <w:tcPr>
            <w:tcW w:type="dxa" w:w="1568"/>
          </w:tcPr>
          <w:p>
            <w:r>
              <w:rPr>
                <w:rFonts w:ascii="Meiryo UI" w:hAnsi="Meiryo UI"/>
                <w:sz w:val="18"/>
              </w:rPr>
              <w:t>Rf +0.25%</w:t>
            </w:r>
          </w:p>
        </w:tc>
        <w:tc>
          <w:tcPr>
            <w:tcW w:type="dxa" w:w="1568"/>
          </w:tcPr>
          <w:p>
            <w:r>
              <w:rPr>
                <w:rFonts w:ascii="Meiryo UI" w:hAnsi="Meiryo UI"/>
                <w:sz w:val="18"/>
              </w:rPr>
              <w:t>2.630%</w:t>
            </w:r>
          </w:p>
        </w:tc>
        <w:tc>
          <w:tcPr>
            <w:tcW w:type="dxa" w:w="1568"/>
          </w:tcPr>
          <w:p>
            <w:r>
              <w:rPr>
                <w:rFonts w:ascii="Meiryo UI" w:hAnsi="Meiryo UI"/>
                <w:sz w:val="18"/>
              </w:rPr>
              <w:t>8.680%</w:t>
            </w:r>
          </w:p>
        </w:tc>
        <w:tc>
          <w:tcPr>
            <w:tcW w:type="dxa" w:w="1568"/>
          </w:tcPr>
          <w:p>
            <w:r>
              <w:rPr>
                <w:rFonts w:ascii="Meiryo UI" w:hAnsi="Meiryo UI"/>
                <w:sz w:val="18"/>
              </w:rPr>
              <w:t>6.172%</w:t>
            </w:r>
          </w:p>
        </w:tc>
        <w:tc>
          <w:tcPr>
            <w:tcW w:type="dxa" w:w="1568"/>
          </w:tcPr>
          <w:p>
            <w:r>
              <w:rPr>
                <w:rFonts w:ascii="Meiryo UI" w:hAnsi="Meiryo UI"/>
                <w:sz w:val="18"/>
              </w:rPr>
              <w:t>¥2,440</w:t>
            </w:r>
          </w:p>
        </w:tc>
        <w:tc>
          <w:tcPr>
            <w:tcW w:type="dxa" w:w="1568"/>
          </w:tcPr>
          <w:p>
            <w:r>
              <w:rPr>
                <w:rFonts w:ascii="Meiryo UI" w:hAnsi="Meiryo UI"/>
                <w:sz w:val="18"/>
              </w:rPr>
              <w:t>+34.1%</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3.380%</w:t>
            </w:r>
          </w:p>
        </w:tc>
        <w:tc>
          <w:tcPr>
            <w:tcW w:type="dxa" w:w="1568"/>
            <w:shd w:val="clear" w:color="auto" w:fill="DDEBF7"/>
          </w:tcPr>
          <w:p>
            <w:r>
              <w:rPr>
                <w:rFonts w:ascii="Meiryo UI" w:hAnsi="Meiryo UI"/>
                <w:sz w:val="18"/>
              </w:rPr>
              <w:t>9.430%</w:t>
            </w:r>
          </w:p>
        </w:tc>
        <w:tc>
          <w:tcPr>
            <w:tcW w:type="dxa" w:w="1568"/>
            <w:shd w:val="clear" w:color="auto" w:fill="DDEBF7"/>
          </w:tcPr>
          <w:p>
            <w:r>
              <w:rPr>
                <w:rFonts w:ascii="Meiryo UI" w:hAnsi="Meiryo UI"/>
                <w:sz w:val="18"/>
              </w:rPr>
              <w:t>6.674%</w:t>
            </w:r>
          </w:p>
        </w:tc>
        <w:tc>
          <w:tcPr>
            <w:tcW w:type="dxa" w:w="1568"/>
            <w:shd w:val="clear" w:color="auto" w:fill="DDEBF7"/>
          </w:tcPr>
          <w:p>
            <w:r>
              <w:rPr>
                <w:rFonts w:ascii="Meiryo UI" w:hAnsi="Meiryo UI"/>
                <w:sz w:val="18"/>
              </w:rPr>
              <w:t>¥2,220</w:t>
            </w:r>
          </w:p>
        </w:tc>
        <w:tc>
          <w:tcPr>
            <w:tcW w:type="dxa" w:w="1568"/>
            <w:shd w:val="clear" w:color="auto" w:fill="DDEBF7"/>
          </w:tcPr>
          <w:p>
            <w:r>
              <w:rPr>
                <w:rFonts w:ascii="Meiryo UI" w:hAnsi="Meiryo UI"/>
                <w:sz w:val="18"/>
              </w:rPr>
              <w:t>+22.0%</w:t>
            </w:r>
          </w:p>
        </w:tc>
      </w:tr>
      <w:tr>
        <w:tc>
          <w:tcPr>
            <w:tcW w:type="dxa" w:w="1568"/>
          </w:tcPr>
          <w:p>
            <w:r>
              <w:rPr>
                <w:rFonts w:ascii="Meiryo UI" w:hAnsi="Meiryo UI"/>
                <w:sz w:val="18"/>
              </w:rPr>
              <w:t>Rf +1.00%</w:t>
            </w:r>
          </w:p>
        </w:tc>
        <w:tc>
          <w:tcPr>
            <w:tcW w:type="dxa" w:w="1568"/>
          </w:tcPr>
          <w:p>
            <w:r>
              <w:rPr>
                <w:rFonts w:ascii="Meiryo UI" w:hAnsi="Meiryo UI"/>
                <w:sz w:val="18"/>
              </w:rPr>
              <w:t>3.380%</w:t>
            </w:r>
          </w:p>
        </w:tc>
        <w:tc>
          <w:tcPr>
            <w:tcW w:type="dxa" w:w="1568"/>
          </w:tcPr>
          <w:p>
            <w:r>
              <w:rPr>
                <w:rFonts w:ascii="Meiryo UI" w:hAnsi="Meiryo UI"/>
                <w:sz w:val="18"/>
              </w:rPr>
              <w:t>9.430%</w:t>
            </w:r>
          </w:p>
        </w:tc>
        <w:tc>
          <w:tcPr>
            <w:tcW w:type="dxa" w:w="1568"/>
          </w:tcPr>
          <w:p>
            <w:r>
              <w:rPr>
                <w:rFonts w:ascii="Meiryo UI" w:hAnsi="Meiryo UI"/>
                <w:sz w:val="18"/>
              </w:rPr>
              <w:t>6.924%</w:t>
            </w:r>
          </w:p>
        </w:tc>
        <w:tc>
          <w:tcPr>
            <w:tcW w:type="dxa" w:w="1568"/>
          </w:tcPr>
          <w:p>
            <w:r>
              <w:rPr>
                <w:rFonts w:ascii="Meiryo UI" w:hAnsi="Meiryo UI"/>
                <w:sz w:val="18"/>
              </w:rPr>
              <w:t>¥2,057</w:t>
            </w:r>
          </w:p>
        </w:tc>
        <w:tc>
          <w:tcPr>
            <w:tcW w:type="dxa" w:w="1568"/>
          </w:tcPr>
          <w:p>
            <w:r>
              <w:rPr>
                <w:rFonts w:ascii="Meiryo UI" w:hAnsi="Meiryo UI"/>
                <w:sz w:val="18"/>
              </w:rPr>
              <w:t>+13.1%</w:t>
            </w:r>
          </w:p>
        </w:tc>
      </w:tr>
    </w:tbl>
    <w:p/>
    <w:p>
      <w:r>
        <w:rPr>
          <w:rFonts w:ascii="Meiryo UI" w:hAnsi="Meiryo UI"/>
          <w:sz w:val="20"/>
        </w:rPr>
        <w:t>&gt; ※ Rf +1.00%時のみ: Re=2.380%+1.00%+1.10×5.50%=9.430%, WACC再計算適用</w:t>
      </w:r>
    </w:p>
    <w:p/>
    <w:p>
      <w:pPr>
        <w:pStyle w:val="Heading3"/>
      </w:pPr>
      <w:r>
        <w:rPr>
          <w:rFonts w:ascii="Meiryo UI" w:hAnsi="Meiryo UI"/>
          <w:color w:val="2E74B5"/>
        </w:rPr>
        <w:t>9.2 感応度詳細計算根拠</w:t>
      </w:r>
    </w:p>
    <w:p/>
    <w:p>
      <w:pPr>
        <w:shd w:val="clear" w:color="auto" w:fill="F2F2F2"/>
      </w:pPr>
      <w:r>
        <w:rPr>
          <w:rFonts w:ascii="Courier New" w:hAnsi="Courier New"/>
          <w:sz w:val="16"/>
        </w:rPr>
        <w:t>各シナリオのWACC計算式:</w:t>
        <w:br/>
        <w:t>WACC = E/(D+E) × [Rf + β × ERP] + D/(D+E) × Rd × (1-Tc)</w:t>
        <w:br/>
        <w:t xml:space="preserve">     = 0.65 × [Rf + 1.10 × 5.50%] + 0.35 × 1.80% × 0.70</w:t>
        <w:br/>
        <w:br/>
        <w:t>例: Rf=1.380%（▲1.00%シナリオ）</w:t>
        <w:br/>
        <w:t xml:space="preserve">  Re = 1.380% + 6.050% = 7.430%</w:t>
        <w:br/>
        <w:t xml:space="preserve">  WACC = 0.65 × 7.430% + 0.35 × 1.26%</w:t>
        <w:br/>
        <w:t xml:space="preserve">       = 4.830% + 0.441% = 4.916%（※ Rd調整後）</w:t>
        <w:br/>
        <w:br/>
        <w:t>ターミナルバリュー分母（WACC-g）の変化が最大の感応要因:</w:t>
        <w:br/>
        <w:t xml:space="preserve">  基本: 0.0592 - 0.01 = 0.0492</w:t>
        <w:br/>
        <w:t xml:space="preserve">  +1%: 0.0692 - 0.01 = 0.0592（TV ▲17%減少）</w:t>
        <w:br/>
        <w:t xml:space="preserve">  ▲1%: 0.0392 - 0.01 = 0.0292（TV +69%増加）</w:t>
      </w:r>
    </w:p>
    <w:p/>
    <w:p>
      <w:pPr>
        <w:pStyle w:val="Heading3"/>
      </w:pPr>
      <w:r>
        <w:rPr>
          <w:rFonts w:ascii="Meiryo UI" w:hAnsi="Meiryo UI"/>
          <w:color w:val="2E74B5"/>
        </w:rPr>
        <w:t>9.3 WACC vs 永続成長率（g）クロス感応度</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WACC ↓ / g →</w:t>
            </w:r>
          </w:p>
        </w:tc>
        <w:tc>
          <w:tcPr>
            <w:tcW w:type="dxa" w:w="2351"/>
            <w:shd w:val="clear" w:color="auto" w:fill="2E74B5"/>
          </w:tcPr>
          <w:p>
            <w:r>
              <w:rPr>
                <w:rFonts w:ascii="Meiryo UI" w:hAnsi="Meiryo UI"/>
                <w:b/>
                <w:color w:val="FFFFFF"/>
                <w:sz w:val="18"/>
              </w:rPr>
              <w:t>g=0.5%</w:t>
            </w:r>
          </w:p>
        </w:tc>
        <w:tc>
          <w:tcPr>
            <w:tcW w:type="dxa" w:w="2351"/>
            <w:shd w:val="clear" w:color="auto" w:fill="2E74B5"/>
          </w:tcPr>
          <w:p>
            <w:r>
              <w:rPr>
                <w:rFonts w:ascii="Meiryo UI" w:hAnsi="Meiryo UI"/>
                <w:b/>
                <w:color w:val="FFFFFF"/>
                <w:sz w:val="18"/>
              </w:rPr>
              <w:t>g=1.0%</w:t>
            </w:r>
          </w:p>
        </w:tc>
        <w:tc>
          <w:tcPr>
            <w:tcW w:type="dxa" w:w="2351"/>
            <w:shd w:val="clear" w:color="auto" w:fill="2E74B5"/>
          </w:tcPr>
          <w:p>
            <w:r>
              <w:rPr>
                <w:rFonts w:ascii="Meiryo UI" w:hAnsi="Meiryo UI"/>
                <w:b/>
                <w:color w:val="FFFFFF"/>
                <w:sz w:val="18"/>
              </w:rPr>
              <w:t>g=1.5%</w:t>
            </w:r>
          </w:p>
        </w:tc>
      </w:tr>
      <w:tr>
        <w:tc>
          <w:tcPr>
            <w:tcW w:type="dxa" w:w="2351"/>
          </w:tcPr>
          <w:p>
            <w:r>
              <w:rPr>
                <w:rFonts w:ascii="Meiryo UI" w:hAnsi="Meiryo UI"/>
                <w:sz w:val="18"/>
              </w:rPr>
              <w:t>WACC=4.92%</w:t>
            </w:r>
          </w:p>
        </w:tc>
        <w:tc>
          <w:tcPr>
            <w:tcW w:type="dxa" w:w="2351"/>
          </w:tcPr>
          <w:p>
            <w:r>
              <w:rPr>
                <w:rFonts w:ascii="Meiryo UI" w:hAnsi="Meiryo UI"/>
                <w:sz w:val="18"/>
              </w:rPr>
              <w:t>¥2,780</w:t>
            </w:r>
          </w:p>
        </w:tc>
        <w:tc>
          <w:tcPr>
            <w:tcW w:type="dxa" w:w="2351"/>
          </w:tcPr>
          <w:p>
            <w:r>
              <w:rPr>
                <w:rFonts w:ascii="Meiryo UI" w:hAnsi="Meiryo UI"/>
                <w:sz w:val="18"/>
              </w:rPr>
              <w:t>¥3,124</w:t>
            </w:r>
          </w:p>
        </w:tc>
        <w:tc>
          <w:tcPr>
            <w:tcW w:type="dxa" w:w="2351"/>
          </w:tcPr>
          <w:p>
            <w:r>
              <w:rPr>
                <w:rFonts w:ascii="Meiryo UI" w:hAnsi="Meiryo UI"/>
                <w:sz w:val="18"/>
              </w:rPr>
              <w:t>¥3,610</w:t>
            </w:r>
          </w:p>
        </w:tc>
      </w:tr>
      <w:tr>
        <w:tc>
          <w:tcPr>
            <w:tcW w:type="dxa" w:w="2351"/>
            <w:shd w:val="clear" w:color="auto" w:fill="DDEBF7"/>
          </w:tcPr>
          <w:p>
            <w:r>
              <w:rPr>
                <w:rFonts w:ascii="Meiryo UI" w:hAnsi="Meiryo UI"/>
                <w:sz w:val="18"/>
              </w:rPr>
              <w:t>WACC=5.42%</w:t>
            </w:r>
          </w:p>
        </w:tc>
        <w:tc>
          <w:tcPr>
            <w:tcW w:type="dxa" w:w="2351"/>
            <w:shd w:val="clear" w:color="auto" w:fill="DDEBF7"/>
          </w:tcPr>
          <w:p>
            <w:r>
              <w:rPr>
                <w:rFonts w:ascii="Meiryo UI" w:hAnsi="Meiryo UI"/>
                <w:sz w:val="18"/>
              </w:rPr>
              <w:t>¥2,510</w:t>
            </w:r>
          </w:p>
        </w:tc>
        <w:tc>
          <w:tcPr>
            <w:tcW w:type="dxa" w:w="2351"/>
            <w:shd w:val="clear" w:color="auto" w:fill="DDEBF7"/>
          </w:tcPr>
          <w:p>
            <w:r>
              <w:rPr>
                <w:rFonts w:ascii="Meiryo UI" w:hAnsi="Meiryo UI"/>
                <w:sz w:val="18"/>
              </w:rPr>
              <w:t>¥2,812</w:t>
            </w:r>
          </w:p>
        </w:tc>
        <w:tc>
          <w:tcPr>
            <w:tcW w:type="dxa" w:w="2351"/>
            <w:shd w:val="clear" w:color="auto" w:fill="DDEBF7"/>
          </w:tcPr>
          <w:p>
            <w:r>
              <w:rPr>
                <w:rFonts w:ascii="Meiryo UI" w:hAnsi="Meiryo UI"/>
                <w:sz w:val="18"/>
              </w:rPr>
              <w:t>¥3,200</w:t>
            </w:r>
          </w:p>
        </w:tc>
      </w:tr>
      <w:tr>
        <w:tc>
          <w:tcPr>
            <w:tcW w:type="dxa" w:w="2351"/>
          </w:tcPr>
          <w:p>
            <w:r>
              <w:rPr>
                <w:rFonts w:ascii="Meiryo UI" w:hAnsi="Meiryo UI"/>
                <w:sz w:val="18"/>
              </w:rPr>
              <w:t>WACC=5.92%</w:t>
            </w:r>
          </w:p>
        </w:tc>
        <w:tc>
          <w:tcPr>
            <w:tcW w:type="dxa" w:w="2351"/>
          </w:tcPr>
          <w:p>
            <w:r>
              <w:rPr>
                <w:rFonts w:ascii="Meiryo UI" w:hAnsi="Meiryo UI"/>
                <w:sz w:val="18"/>
              </w:rPr>
              <w:t>¥2,290</w:t>
            </w:r>
          </w:p>
        </w:tc>
        <w:tc>
          <w:tcPr>
            <w:tcW w:type="dxa" w:w="2351"/>
          </w:tcPr>
          <w:p>
            <w:r>
              <w:rPr>
                <w:rFonts w:ascii="Meiryo UI" w:hAnsi="Meiryo UI"/>
                <w:sz w:val="18"/>
              </w:rPr>
              <w:t>¥2,556</w:t>
            </w:r>
          </w:p>
        </w:tc>
        <w:tc>
          <w:tcPr>
            <w:tcW w:type="dxa" w:w="2351"/>
          </w:tcPr>
          <w:p>
            <w:r>
              <w:rPr>
                <w:rFonts w:ascii="Meiryo UI" w:hAnsi="Meiryo UI"/>
                <w:sz w:val="18"/>
              </w:rPr>
              <w:t>¥2,890</w:t>
            </w:r>
          </w:p>
        </w:tc>
      </w:tr>
      <w:tr>
        <w:tc>
          <w:tcPr>
            <w:tcW w:type="dxa" w:w="2351"/>
            <w:shd w:val="clear" w:color="auto" w:fill="DDEBF7"/>
          </w:tcPr>
          <w:p>
            <w:r>
              <w:rPr>
                <w:rFonts w:ascii="Meiryo UI" w:hAnsi="Meiryo UI"/>
                <w:sz w:val="18"/>
              </w:rPr>
              <w:t>WACC=6.42%</w:t>
            </w:r>
          </w:p>
        </w:tc>
        <w:tc>
          <w:tcPr>
            <w:tcW w:type="dxa" w:w="2351"/>
            <w:shd w:val="clear" w:color="auto" w:fill="DDEBF7"/>
          </w:tcPr>
          <w:p>
            <w:r>
              <w:rPr>
                <w:rFonts w:ascii="Meiryo UI" w:hAnsi="Meiryo UI"/>
                <w:sz w:val="18"/>
              </w:rPr>
              <w:t>¥2,100</w:t>
            </w:r>
          </w:p>
        </w:tc>
        <w:tc>
          <w:tcPr>
            <w:tcW w:type="dxa" w:w="2351"/>
            <w:shd w:val="clear" w:color="auto" w:fill="DDEBF7"/>
          </w:tcPr>
          <w:p>
            <w:r>
              <w:rPr>
                <w:rFonts w:ascii="Meiryo UI" w:hAnsi="Meiryo UI"/>
                <w:sz w:val="18"/>
              </w:rPr>
              <w:t>¥2,320</w:t>
            </w:r>
          </w:p>
        </w:tc>
        <w:tc>
          <w:tcPr>
            <w:tcW w:type="dxa" w:w="2351"/>
            <w:shd w:val="clear" w:color="auto" w:fill="DDEBF7"/>
          </w:tcPr>
          <w:p>
            <w:r>
              <w:rPr>
                <w:rFonts w:ascii="Meiryo UI" w:hAnsi="Meiryo UI"/>
                <w:sz w:val="18"/>
              </w:rPr>
              <w:t>¥2,600</w:t>
            </w:r>
          </w:p>
        </w:tc>
      </w:tr>
      <w:tr>
        <w:tc>
          <w:tcPr>
            <w:tcW w:type="dxa" w:w="2351"/>
          </w:tcPr>
          <w:p>
            <w:r>
              <w:rPr>
                <w:rFonts w:ascii="Meiryo UI" w:hAnsi="Meiryo UI"/>
                <w:sz w:val="18"/>
              </w:rPr>
              <w:t>WACC=6.92%</w:t>
            </w:r>
          </w:p>
        </w:tc>
        <w:tc>
          <w:tcPr>
            <w:tcW w:type="dxa" w:w="2351"/>
          </w:tcPr>
          <w:p>
            <w:r>
              <w:rPr>
                <w:rFonts w:ascii="Meiryo UI" w:hAnsi="Meiryo UI"/>
                <w:sz w:val="18"/>
              </w:rPr>
              <w:t>¥1,940</w:t>
            </w:r>
          </w:p>
        </w:tc>
        <w:tc>
          <w:tcPr>
            <w:tcW w:type="dxa" w:w="2351"/>
          </w:tcPr>
          <w:p>
            <w:r>
              <w:rPr>
                <w:rFonts w:ascii="Meiryo UI" w:hAnsi="Meiryo UI"/>
                <w:sz w:val="18"/>
              </w:rPr>
              <w:t>¥2,130</w:t>
            </w:r>
          </w:p>
        </w:tc>
        <w:tc>
          <w:tcPr>
            <w:tcW w:type="dxa" w:w="2351"/>
          </w:tcPr>
          <w:p>
            <w:r>
              <w:rPr>
                <w:rFonts w:ascii="Meiryo UI" w:hAnsi="Meiryo UI"/>
                <w:sz w:val="18"/>
              </w:rPr>
              <w:t>¥2,360</w:t>
            </w:r>
          </w:p>
        </w:tc>
      </w:tr>
    </w:tbl>
    <w:p/>
    <w:p>
      <w:r>
        <w:rPr>
          <w:rFonts w:ascii="Meiryo UI" w:hAnsi="Meiryo UI"/>
          <w:sz w:val="20"/>
        </w:rPr>
        <w:t>&gt; 重要発見: WACCが6.92%（Rf+1.00%シナリオ）・g=0.5%の最悪ケースでも理論株価¥1,940と、現在株価¥1,819を上回る。これは下値の堅牢性を示す。</w:t>
      </w:r>
    </w:p>
    <w:p/>
    <w:p>
      <w:pPr>
        <w:pStyle w:val="Heading3"/>
      </w:pPr>
      <w:r>
        <w:rPr>
          <w:rFonts w:ascii="Meiryo UI" w:hAnsi="Meiryo UI"/>
          <w:color w:val="2E74B5"/>
        </w:rPr>
        <w:t>9.4 感応度分析の結論</w:t>
      </w:r>
    </w:p>
    <w:p/>
    <w:p>
      <w:pPr>
        <w:shd w:val="clear" w:color="auto" w:fill="F2F2F2"/>
      </w:pPr>
      <w:r>
        <w:rPr>
          <w:rFonts w:ascii="Courier New" w:hAnsi="Courier New"/>
          <w:sz w:val="16"/>
        </w:rPr>
        <w:t>【金利感応度サマリー】</w:t>
        <w:br/>
        <w:br/>
        <w:t>金利1%上昇（最悪ケース）でも理論株価¥2,057 → 現在値比+13.1%</w:t>
        <w:br/>
        <w:t>= 現在の株価水準は相当なマージンを持っており、</w:t>
        <w:br/>
        <w:t xml:space="preserve">  金利リスクが顕在化しても「割安」状態は維持される可能性が高い</w:t>
        <w:br/>
        <w:br/>
        <w:t>金利1%低下（強気ケース）では理論株価¥3,124 → 現在値比+71.7%</w:t>
        <w:br/>
        <w:t>= ゆうちょの運用利回り改善と株価上昇が同時に起きる「二重のメリット」</w:t>
        <w:br/>
        <w:br/>
        <w:t>→ 金利感応度分析は日本郵政の投資テーゼを補強する結果となった</w:t>
      </w:r>
    </w:p>
    <w:p/>
    <w:p>
      <w:r>
        <w:t>──────────────────────────────────────────────────</w:t>
      </w:r>
    </w:p>
    <w:p/>
    <w:p>
      <w:pPr>
        <w:pStyle w:val="Heading2"/>
      </w:pPr>
      <w:r>
        <w:rPr>
          <w:rFonts w:ascii="Meiryo UI" w:hAnsi="Meiryo UI"/>
          <w:color w:val="2E74B5"/>
        </w:rPr>
        <w:t>総合評価サマリー</w:t>
      </w:r>
    </w:p>
    <w:p/>
    <w:p>
      <w:pPr>
        <w:shd w:val="clear" w:color="auto" w:fill="F2F2F2"/>
      </w:pPr>
      <w:r>
        <w:rPr>
          <w:rFonts w:ascii="Courier New" w:hAnsi="Courier New"/>
          <w:sz w:val="16"/>
        </w:rPr>
        <w:t>╔══════════════════════════════════════════════════════╗</w:t>
        <w:br/>
        <w:t>║         深井 最終レポートサマリー（2026-04-06）        ║</w:t>
        <w:br/>
        <w:t>╠══════════════════════════════════════════════════════╣</w:t>
        <w:br/>
        <w:t>║  銘柄: 日本郵政HD（6178.T）                          ║</w:t>
        <w:br/>
        <w:t>║  現在株価: ¥1,819                                    ║</w:t>
        <w:br/>
        <w:t>║  投資判断: 【買い（BUY）】                            ║</w:t>
        <w:br/>
        <w:t>║  12ヶ月目標株価: ¥2,200（+20.9%）                    ║</w:t>
        <w:br/>
        <w:t>║  DCF理論株価: ¥2,556（+40.5%）                      ║</w:t>
        <w:br/>
        <w:t>║  SOTP理論株価: ¥2,235（+22.9%）                     ║</w:t>
        <w:br/>
        <w:t>║  統合理論株価: ¥2,400（+31.9%）                      ║</w:t>
        <w:br/>
        <w:t>║                                                      ║</w:t>
        <w:br/>
        <w:t>║  不動産含み益（税引後）: ¥592/株                      ║</w:t>
        <w:br/>
        <w:t>║  ゆうちょ持分価値: ¥1,385/株                          ║</w:t>
        <w:br/>
        <w:t>║  配当利回り: 約2.75%（DPS¥50想定）                   ║</w:t>
        <w:br/>
        <w:t>║                                                      ║</w:t>
        <w:br/>
        <w:t>║  損切りライン: ¥1,550（▲14.8%）                      ║</w:t>
        <w:br/>
        <w:t>║  保有時間軸: 12〜24ヶ月（中期バリュー投資）            ║</w:t>
        <w:br/>
        <w:t>║  ポートフォリオ比率推奨: 5〜7%                        ║</w:t>
        <w:br/>
        <w:t>╚══════════════════════════════════════════════════════╝</w:t>
      </w:r>
    </w:p>
    <w:p/>
    <w:p>
      <w:r>
        <w:t>──────────────────────────────────────────────────</w:t>
      </w:r>
    </w:p>
    <w:p/>
    <w:p>
      <w:r>
        <w:rPr>
          <w:rFonts w:ascii="Meiryo UI" w:hAnsi="Meiryo UI"/>
          <w:sz w:val="20"/>
        </w:rPr>
        <w:t>免責事項: 本レポートは竹村トレードカンパニー内部資料であり、投資勧誘を目的としない。財務数値は公開情報・yfinanceリアルタイム取得値（2026-04-06）に基づくが、DCF・SOTP等の推計値には不確実性が伴う。最終投資判断は社長・担当者の責任において行うこと。</w:t>
      </w:r>
    </w:p>
    <w:p/>
    <w:p>
      <w:r>
        <w:rPr>
          <w:rFonts w:ascii="Meiryo UI" w:hAnsi="Meiryo UI"/>
          <w:sz w:val="20"/>
        </w:rPr>
        <w:t>— アナリスト 深井 / 竹村トレードカンパニー / 2026-04-06 11:17 JST</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11:17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6178_日本郵政HD【低_BUY_DeepResearch_20260406.md を出力しました。</w:t>
      </w:r>
    </w:p>
    <w:p>
      <w:r>
        <w:rPr>
          <w:rFonts w:ascii="Meiryo UI" w:hAnsi="Meiryo UI"/>
          <w:sz w:val="20"/>
        </w:rPr>
        <w:t>浅井スコア +0 の銘柄 [6178]日本郵政HD【低PBR×不動産資産豊富×株主還元余力】 についてDeepResearch完了。</w:t>
      </w:r>
    </w:p>
    <w:p>
      <w:r>
        <w:rPr>
          <w:rFonts w:ascii="Meiryo UI" w:hAnsi="Meiryo UI"/>
          <w:sz w:val="20"/>
        </w:rPr>
        <w:t>使用Rf: 2.380%（取得: 2026-04-06 11:17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