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[6269] 三井海洋開発(MODEC)</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[6269] 三井海洋開発(MODEC)</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三井海洋開発（MODEC）深井 DeepResearch レポート</w:t>
      </w:r>
    </w:p>
    <w:p>
      <w:pPr>
        <w:pStyle w:val="Heading2"/>
      </w:pPr>
      <w:r>
        <w:rPr>
          <w:rFonts w:ascii="Meiryo UI" w:hAnsi="Meiryo UI"/>
          <w:color w:val="2E74B5"/>
        </w:rPr>
        <w:t>ティッカー: 6269.T ｜ 分析日: 2026-04-07 ｜ アナリスト: 深井（竹村トレードカンパニー）</w:t>
      </w:r>
    </w:p>
    <w:p/>
    <w:p>
      <w:r>
        <w:t>──────────────────────────────────────────────────</w:t>
      </w:r>
    </w:p>
    <w:p/>
    <w:p>
      <w:r>
        <w:rPr>
          <w:rFonts w:ascii="Meiryo UI" w:hAnsi="Meiryo UI"/>
          <w:sz w:val="20"/>
        </w:rPr>
        <w:t>&gt; 【財務指標確認済み】</w:t>
      </w:r>
    </w:p>
    <w:p>
      <w:r>
        <w:rPr>
          <w:rFonts w:ascii="Meiryo UI" w:hAnsi="Meiryo UI"/>
          <w:sz w:val="20"/>
        </w:rPr>
        <w:t>&gt; 現在株価: ¥15,450（2026-04-07 08:16 JST / Yahoo Finance）</w:t>
      </w:r>
    </w:p>
    <w:p>
      <w:r>
        <w:rPr>
          <w:rFonts w:ascii="Meiryo UI" w:hAnsi="Meiryo UI"/>
          <w:sz w:val="20"/>
        </w:rPr>
        <w:t>&gt; PBR: 4.64倍 ｜ BPS: ¥3,328 ｜ ROE: 30.6% ｜ PER: 18.4倍 ｜ EPS: ¥838</w:t>
      </w:r>
    </w:p>
    <w:p>
      <w:r>
        <w:rPr>
          <w:rFonts w:ascii="Meiryo UI" w:hAnsi="Meiryo UI"/>
          <w:sz w:val="20"/>
        </w:rPr>
        <w:t>&gt; Rf: 2.386%（日本10年国債 2026-04-07 財務省）</w:t>
      </w:r>
    </w:p>
    <w:p>
      <w:r>
        <w:rPr>
          <w:rFonts w:ascii="Meiryo UI" w:hAnsi="Meiryo UI"/>
          <w:sz w:val="20"/>
        </w:rPr>
        <w:t>&gt; WTI: $113.16/bbl ｜ Brent: $109.77/bbl（2026-04-07 08:16 JST）</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買い（BUY）★★★★☆</w:t>
            </w:r>
          </w:p>
        </w:tc>
      </w:tr>
      <w:tr>
        <w:tc>
          <w:tcPr>
            <w:tcW w:type="dxa" w:w="4703"/>
            <w:shd w:val="clear" w:color="auto" w:fill="DDEBF7"/>
          </w:tcPr>
          <w:p>
            <w:r>
              <w:rPr>
                <w:rFonts w:ascii="Meiryo UI" w:hAnsi="Meiryo UI"/>
                <w:sz w:val="18"/>
              </w:rPr>
              <w:t>理論株価（基本ケース）</w:t>
            </w:r>
          </w:p>
        </w:tc>
        <w:tc>
          <w:tcPr>
            <w:tcW w:type="dxa" w:w="4703"/>
            <w:shd w:val="clear" w:color="auto" w:fill="DDEBF7"/>
          </w:tcPr>
          <w:p>
            <w:r>
              <w:rPr>
                <w:rFonts w:ascii="Meiryo UI" w:hAnsi="Meiryo UI"/>
                <w:sz w:val="18"/>
              </w:rPr>
              <w:t>¥18,200〜¥20,400</w:t>
            </w:r>
          </w:p>
        </w:tc>
      </w:tr>
      <w:tr>
        <w:tc>
          <w:tcPr>
            <w:tcW w:type="dxa" w:w="4703"/>
          </w:tcPr>
          <w:p>
            <w:r>
              <w:rPr>
                <w:rFonts w:ascii="Meiryo UI" w:hAnsi="Meiryo UI"/>
                <w:sz w:val="18"/>
              </w:rPr>
              <w:t>現在株価</w:t>
            </w:r>
          </w:p>
        </w:tc>
        <w:tc>
          <w:tcPr>
            <w:tcW w:type="dxa" w:w="4703"/>
          </w:tcPr>
          <w:p>
            <w:r>
              <w:rPr>
                <w:rFonts w:ascii="Meiryo UI" w:hAnsi="Meiryo UI"/>
                <w:sz w:val="18"/>
              </w:rPr>
              <w:t>¥15,450</w:t>
            </w:r>
          </w:p>
        </w:tc>
      </w:tr>
      <w:tr>
        <w:tc>
          <w:tcPr>
            <w:tcW w:type="dxa" w:w="4703"/>
            <w:shd w:val="clear" w:color="auto" w:fill="DDEBF7"/>
          </w:tcPr>
          <w:p>
            <w:r>
              <w:rPr>
                <w:rFonts w:ascii="Meiryo UI" w:hAnsi="Meiryo UI"/>
                <w:sz w:val="18"/>
              </w:rPr>
              <w:t>上値余地（基本ケース中央値）</w:t>
            </w:r>
          </w:p>
        </w:tc>
        <w:tc>
          <w:tcPr>
            <w:tcW w:type="dxa" w:w="4703"/>
            <w:shd w:val="clear" w:color="auto" w:fill="DDEBF7"/>
          </w:tcPr>
          <w:p>
            <w:r>
              <w:rPr>
                <w:rFonts w:ascii="Meiryo UI" w:hAnsi="Meiryo UI"/>
                <w:sz w:val="18"/>
              </w:rPr>
              <w:t>+22.6%</w:t>
            </w:r>
          </w:p>
        </w:tc>
      </w:tr>
      <w:tr>
        <w:tc>
          <w:tcPr>
            <w:tcW w:type="dxa" w:w="4703"/>
          </w:tcPr>
          <w:p>
            <w:r>
              <w:rPr>
                <w:rFonts w:ascii="Meiryo UI" w:hAnsi="Meiryo UI"/>
                <w:sz w:val="18"/>
              </w:rPr>
              <w:t>Margin of Safety（20%バッファ後目標）</w:t>
            </w:r>
          </w:p>
        </w:tc>
        <w:tc>
          <w:tcPr>
            <w:tcW w:type="dxa" w:w="4703"/>
          </w:tcPr>
          <w:p>
            <w:r>
              <w:rPr>
                <w:rFonts w:ascii="Meiryo UI" w:hAnsi="Meiryo UI"/>
                <w:sz w:val="18"/>
              </w:rPr>
              <w:t>¥14,560〜¥16,320（現在株価は安全域下限に近接）</w:t>
            </w:r>
          </w:p>
        </w:tc>
      </w:tr>
      <w:tr>
        <w:tc>
          <w:tcPr>
            <w:tcW w:type="dxa" w:w="4703"/>
            <w:shd w:val="clear" w:color="auto" w:fill="DDEBF7"/>
          </w:tcPr>
          <w:p>
            <w:r>
              <w:rPr>
                <w:rFonts w:ascii="Meiryo UI" w:hAnsi="Meiryo UI"/>
                <w:sz w:val="18"/>
              </w:rPr>
              <w:t>損切りライン</w:t>
            </w:r>
          </w:p>
        </w:tc>
        <w:tc>
          <w:tcPr>
            <w:tcW w:type="dxa" w:w="4703"/>
            <w:shd w:val="clear" w:color="auto" w:fill="DDEBF7"/>
          </w:tcPr>
          <w:p>
            <w:r>
              <w:rPr>
                <w:rFonts w:ascii="Meiryo UI" w:hAnsi="Meiryo UI"/>
                <w:sz w:val="18"/>
              </w:rPr>
              <w:t>¥13,200（BPS×4.0倍水準）</w:t>
            </w:r>
          </w:p>
        </w:tc>
      </w:tr>
      <w:tr>
        <w:tc>
          <w:tcPr>
            <w:tcW w:type="dxa" w:w="4703"/>
          </w:tcPr>
          <w:p>
            <w:r>
              <w:rPr>
                <w:rFonts w:ascii="Meiryo UI" w:hAnsi="Meiryo UI"/>
                <w:sz w:val="18"/>
              </w:rPr>
              <w:t>投資時間軸</w:t>
            </w:r>
          </w:p>
        </w:tc>
        <w:tc>
          <w:tcPr>
            <w:tcW w:type="dxa" w:w="4703"/>
          </w:tcPr>
          <w:p>
            <w:r>
              <w:rPr>
                <w:rFonts w:ascii="Meiryo UI" w:hAnsi="Meiryo UI"/>
                <w:sz w:val="18"/>
              </w:rPr>
              <w:t>12〜24ヶ月</w:t>
            </w:r>
          </w:p>
        </w:tc>
      </w:tr>
      <w:tr>
        <w:tc>
          <w:tcPr>
            <w:tcW w:type="dxa" w:w="4703"/>
            <w:shd w:val="clear" w:color="auto" w:fill="DDEBF7"/>
          </w:tcPr>
          <w:p>
            <w:r>
              <w:rPr>
                <w:rFonts w:ascii="Meiryo UI" w:hAnsi="Meiryo UI"/>
                <w:sz w:val="18"/>
              </w:rPr>
              <w:t>優先度</w:t>
            </w:r>
          </w:p>
        </w:tc>
        <w:tc>
          <w:tcPr>
            <w:tcW w:type="dxa" w:w="4703"/>
            <w:shd w:val="clear" w:color="auto" w:fill="DDEBF7"/>
          </w:tcPr>
          <w:p>
            <w:r>
              <w:rPr>
                <w:rFonts w:ascii="Meiryo UI" w:hAnsi="Meiryo UI"/>
                <w:sz w:val="18"/>
              </w:rPr>
              <w:t>3（社長指示）→ 本レポートにてポジション構築可否検討</w:t>
            </w:r>
          </w:p>
        </w:tc>
      </w:tr>
    </w:tbl>
    <w:p/>
    <w:p>
      <w:r>
        <w:rPr>
          <w:rFonts w:ascii="Meiryo UI" w:hAnsi="Meiryo UI"/>
          <w:sz w:val="20"/>
        </w:rPr>
        <w:t>コアテーゼ： MODECはFPSO長期固定オペレーション（O&amp;M）契約が売上の約65〜70%を占める構造的ディフェンシブ海洋インフラ企業である。現在のWTI $113/bbl環境は短期追い風だが、本質的な企業価値は原油価格と半独立的な「年金型キャッシュフロー」にある。PBR 4.64倍・ROE 30.6%は高品質FCFマシンとしての正当な評価であり、バックログ消化加速×ブラジル深海拡張を考慮すると依然として10〜25%の上値余地がある。</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会社概要</w:t>
      </w:r>
    </w:p>
    <w:p/>
    <w:p>
      <w:r>
        <w:rPr>
          <w:rFonts w:ascii="Meiryo UI" w:hAnsi="Meiryo UI"/>
          <w:sz w:val="20"/>
        </w:rPr>
        <w:t>三井海洋開発（MODEC: Mitsui Ocean Development &amp; Engineering Company）は1968年設立、東証プライム上場（6269）の海洋石油・ガス生産設備専業メーカー兼オペレーターである。本社は東京（港区）、グループ連結従業員は約3,500名（2025年度）。</w:t>
      </w:r>
    </w:p>
    <w:p/>
    <w:p>
      <w:r>
        <w:rPr>
          <w:rFonts w:ascii="Meiryo UI" w:hAnsi="Meiryo UI"/>
          <w:sz w:val="20"/>
        </w:rPr>
        <w:t>主力事業はFPSO（Floating Production, Storage and Offloading：浮体式生産貯蔵積出設備） の設計・建造（EPC）から長期オペレーション（O&amp;M）までの一貫提供。世界的に見てもFPSO専業オペレーターとしてSBM Offshore（蘭）、Technip Energies（仏）と並ぶ上位3社の一角を占める。</w:t>
      </w:r>
    </w:p>
    <w:p/>
    <w:p>
      <w:pPr>
        <w:pStyle w:val="Heading2"/>
      </w:pPr>
      <w:r>
        <w:rPr>
          <w:rFonts w:ascii="Meiryo UI" w:hAnsi="Meiryo UI"/>
          <w:color w:val="2E74B5"/>
        </w:rPr>
        <w:t>1-2. セグメント構成</w:t>
      </w:r>
    </w:p>
    <w:p/>
    <w:p>
      <w:pPr>
        <w:shd w:val="clear" w:color="auto" w:fill="F2F2F2"/>
      </w:pPr>
      <w:r>
        <w:rPr>
          <w:rFonts w:ascii="Courier New" w:hAnsi="Courier New"/>
          <w:sz w:val="16"/>
        </w:rPr>
        <w:t>売上高構成（FY2025 概算）</w:t>
        <w:br/>
        <w:t>├── FPSOオペレーション (O&amp;M)    ≈ 67%  【高安定・高マージン】</w:t>
        <w:br/>
        <w:t>├── EPC（建造・据付）           ≈ 25%  【変動大・完工時収益集中】</w:t>
        <w:br/>
        <w:t>├── FSOオペレーション           ≈  5%  【成熟・安定】</w:t>
        <w:br/>
        <w:t>└── その他（MOPU/FSO等）        ≈  3%</w:t>
      </w:r>
    </w:p>
    <w:p/>
    <w:p>
      <w:r>
        <w:rPr>
          <w:rFonts w:ascii="Meiryo UI" w:hAnsi="Meiryo UI"/>
          <w:sz w:val="20"/>
        </w:rPr>
        <w:t>地域別売上（推定）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地域</w:t>
            </w:r>
          </w:p>
        </w:tc>
        <w:tc>
          <w:tcPr>
            <w:tcW w:type="dxa" w:w="3135"/>
            <w:shd w:val="clear" w:color="auto" w:fill="2E74B5"/>
          </w:tcPr>
          <w:p>
            <w:r>
              <w:rPr>
                <w:rFonts w:ascii="Meiryo UI" w:hAnsi="Meiryo UI"/>
                <w:b/>
                <w:color w:val="FFFFFF"/>
                <w:sz w:val="18"/>
              </w:rPr>
              <w:t>売上比率</w:t>
            </w:r>
          </w:p>
        </w:tc>
        <w:tc>
          <w:tcPr>
            <w:tcW w:type="dxa" w:w="3135"/>
            <w:shd w:val="clear" w:color="auto" w:fill="2E74B5"/>
          </w:tcPr>
          <w:p>
            <w:r>
              <w:rPr>
                <w:rFonts w:ascii="Meiryo UI" w:hAnsi="Meiryo UI"/>
                <w:b/>
                <w:color w:val="FFFFFF"/>
                <w:sz w:val="18"/>
              </w:rPr>
              <w:t>主要顧客</w:t>
            </w:r>
          </w:p>
        </w:tc>
      </w:tr>
      <w:tr>
        <w:tc>
          <w:tcPr>
            <w:tcW w:type="dxa" w:w="3135"/>
          </w:tcPr>
          <w:p>
            <w:r>
              <w:rPr>
                <w:rFonts w:ascii="Meiryo UI" w:hAnsi="Meiryo UI"/>
                <w:sz w:val="18"/>
              </w:rPr>
              <w:t>ブラジル（ペトロブラス中心）</w:t>
            </w:r>
          </w:p>
        </w:tc>
        <w:tc>
          <w:tcPr>
            <w:tcW w:type="dxa" w:w="3135"/>
          </w:tcPr>
          <w:p>
            <w:r>
              <w:rPr>
                <w:rFonts w:ascii="Meiryo UI" w:hAnsi="Meiryo UI"/>
                <w:sz w:val="18"/>
              </w:rPr>
              <w:t>約55%</w:t>
            </w:r>
          </w:p>
        </w:tc>
        <w:tc>
          <w:tcPr>
            <w:tcW w:type="dxa" w:w="3135"/>
          </w:tcPr>
          <w:p>
            <w:r>
              <w:rPr>
                <w:rFonts w:ascii="Meiryo UI" w:hAnsi="Meiryo UI"/>
                <w:sz w:val="18"/>
              </w:rPr>
              <w:t>Petrobras, Shell Brasil</w:t>
            </w:r>
          </w:p>
        </w:tc>
      </w:tr>
      <w:tr>
        <w:tc>
          <w:tcPr>
            <w:tcW w:type="dxa" w:w="3135"/>
            <w:shd w:val="clear" w:color="auto" w:fill="DDEBF7"/>
          </w:tcPr>
          <w:p>
            <w:r>
              <w:rPr>
                <w:rFonts w:ascii="Meiryo UI" w:hAnsi="Meiryo UI"/>
                <w:sz w:val="18"/>
              </w:rPr>
              <w:t>アジア太平洋</w:t>
            </w:r>
          </w:p>
        </w:tc>
        <w:tc>
          <w:tcPr>
            <w:tcW w:type="dxa" w:w="3135"/>
            <w:shd w:val="clear" w:color="auto" w:fill="DDEBF7"/>
          </w:tcPr>
          <w:p>
            <w:r>
              <w:rPr>
                <w:rFonts w:ascii="Meiryo UI" w:hAnsi="Meiryo UI"/>
                <w:sz w:val="18"/>
              </w:rPr>
              <w:t>約20%</w:t>
            </w:r>
          </w:p>
        </w:tc>
        <w:tc>
          <w:tcPr>
            <w:tcW w:type="dxa" w:w="3135"/>
            <w:shd w:val="clear" w:color="auto" w:fill="DDEBF7"/>
          </w:tcPr>
          <w:p>
            <w:r>
              <w:rPr>
                <w:rFonts w:ascii="Meiryo UI" w:hAnsi="Meiryo UI"/>
                <w:sz w:val="18"/>
              </w:rPr>
              <w:t>INPEX, PTTEP, Jadestone</w:t>
            </w:r>
          </w:p>
        </w:tc>
      </w:tr>
      <w:tr>
        <w:tc>
          <w:tcPr>
            <w:tcW w:type="dxa" w:w="3135"/>
          </w:tcPr>
          <w:p>
            <w:r>
              <w:rPr>
                <w:rFonts w:ascii="Meiryo UI" w:hAnsi="Meiryo UI"/>
                <w:sz w:val="18"/>
              </w:rPr>
              <w:t>アフリカ・北海</w:t>
            </w:r>
          </w:p>
        </w:tc>
        <w:tc>
          <w:tcPr>
            <w:tcW w:type="dxa" w:w="3135"/>
          </w:tcPr>
          <w:p>
            <w:r>
              <w:rPr>
                <w:rFonts w:ascii="Meiryo UI" w:hAnsi="Meiryo UI"/>
                <w:sz w:val="18"/>
              </w:rPr>
              <w:t>約15%</w:t>
            </w:r>
          </w:p>
        </w:tc>
        <w:tc>
          <w:tcPr>
            <w:tcW w:type="dxa" w:w="3135"/>
          </w:tcPr>
          <w:p>
            <w:r>
              <w:rPr>
                <w:rFonts w:ascii="Meiryo UI" w:hAnsi="Meiryo UI"/>
                <w:sz w:val="18"/>
              </w:rPr>
              <w:t>TotalEnergies, Eni</w:t>
            </w:r>
          </w:p>
        </w:tc>
      </w:tr>
      <w:tr>
        <w:tc>
          <w:tcPr>
            <w:tcW w:type="dxa" w:w="3135"/>
            <w:shd w:val="clear" w:color="auto" w:fill="DDEBF7"/>
          </w:tcPr>
          <w:p>
            <w:r>
              <w:rPr>
                <w:rFonts w:ascii="Meiryo UI" w:hAnsi="Meiryo UI"/>
                <w:sz w:val="18"/>
              </w:rPr>
              <w:t>中南米（ブラジル除く）</w:t>
            </w:r>
          </w:p>
        </w:tc>
        <w:tc>
          <w:tcPr>
            <w:tcW w:type="dxa" w:w="3135"/>
            <w:shd w:val="clear" w:color="auto" w:fill="DDEBF7"/>
          </w:tcPr>
          <w:p>
            <w:r>
              <w:rPr>
                <w:rFonts w:ascii="Meiryo UI" w:hAnsi="Meiryo UI"/>
                <w:sz w:val="18"/>
              </w:rPr>
              <w:t>約10%</w:t>
            </w:r>
          </w:p>
        </w:tc>
        <w:tc>
          <w:tcPr>
            <w:tcW w:type="dxa" w:w="3135"/>
            <w:shd w:val="clear" w:color="auto" w:fill="DDEBF7"/>
          </w:tcPr>
          <w:p>
            <w:r>
              <w:rPr>
                <w:rFonts w:ascii="Meiryo UI" w:hAnsi="Meiryo UI"/>
                <w:sz w:val="18"/>
              </w:rPr>
              <w:t>ExxonMobil（ガイアナ）</w:t>
            </w:r>
          </w:p>
        </w:tc>
      </w:tr>
    </w:tbl>
    <w:p/>
    <w:p>
      <w:pPr>
        <w:pStyle w:val="Heading2"/>
      </w:pPr>
      <w:r>
        <w:rPr>
          <w:rFonts w:ascii="Meiryo UI" w:hAnsi="Meiryo UI"/>
          <w:color w:val="2E74B5"/>
        </w:rPr>
        <w:t>1-3. 競合優位性（Competitive Moat）</w:t>
      </w:r>
    </w:p>
    <w:p/>
    <w:p>
      <w:pPr>
        <w:pStyle w:val="ListNumber"/>
      </w:pPr>
      <w:r>
        <w:rPr>
          <w:rFonts w:ascii="Meiryo UI" w:hAnsi="Meiryo UI"/>
          <w:sz w:val="20"/>
        </w:rPr>
        <w:t>FPSO専業深海オペレーションの実績蓄積 — 1,000m超深海でのFPSO稼働実績はSBM Offshoreと並ぶ世界最高水準。ペトロブラスの厳格なHSSE（健康・安全・環境）基準への適合ノウハウが参入障壁を形成。</w:t>
      </w:r>
    </w:p>
    <w:p/>
    <w:p>
      <w:pPr>
        <w:pStyle w:val="ListNumber"/>
      </w:pPr>
      <w:r>
        <w:rPr>
          <w:rFonts w:ascii="Meiryo UI" w:hAnsi="Meiryo UI"/>
          <w:sz w:val="20"/>
        </w:rPr>
        <w:t>長期固定契約（15〜20年）のバックログ — 一度契約が締結されると解除コストが極めて高く（FPSO1基の月次チャーターレートは$3〜6億円規模）、顧客ロックインが強固。</w:t>
      </w:r>
    </w:p>
    <w:p/>
    <w:p>
      <w:pPr>
        <w:pStyle w:val="ListNumber"/>
      </w:pPr>
      <w:r>
        <w:rPr>
          <w:rFonts w:ascii="Meiryo UI" w:hAnsi="Meiryo UI"/>
          <w:sz w:val="20"/>
        </w:rPr>
        <w:t>ブラジル深海石油（プレソルト）特化 — 水深2,000〜3,000mの技術的難易度がコモディティ化を防ぎ、価格競争を回避。</w:t>
      </w:r>
    </w:p>
    <w:p/>
    <w:p>
      <w:pPr>
        <w:pStyle w:val="ListNumber"/>
      </w:pPr>
      <w:r>
        <w:rPr>
          <w:rFonts w:ascii="Meiryo UI" w:hAnsi="Meiryo UI"/>
          <w:sz w:val="20"/>
        </w:rPr>
        <w:t>三井グループの信用力 — 三井物産が主要株主（約20%保有）。大型EPC契約における資金調達・与信力がSPC（特別目的会社）ファイナンスに直結。</w:t>
      </w:r>
    </w:p>
    <w:p/>
    <w:p>
      <w:pPr>
        <w:pStyle w:val="Heading2"/>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2025-2026</w:t>
            </w:r>
          </w:p>
        </w:tc>
        <w:tc>
          <w:tcPr>
            <w:tcW w:type="dxa" w:w="3135"/>
          </w:tcPr>
          <w:p>
            <w:r>
              <w:rPr>
                <w:rFonts w:ascii="Meiryo UI" w:hAnsi="Meiryo UI"/>
                <w:sz w:val="18"/>
              </w:rPr>
              <w:t>ガイアナ・スタブルック油田向け新規FPSO（ExxonMobil案件）受注</w:t>
            </w:r>
          </w:p>
        </w:tc>
        <w:tc>
          <w:tcPr>
            <w:tcW w:type="dxa" w:w="3135"/>
          </w:tcPr>
          <w:p>
            <w:r>
              <w:rPr>
                <w:rFonts w:ascii="Meiryo UI" w:hAnsi="Meiryo UI"/>
                <w:sz w:val="18"/>
              </w:rPr>
              <w:t>+大</w:t>
            </w:r>
          </w:p>
        </w:tc>
      </w:tr>
      <w:tr>
        <w:tc>
          <w:tcPr>
            <w:tcW w:type="dxa" w:w="3135"/>
            <w:shd w:val="clear" w:color="auto" w:fill="DDEBF7"/>
          </w:tcPr>
          <w:p>
            <w:r>
              <w:rPr>
                <w:rFonts w:ascii="Meiryo UI" w:hAnsi="Meiryo UI"/>
                <w:sz w:val="18"/>
              </w:rPr>
              <w:t>2026Q1</w:t>
            </w:r>
          </w:p>
        </w:tc>
        <w:tc>
          <w:tcPr>
            <w:tcW w:type="dxa" w:w="3135"/>
            <w:shd w:val="clear" w:color="auto" w:fill="DDEBF7"/>
          </w:tcPr>
          <w:p>
            <w:r>
              <w:rPr>
                <w:rFonts w:ascii="Meiryo UI" w:hAnsi="Meiryo UI"/>
                <w:sz w:val="18"/>
              </w:rPr>
              <w:t>ブラジル・サントス盆地新規オペレーション開始（FPSO Almirante Tamandare型）</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2026</w:t>
            </w:r>
          </w:p>
        </w:tc>
        <w:tc>
          <w:tcPr>
            <w:tcW w:type="dxa" w:w="3135"/>
          </w:tcPr>
          <w:p>
            <w:r>
              <w:rPr>
                <w:rFonts w:ascii="Meiryo UI" w:hAnsi="Meiryo UI"/>
                <w:sz w:val="18"/>
              </w:rPr>
              <w:t>ペトロブラス2026〜2030投資計画（5年$111bn）における追加FPSO発注</w:t>
            </w:r>
          </w:p>
        </w:tc>
        <w:tc>
          <w:tcPr>
            <w:tcW w:type="dxa" w:w="3135"/>
          </w:tcPr>
          <w:p>
            <w:r>
              <w:rPr>
                <w:rFonts w:ascii="Meiryo UI" w:hAnsi="Meiryo UI"/>
                <w:sz w:val="18"/>
              </w:rPr>
              <w:t>+大</w:t>
            </w:r>
          </w:p>
        </w:tc>
      </w:tr>
      <w:tr>
        <w:tc>
          <w:tcPr>
            <w:tcW w:type="dxa" w:w="3135"/>
            <w:shd w:val="clear" w:color="auto" w:fill="DDEBF7"/>
          </w:tcPr>
          <w:p>
            <w:r>
              <w:rPr>
                <w:rFonts w:ascii="Meiryo UI" w:hAnsi="Meiryo UI"/>
                <w:sz w:val="18"/>
              </w:rPr>
              <w:t>継続</w:t>
            </w:r>
          </w:p>
        </w:tc>
        <w:tc>
          <w:tcPr>
            <w:tcW w:type="dxa" w:w="3135"/>
            <w:shd w:val="clear" w:color="auto" w:fill="DDEBF7"/>
          </w:tcPr>
          <w:p>
            <w:r>
              <w:rPr>
                <w:rFonts w:ascii="Meiryo UI" w:hAnsi="Meiryo UI"/>
                <w:sz w:val="18"/>
              </w:rPr>
              <w:t>WTI $100超環境による発注前倒し需要</w:t>
            </w:r>
          </w:p>
        </w:tc>
        <w:tc>
          <w:tcPr>
            <w:tcW w:type="dxa" w:w="3135"/>
            <w:shd w:val="clear" w:color="auto" w:fill="DDEBF7"/>
          </w:tcPr>
          <w:p>
            <w:r>
              <w:rPr>
                <w:rFonts w:ascii="Meiryo UI" w:hAnsi="Meiryo UI"/>
                <w:sz w:val="18"/>
              </w:rPr>
              <w:t>+中</w:t>
            </w:r>
          </w:p>
        </w:tc>
      </w:tr>
      <w:tr>
        <w:tc>
          <w:tcPr>
            <w:tcW w:type="dxa" w:w="3135"/>
          </w:tcPr>
          <w:p>
            <w:r>
              <w:rPr>
                <w:rFonts w:ascii="Meiryo UI" w:hAnsi="Meiryo UI"/>
                <w:sz w:val="18"/>
              </w:rPr>
              <w:t>リスク</w:t>
            </w:r>
          </w:p>
        </w:tc>
        <w:tc>
          <w:tcPr>
            <w:tcW w:type="dxa" w:w="3135"/>
          </w:tcPr>
          <w:p>
            <w:r>
              <w:rPr>
                <w:rFonts w:ascii="Meiryo UI" w:hAnsi="Meiryo UI"/>
                <w:sz w:val="18"/>
              </w:rPr>
              <w:t>円高進行（FPSO収益の大半はUSD建て）</w:t>
            </w:r>
          </w:p>
        </w:tc>
        <w:tc>
          <w:tcPr>
            <w:tcW w:type="dxa" w:w="3135"/>
          </w:tcPr>
          <w:p>
            <w:r>
              <w:rPr>
                <w:rFonts w:ascii="Meiryo UI" w:hAnsi="Meiryo UI"/>
                <w:sz w:val="18"/>
              </w:rPr>
              <w:t>−中</w:t>
            </w:r>
          </w:p>
        </w:tc>
      </w:tr>
    </w:tbl>
    <w:p/>
    <w:p>
      <w:r>
        <w:t>──────────────────────────────────────────────────</w:t>
      </w:r>
    </w:p>
    <w:p/>
    <w:p>
      <w:pPr>
        <w:pStyle w:val="Heading1"/>
      </w:pPr>
      <w:r>
        <w:rPr>
          <w:rFonts w:ascii="Meiryo UI" w:hAnsi="Meiryo UI"/>
          <w:color w:val="1F3864"/>
        </w:rPr>
        <w:t>2. 社長指示重点分析</w:t>
      </w:r>
    </w:p>
    <w:p/>
    <w:p>
      <w:pPr>
        <w:pStyle w:val="Heading2"/>
      </w:pPr>
      <w:r>
        <w:rPr>
          <w:rFonts w:ascii="Meiryo UI" w:hAnsi="Meiryo UI"/>
          <w:color w:val="2E74B5"/>
        </w:rPr>
        <w:t>① FPSO事業モデルの詳細：EPC vs O&amp;M 収益構造分解</w:t>
      </w:r>
    </w:p>
    <w:p/>
    <w:p>
      <w:pPr>
        <w:pStyle w:val="Heading3"/>
      </w:pPr>
      <w:r>
        <w:rPr>
          <w:rFonts w:ascii="Meiryo UI" w:hAnsi="Meiryo UI"/>
          <w:color w:val="2E74B5"/>
        </w:rPr>
        <w:t>EPC（Engineering, Procurement &amp; Construction）フェーズ</w:t>
      </w:r>
    </w:p>
    <w:p/>
    <w:p>
      <w:pPr>
        <w:shd w:val="clear" w:color="auto" w:fill="F2F2F2"/>
      </w:pPr>
      <w:r>
        <w:rPr>
          <w:rFonts w:ascii="Courier New" w:hAnsi="Courier New"/>
          <w:sz w:val="16"/>
        </w:rPr>
        <w:t>【EPCフェーズの特性】</w:t>
        <w:br/>
        <w:t>期間: 通常3〜5年（契約締結→設計→建造→据付→初生産）</w:t>
        <w:br/>
        <w:t>収益認識: 進捗度ベース（IFRS15）</w:t>
        <w:br/>
        <w:t>典型的なFPSO1基のEPC規模: $1.0〜2.5 billion</w:t>
        <w:br/>
        <w:t>MODECの利益マージン（EPC）: 概ね3〜8%（リスク内包型）</w:t>
        <w:br/>
        <w:t>リスク: 資材費高騰・工期遅延・為替変動</w:t>
      </w:r>
    </w:p>
    <w:p/>
    <w:p>
      <w:r>
        <w:rPr>
          <w:rFonts w:ascii="Meiryo UI" w:hAnsi="Meiryo UI"/>
          <w:sz w:val="20"/>
        </w:rPr>
        <w:t>EPCフェーズは完工時の損益振れが大きいのが特徴。2019〜2021年のコロナ禍・鋼材高騰局面でMODECはEPCコスト超過により営業赤字を計上した経緯がある（2020年度：営業損失約▲150億円）。これがバリュエーション上の「EPCリスクディスカウント」として今日まで残存している。</w:t>
      </w:r>
    </w:p>
    <w:p/>
    <w:p>
      <w:r>
        <w:rPr>
          <w:rFonts w:ascii="Meiryo UI" w:hAnsi="Meiryo UI"/>
          <w:sz w:val="20"/>
        </w:rPr>
        <w:t>重要： 現在のMODECはEPCリスク管理を大幅強化（固定価格EPC→コストプラスへの契約形態転換、サブコン管理厳格化）しており、2023年以降の新規EPC案件は損益改善が顕著。</w:t>
      </w:r>
    </w:p>
    <w:p/>
    <w:p>
      <w:pPr>
        <w:pStyle w:val="Heading3"/>
      </w:pPr>
      <w:r>
        <w:rPr>
          <w:rFonts w:ascii="Meiryo UI" w:hAnsi="Meiryo UI"/>
          <w:color w:val="2E74B5"/>
        </w:rPr>
        <w:t>O&amp;M（Operation &amp; Maintenance）フェーズ</w:t>
      </w:r>
    </w:p>
    <w:p/>
    <w:p>
      <w:pPr>
        <w:shd w:val="clear" w:color="auto" w:fill="F2F2F2"/>
      </w:pPr>
      <w:r>
        <w:rPr>
          <w:rFonts w:ascii="Courier New" w:hAnsi="Courier New"/>
          <w:sz w:val="16"/>
        </w:rPr>
        <w:t>【O&amp;Mフェーズの特性】</w:t>
        <w:br/>
        <w:t>期間: 初生産後15〜20年（場合によりオプション延長あり）</w:t>
        <w:br/>
        <w:t>収益認識: 月次定額チャーターレート（原油価格連動条項なし＝固定ベース）</w:t>
        <w:br/>
        <w:t>典型的なFPSO1基のO&amp;M年収: $50〜150 million（規模・仕様依存）</w:t>
        <w:br/>
        <w:t>MODECのO&amp;Mマージン: 20〜30%（EBITDA）</w:t>
        <w:br/>
        <w:t>リスク: 設備故障・稼働率低下・保険コスト</w:t>
      </w:r>
    </w:p>
    <w:p/>
    <w:p>
      <w:r>
        <w:rPr>
          <w:rFonts w:ascii="Meiryo UI" w:hAnsi="Meiryo UI"/>
          <w:sz w:val="20"/>
        </w:rPr>
        <w:t>原油価格感応度の定量化（O&amp;Mフェーズ）: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原油価格帯</w:t>
            </w:r>
          </w:p>
        </w:tc>
        <w:tc>
          <w:tcPr>
            <w:tcW w:type="dxa" w:w="3135"/>
            <w:shd w:val="clear" w:color="auto" w:fill="2E74B5"/>
          </w:tcPr>
          <w:p>
            <w:r>
              <w:rPr>
                <w:rFonts w:ascii="Meiryo UI" w:hAnsi="Meiryo UI"/>
                <w:b/>
                <w:color w:val="FFFFFF"/>
                <w:sz w:val="18"/>
              </w:rPr>
              <w:t>MODECのO&amp;M収益への直接影響</w:t>
            </w:r>
          </w:p>
        </w:tc>
        <w:tc>
          <w:tcPr>
            <w:tcW w:type="dxa" w:w="3135"/>
            <w:shd w:val="clear" w:color="auto" w:fill="2E74B5"/>
          </w:tcPr>
          <w:p>
            <w:r>
              <w:rPr>
                <w:rFonts w:ascii="Meiryo UI" w:hAnsi="Meiryo UI"/>
                <w:b/>
                <w:color w:val="FFFFFF"/>
                <w:sz w:val="18"/>
              </w:rPr>
              <w:t>説明</w:t>
            </w:r>
          </w:p>
        </w:tc>
      </w:tr>
      <w:tr>
        <w:tc>
          <w:tcPr>
            <w:tcW w:type="dxa" w:w="3135"/>
          </w:tcPr>
          <w:p>
            <w:r>
              <w:rPr>
                <w:rFonts w:ascii="Meiryo UI" w:hAnsi="Meiryo UI"/>
                <w:sz w:val="18"/>
              </w:rPr>
              <w:t>WTI &lt; $40</w:t>
            </w:r>
          </w:p>
        </w:tc>
        <w:tc>
          <w:tcPr>
            <w:tcW w:type="dxa" w:w="3135"/>
          </w:tcPr>
          <w:p>
            <w:r>
              <w:rPr>
                <w:rFonts w:ascii="Meiryo UI" w:hAnsi="Meiryo UI"/>
                <w:sz w:val="18"/>
              </w:rPr>
              <w:t>ほぼゼロ（直接）</w:t>
            </w:r>
          </w:p>
        </w:tc>
        <w:tc>
          <w:tcPr>
            <w:tcW w:type="dxa" w:w="3135"/>
          </w:tcPr>
          <w:p>
            <w:r>
              <w:rPr>
                <w:rFonts w:ascii="Meiryo UI" w:hAnsi="Meiryo UI"/>
                <w:sz w:val="18"/>
              </w:rPr>
              <w:t>チャーターレートは固定。ただし顧客の財務悪化→長期的な契約延長交渉リスク</w:t>
            </w:r>
          </w:p>
        </w:tc>
      </w:tr>
      <w:tr>
        <w:tc>
          <w:tcPr>
            <w:tcW w:type="dxa" w:w="3135"/>
            <w:shd w:val="clear" w:color="auto" w:fill="DDEBF7"/>
          </w:tcPr>
          <w:p>
            <w:r>
              <w:rPr>
                <w:rFonts w:ascii="Meiryo UI" w:hAnsi="Meiryo UI"/>
                <w:sz w:val="18"/>
              </w:rPr>
              <w:t>WTI $40〜$60</w:t>
            </w:r>
          </w:p>
        </w:tc>
        <w:tc>
          <w:tcPr>
            <w:tcW w:type="dxa" w:w="3135"/>
            <w:shd w:val="clear" w:color="auto" w:fill="DDEBF7"/>
          </w:tcPr>
          <w:p>
            <w:r>
              <w:rPr>
                <w:rFonts w:ascii="Meiryo UI" w:hAnsi="Meiryo UI"/>
                <w:sz w:val="18"/>
              </w:rPr>
              <w:t>軽微（間接）</w:t>
            </w:r>
          </w:p>
        </w:tc>
        <w:tc>
          <w:tcPr>
            <w:tcW w:type="dxa" w:w="3135"/>
            <w:shd w:val="clear" w:color="auto" w:fill="DDEBF7"/>
          </w:tcPr>
          <w:p>
            <w:r>
              <w:rPr>
                <w:rFonts w:ascii="Meiryo UI" w:hAnsi="Meiryo UI"/>
                <w:sz w:val="18"/>
              </w:rPr>
              <w:t>顧客が既存生産継続を優先→稼働率維持</w:t>
            </w:r>
          </w:p>
        </w:tc>
      </w:tr>
      <w:tr>
        <w:tc>
          <w:tcPr>
            <w:tcW w:type="dxa" w:w="3135"/>
          </w:tcPr>
          <w:p>
            <w:r>
              <w:rPr>
                <w:rFonts w:ascii="Meiryo UI" w:hAnsi="Meiryo UI"/>
                <w:sz w:val="18"/>
              </w:rPr>
              <w:t>WTI $60〜$100</w:t>
            </w:r>
          </w:p>
        </w:tc>
        <w:tc>
          <w:tcPr>
            <w:tcW w:type="dxa" w:w="3135"/>
          </w:tcPr>
          <w:p>
            <w:r>
              <w:rPr>
                <w:rFonts w:ascii="Meiryo UI" w:hAnsi="Meiryo UI"/>
                <w:sz w:val="18"/>
              </w:rPr>
              <w:t>中立〜若干プラス</w:t>
            </w:r>
          </w:p>
        </w:tc>
        <w:tc>
          <w:tcPr>
            <w:tcW w:type="dxa" w:w="3135"/>
          </w:tcPr>
          <w:p>
            <w:r>
              <w:rPr>
                <w:rFonts w:ascii="Meiryo UI" w:hAnsi="Meiryo UI"/>
                <w:sz w:val="18"/>
              </w:rPr>
              <w:t>顧客の追加投資余力増加→延長オプション行使確率上昇</w:t>
            </w:r>
          </w:p>
        </w:tc>
      </w:tr>
      <w:tr>
        <w:tc>
          <w:tcPr>
            <w:tcW w:type="dxa" w:w="3135"/>
            <w:shd w:val="clear" w:color="auto" w:fill="DDEBF7"/>
          </w:tcPr>
          <w:p>
            <w:r>
              <w:rPr>
                <w:rFonts w:ascii="Meiryo UI" w:hAnsi="Meiryo UI"/>
                <w:sz w:val="18"/>
              </w:rPr>
              <w:t>WTI &gt; $100</w:t>
            </w:r>
          </w:p>
        </w:tc>
        <w:tc>
          <w:tcPr>
            <w:tcW w:type="dxa" w:w="3135"/>
            <w:shd w:val="clear" w:color="auto" w:fill="DDEBF7"/>
          </w:tcPr>
          <w:p>
            <w:r>
              <w:rPr>
                <w:rFonts w:ascii="Meiryo UI" w:hAnsi="Meiryo UI"/>
                <w:sz w:val="18"/>
              </w:rPr>
              <w:t>プラス（主にEPC・新規受注）</w:t>
            </w:r>
          </w:p>
        </w:tc>
        <w:tc>
          <w:tcPr>
            <w:tcW w:type="dxa" w:w="3135"/>
            <w:shd w:val="clear" w:color="auto" w:fill="DDEBF7"/>
          </w:tcPr>
          <w:p>
            <w:r>
              <w:rPr>
                <w:rFonts w:ascii="Meiryo UI" w:hAnsi="Meiryo UI"/>
                <w:sz w:val="18"/>
              </w:rPr>
              <w:t>新規FPSO発注加速→バックログ積み上げ</w:t>
            </w:r>
          </w:p>
        </w:tc>
      </w:tr>
    </w:tbl>
    <w:p/>
    <w:p>
      <w:r>
        <w:rPr>
          <w:rFonts w:ascii="Meiryo UI" w:hAnsi="Meiryo UI"/>
          <w:sz w:val="20"/>
        </w:rPr>
        <w:t>&gt; 結論①: O&amp;M収益（売上の約67%）は原油価格変動から構造的に遮断されている。原油価格感応度は主にEPC新規受注タイミングと契約更新時の交渉力に限定される。現在WTI $113/bblは新規EPC受注加速の強力な後押し。</w:t>
      </w:r>
    </w:p>
    <w:p/>
    <w:p>
      <w:r>
        <w:t>──────────────────────────────────────────────────</w:t>
      </w:r>
    </w:p>
    <w:p/>
    <w:p>
      <w:pPr>
        <w:pStyle w:val="Heading2"/>
      </w:pPr>
      <w:r>
        <w:rPr>
          <w:rFonts w:ascii="Meiryo UI" w:hAnsi="Meiryo UI"/>
          <w:color w:val="2E74B5"/>
        </w:rPr>
        <w:t>② 受注残（バックログ）と竣工予定スケジュール</w:t>
      </w:r>
    </w:p>
    <w:p/>
    <w:p>
      <w:pPr>
        <w:pStyle w:val="Heading3"/>
      </w:pPr>
      <w:r>
        <w:rPr>
          <w:rFonts w:ascii="Meiryo UI" w:hAnsi="Meiryo UI"/>
          <w:color w:val="2E74B5"/>
        </w:rPr>
        <w:t>推定バックログ（2026年3月末時点）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推定金額</w:t>
            </w:r>
          </w:p>
        </w:tc>
        <w:tc>
          <w:tcPr>
            <w:tcW w:type="dxa" w:w="3135"/>
            <w:shd w:val="clear" w:color="auto" w:fill="2E74B5"/>
          </w:tcPr>
          <w:p>
            <w:r>
              <w:rPr>
                <w:rFonts w:ascii="Meiryo UI" w:hAnsi="Meiryo UI"/>
                <w:b/>
                <w:color w:val="FFFFFF"/>
                <w:sz w:val="18"/>
              </w:rPr>
              <w:t>主要案件</w:t>
            </w:r>
          </w:p>
        </w:tc>
      </w:tr>
      <w:tr>
        <w:tc>
          <w:tcPr>
            <w:tcW w:type="dxa" w:w="3135"/>
          </w:tcPr>
          <w:p>
            <w:r>
              <w:rPr>
                <w:rFonts w:ascii="Meiryo UI" w:hAnsi="Meiryo UI"/>
                <w:sz w:val="18"/>
              </w:rPr>
              <w:t>EPCバックログ</w:t>
            </w:r>
          </w:p>
        </w:tc>
        <w:tc>
          <w:tcPr>
            <w:tcW w:type="dxa" w:w="3135"/>
          </w:tcPr>
          <w:p>
            <w:r>
              <w:rPr>
                <w:rFonts w:ascii="Meiryo UI" w:hAnsi="Meiryo UI"/>
                <w:sz w:val="18"/>
              </w:rPr>
              <w:t>≈ ¥6,000〜8,000億</w:t>
            </w:r>
          </w:p>
        </w:tc>
        <w:tc>
          <w:tcPr>
            <w:tcW w:type="dxa" w:w="3135"/>
          </w:tcPr>
          <w:p>
            <w:r>
              <w:rPr>
                <w:rFonts w:ascii="Meiryo UI" w:hAnsi="Meiryo UI"/>
                <w:sz w:val="18"/>
              </w:rPr>
              <w:t>ガイアナ案件、ブラジル新規2基、アフリカ1基</w:t>
            </w:r>
          </w:p>
        </w:tc>
      </w:tr>
      <w:tr>
        <w:tc>
          <w:tcPr>
            <w:tcW w:type="dxa" w:w="3135"/>
            <w:shd w:val="clear" w:color="auto" w:fill="DDEBF7"/>
          </w:tcPr>
          <w:p>
            <w:r>
              <w:rPr>
                <w:rFonts w:ascii="Meiryo UI" w:hAnsi="Meiryo UI"/>
                <w:sz w:val="18"/>
              </w:rPr>
              <w:t>O&amp;Mバックログ（残存契約価値）</w:t>
            </w:r>
          </w:p>
        </w:tc>
        <w:tc>
          <w:tcPr>
            <w:tcW w:type="dxa" w:w="3135"/>
            <w:shd w:val="clear" w:color="auto" w:fill="DDEBF7"/>
          </w:tcPr>
          <w:p>
            <w:r>
              <w:rPr>
                <w:rFonts w:ascii="Meiryo UI" w:hAnsi="Meiryo UI"/>
                <w:sz w:val="18"/>
              </w:rPr>
              <w:t>≈ ¥4.5〜6.0兆</w:t>
            </w:r>
          </w:p>
        </w:tc>
        <w:tc>
          <w:tcPr>
            <w:tcW w:type="dxa" w:w="3135"/>
            <w:shd w:val="clear" w:color="auto" w:fill="DDEBF7"/>
          </w:tcPr>
          <w:p>
            <w:r>
              <w:rPr>
                <w:rFonts w:ascii="Meiryo UI" w:hAnsi="Meiryo UI"/>
                <w:sz w:val="18"/>
              </w:rPr>
              <w:t>運営中FPSO 15〜17基×残存年数×年間チャーターレート</w:t>
            </w:r>
          </w:p>
        </w:tc>
      </w:tr>
      <w:tr>
        <w:tc>
          <w:tcPr>
            <w:tcW w:type="dxa" w:w="3135"/>
          </w:tcPr>
          <w:p>
            <w:r>
              <w:rPr>
                <w:rFonts w:ascii="Meiryo UI" w:hAnsi="Meiryo UI"/>
                <w:sz w:val="18"/>
              </w:rPr>
              <w:t>合計</w:t>
            </w:r>
          </w:p>
        </w:tc>
        <w:tc>
          <w:tcPr>
            <w:tcW w:type="dxa" w:w="3135"/>
          </w:tcPr>
          <w:p>
            <w:r>
              <w:rPr>
                <w:rFonts w:ascii="Meiryo UI" w:hAnsi="Meiryo UI"/>
                <w:sz w:val="18"/>
              </w:rPr>
              <w:t>≈ ¥5.1〜6.8兆</w:t>
            </w:r>
          </w:p>
        </w:tc>
        <w:tc>
          <w:tcPr>
            <w:tcW w:type="dxa" w:w="3135"/>
          </w:tcPr>
          <w:p>
            <w:r>
              <w:rPr>
                <w:rFonts w:ascii="Meiryo UI" w:hAnsi="Meiryo UI"/>
                <w:sz w:val="18"/>
              </w:rPr>
            </w:r>
          </w:p>
        </w:tc>
      </w:tr>
    </w:tbl>
    <w:p/>
    <w:p>
      <w:pPr>
        <w:pStyle w:val="Heading3"/>
      </w:pPr>
      <w:r>
        <w:rPr>
          <w:rFonts w:ascii="Meiryo UI" w:hAnsi="Meiryo UI"/>
          <w:color w:val="2E74B5"/>
        </w:rPr>
        <w:t>FPSOオペレーション台数推移と5年見通し</w:t>
      </w:r>
    </w:p>
    <w:p/>
    <w:p>
      <w:pPr>
        <w:shd w:val="clear" w:color="auto" w:fill="F2F2F2"/>
      </w:pPr>
      <w:r>
        <w:rPr>
          <w:rFonts w:ascii="Courier New" w:hAnsi="Courier New"/>
          <w:sz w:val="16"/>
        </w:rPr>
        <w:t>オペレーション中FPSO台数推移（推定）:</w:t>
        <w:br/>
        <w:t>2022: 14基</w:t>
        <w:br/>
        <w:t>2023: 15基</w:t>
        <w:br/>
        <w:t>2024: 16基</w:t>
        <w:br/>
        <w:t>2025: 17基  ← 現在</w:t>
        <w:br/>
        <w:t>2026: 18基（Almirante Tamandare系完工予定）</w:t>
        <w:br/>
        <w:t>2027: 19〜20基（ガイアナ新規）</w:t>
        <w:br/>
        <w:t>2028: 20〜21基</w:t>
        <w:br/>
        <w:t>2029: 21〜22基（ペトロブラス新規2基）</w:t>
        <w:br/>
        <w:t>2030: 22〜23基</w:t>
      </w:r>
    </w:p>
    <w:p/>
    <w:p>
      <w:pPr>
        <w:pStyle w:val="Heading3"/>
      </w:pPr>
      <w:r>
        <w:rPr>
          <w:rFonts w:ascii="Meiryo UI" w:hAnsi="Meiryo UI"/>
          <w:color w:val="2E74B5"/>
        </w:rPr>
        <w:t>今後5年の収益見通し（O&amp;Mフェーズ中心）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推定O&amp;M収益</w:t>
            </w:r>
          </w:p>
        </w:tc>
        <w:tc>
          <w:tcPr>
            <w:tcW w:type="dxa" w:w="2351"/>
            <w:shd w:val="clear" w:color="auto" w:fill="2E74B5"/>
          </w:tcPr>
          <w:p>
            <w:r>
              <w:rPr>
                <w:rFonts w:ascii="Meiryo UI" w:hAnsi="Meiryo UI"/>
                <w:b/>
                <w:color w:val="FFFFFF"/>
                <w:sz w:val="18"/>
              </w:rPr>
              <w:t>推定EBIT</w:t>
            </w:r>
          </w:p>
        </w:tc>
        <w:tc>
          <w:tcPr>
            <w:tcW w:type="dxa" w:w="2351"/>
            <w:shd w:val="clear" w:color="auto" w:fill="2E74B5"/>
          </w:tcPr>
          <w:p>
            <w:r>
              <w:rPr>
                <w:rFonts w:ascii="Meiryo UI" w:hAnsi="Meiryo UI"/>
                <w:b/>
                <w:color w:val="FFFFFF"/>
                <w:sz w:val="18"/>
              </w:rPr>
              <w:t>前提</w:t>
            </w:r>
          </w:p>
        </w:tc>
      </w:tr>
      <w:tr>
        <w:tc>
          <w:tcPr>
            <w:tcW w:type="dxa" w:w="2351"/>
          </w:tcPr>
          <w:p>
            <w:r>
              <w:rPr>
                <w:rFonts w:ascii="Meiryo UI" w:hAnsi="Meiryo UI"/>
                <w:sz w:val="18"/>
              </w:rPr>
              <w:t>FY2026</w:t>
            </w:r>
          </w:p>
        </w:tc>
        <w:tc>
          <w:tcPr>
            <w:tcW w:type="dxa" w:w="2351"/>
          </w:tcPr>
          <w:p>
            <w:r>
              <w:rPr>
                <w:rFonts w:ascii="Meiryo UI" w:hAnsi="Meiryo UI"/>
                <w:sz w:val="18"/>
              </w:rPr>
              <w:t>≈ ¥2,000億</w:t>
            </w:r>
          </w:p>
        </w:tc>
        <w:tc>
          <w:tcPr>
            <w:tcW w:type="dxa" w:w="2351"/>
          </w:tcPr>
          <w:p>
            <w:r>
              <w:rPr>
                <w:rFonts w:ascii="Meiryo UI" w:hAnsi="Meiryo UI"/>
                <w:sz w:val="18"/>
              </w:rPr>
              <w:t>≈ ¥380億</w:t>
            </w:r>
          </w:p>
        </w:tc>
        <w:tc>
          <w:tcPr>
            <w:tcW w:type="dxa" w:w="2351"/>
          </w:tcPr>
          <w:p>
            <w:r>
              <w:rPr>
                <w:rFonts w:ascii="Meiryo UI" w:hAnsi="Meiryo UI"/>
                <w:sz w:val="18"/>
              </w:rPr>
              <w:t>17基フル稼働</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 ¥2,200億</w:t>
            </w:r>
          </w:p>
        </w:tc>
        <w:tc>
          <w:tcPr>
            <w:tcW w:type="dxa" w:w="2351"/>
            <w:shd w:val="clear" w:color="auto" w:fill="DDEBF7"/>
          </w:tcPr>
          <w:p>
            <w:r>
              <w:rPr>
                <w:rFonts w:ascii="Meiryo UI" w:hAnsi="Meiryo UI"/>
                <w:sz w:val="18"/>
              </w:rPr>
              <w:t>≈ ¥440億</w:t>
            </w:r>
          </w:p>
        </w:tc>
        <w:tc>
          <w:tcPr>
            <w:tcW w:type="dxa" w:w="2351"/>
            <w:shd w:val="clear" w:color="auto" w:fill="DDEBF7"/>
          </w:tcPr>
          <w:p>
            <w:r>
              <w:rPr>
                <w:rFonts w:ascii="Meiryo UI" w:hAnsi="Meiryo UI"/>
                <w:sz w:val="18"/>
              </w:rPr>
              <w:t>18〜19基</w:t>
            </w:r>
          </w:p>
        </w:tc>
      </w:tr>
      <w:tr>
        <w:tc>
          <w:tcPr>
            <w:tcW w:type="dxa" w:w="2351"/>
          </w:tcPr>
          <w:p>
            <w:r>
              <w:rPr>
                <w:rFonts w:ascii="Meiryo UI" w:hAnsi="Meiryo UI"/>
                <w:sz w:val="18"/>
              </w:rPr>
              <w:t>FY2028</w:t>
            </w:r>
          </w:p>
        </w:tc>
        <w:tc>
          <w:tcPr>
            <w:tcW w:type="dxa" w:w="2351"/>
          </w:tcPr>
          <w:p>
            <w:r>
              <w:rPr>
                <w:rFonts w:ascii="Meiryo UI" w:hAnsi="Meiryo UI"/>
                <w:sz w:val="18"/>
              </w:rPr>
              <w:t>≈ ¥2,400億</w:t>
            </w:r>
          </w:p>
        </w:tc>
        <w:tc>
          <w:tcPr>
            <w:tcW w:type="dxa" w:w="2351"/>
          </w:tcPr>
          <w:p>
            <w:r>
              <w:rPr>
                <w:rFonts w:ascii="Meiryo UI" w:hAnsi="Meiryo UI"/>
                <w:sz w:val="18"/>
              </w:rPr>
              <w:t>≈ ¥500億</w:t>
            </w:r>
          </w:p>
        </w:tc>
        <w:tc>
          <w:tcPr>
            <w:tcW w:type="dxa" w:w="2351"/>
          </w:tcPr>
          <w:p>
            <w:r>
              <w:rPr>
                <w:rFonts w:ascii="Meiryo UI" w:hAnsi="Meiryo UI"/>
                <w:sz w:val="18"/>
              </w:rPr>
              <w:t>19〜20基</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 ¥2,600億</w:t>
            </w:r>
          </w:p>
        </w:tc>
        <w:tc>
          <w:tcPr>
            <w:tcW w:type="dxa" w:w="2351"/>
            <w:shd w:val="clear" w:color="auto" w:fill="DDEBF7"/>
          </w:tcPr>
          <w:p>
            <w:r>
              <w:rPr>
                <w:rFonts w:ascii="Meiryo UI" w:hAnsi="Meiryo UI"/>
                <w:sz w:val="18"/>
              </w:rPr>
              <w:t>≈ ¥540億</w:t>
            </w:r>
          </w:p>
        </w:tc>
        <w:tc>
          <w:tcPr>
            <w:tcW w:type="dxa" w:w="2351"/>
            <w:shd w:val="clear" w:color="auto" w:fill="DDEBF7"/>
          </w:tcPr>
          <w:p>
            <w:r>
              <w:rPr>
                <w:rFonts w:ascii="Meiryo UI" w:hAnsi="Meiryo UI"/>
                <w:sz w:val="18"/>
              </w:rPr>
              <w:t>20〜21基</w:t>
            </w:r>
          </w:p>
        </w:tc>
      </w:tr>
      <w:tr>
        <w:tc>
          <w:tcPr>
            <w:tcW w:type="dxa" w:w="2351"/>
          </w:tcPr>
          <w:p>
            <w:r>
              <w:rPr>
                <w:rFonts w:ascii="Meiryo UI" w:hAnsi="Meiryo UI"/>
                <w:sz w:val="18"/>
              </w:rPr>
              <w:t>FY2030</w:t>
            </w:r>
          </w:p>
        </w:tc>
        <w:tc>
          <w:tcPr>
            <w:tcW w:type="dxa" w:w="2351"/>
          </w:tcPr>
          <w:p>
            <w:r>
              <w:rPr>
                <w:rFonts w:ascii="Meiryo UI" w:hAnsi="Meiryo UI"/>
                <w:sz w:val="18"/>
              </w:rPr>
              <w:t>≈ ¥2,800億</w:t>
            </w:r>
          </w:p>
        </w:tc>
        <w:tc>
          <w:tcPr>
            <w:tcW w:type="dxa" w:w="2351"/>
          </w:tcPr>
          <w:p>
            <w:r>
              <w:rPr>
                <w:rFonts w:ascii="Meiryo UI" w:hAnsi="Meiryo UI"/>
                <w:sz w:val="18"/>
              </w:rPr>
              <w:t>≈ ¥580億</w:t>
            </w:r>
          </w:p>
        </w:tc>
        <w:tc>
          <w:tcPr>
            <w:tcW w:type="dxa" w:w="2351"/>
          </w:tcPr>
          <w:p>
            <w:r>
              <w:rPr>
                <w:rFonts w:ascii="Meiryo UI" w:hAnsi="Meiryo UI"/>
                <w:sz w:val="18"/>
              </w:rPr>
              <w:t>21〜22基</w:t>
            </w:r>
          </w:p>
        </w:tc>
      </w:tr>
    </w:tbl>
    <w:p/>
    <w:p>
      <w:r>
        <w:rPr>
          <w:rFonts w:ascii="Meiryo UI" w:hAnsi="Meiryo UI"/>
          <w:sz w:val="20"/>
        </w:rPr>
        <w:t>&gt; EPC収益はバックログ消化タイミングに依存し変動するが、O&amp;M積み上げにより全体売上はFY2030に向けて年率7〜9%成長軌道を維持する可能性が高い。</w:t>
      </w:r>
    </w:p>
    <w:p/>
    <w:p>
      <w:r>
        <w:t>──────────────────────────────────────────────────</w:t>
      </w:r>
    </w:p>
    <w:p/>
    <w:p>
      <w:pPr>
        <w:pStyle w:val="Heading2"/>
      </w:pPr>
      <w:r>
        <w:rPr>
          <w:rFonts w:ascii="Meiryo UI" w:hAnsi="Meiryo UI"/>
          <w:color w:val="2E74B5"/>
        </w:rPr>
        <w:t>③ ブラジル・ペトロブラスとの関係</w:t>
      </w:r>
    </w:p>
    <w:p/>
    <w:p>
      <w:pPr>
        <w:pStyle w:val="Heading3"/>
      </w:pPr>
      <w:r>
        <w:rPr>
          <w:rFonts w:ascii="Meiryo UI" w:hAnsi="Meiryo UI"/>
          <w:color w:val="2E74B5"/>
        </w:rPr>
        <w:t>受注シェア・依存度</w:t>
      </w:r>
    </w:p>
    <w:p/>
    <w:p>
      <w:r>
        <w:rPr>
          <w:rFonts w:ascii="Meiryo UI" w:hAnsi="Meiryo UI"/>
          <w:sz w:val="20"/>
        </w:rPr>
        <w:t>ペトロブラスはMODECにとって単一最大顧客であり、売上の推定40〜55%を占める。具体的には：</w:t>
      </w:r>
    </w:p>
    <w:p/>
    <w:p>
      <w:pPr>
        <w:pStyle w:val="ListBullet"/>
      </w:pPr>
      <w:r>
        <w:rPr>
          <w:rFonts w:ascii="Meiryo UI" w:hAnsi="Meiryo UI"/>
          <w:sz w:val="20"/>
        </w:rPr>
        <w:t>運営中FPSO（ペトロブラス向け）: 推定8〜10基（全17基の約50〜60%）</w:t>
      </w:r>
    </w:p>
    <w:p>
      <w:pPr>
        <w:pStyle w:val="ListBullet"/>
      </w:pPr>
      <w:r>
        <w:rPr>
          <w:rFonts w:ascii="Meiryo UI" w:hAnsi="Meiryo UI"/>
          <w:sz w:val="20"/>
        </w:rPr>
        <w:t>累積EPC受注実績: ペトロブラスから累計15基以上の受注実績（業界トップ）</w:t>
      </w:r>
    </w:p>
    <w:p/>
    <w:p>
      <w:pPr>
        <w:pStyle w:val="Heading3"/>
      </w:pPr>
      <w:r>
        <w:rPr>
          <w:rFonts w:ascii="Meiryo UI" w:hAnsi="Meiryo UI"/>
          <w:color w:val="2E74B5"/>
        </w:rPr>
        <w:t>契約更新リスクの評価</w:t>
      </w:r>
    </w:p>
    <w:p/>
    <w:p>
      <w:pPr>
        <w:shd w:val="clear" w:color="auto" w:fill="F2F2F2"/>
      </w:pPr>
      <w:r>
        <w:rPr>
          <w:rFonts w:ascii="Courier New" w:hAnsi="Courier New"/>
          <w:sz w:val="16"/>
        </w:rPr>
        <w:t>リスク要因:</w:t>
        <w:br/>
        <w:t>1. ペトロブラス財務悪化リスク → 現在は原油高恩恵で財務健全（ネット有利子負債/EBITDA ≈ 1.0x）</w:t>
        <w:br/>
        <w:t>2. ブラジル政府の国産化率要求（Local Content）→ MODECは現地法人MODEC Serviços Ltd.で対応済み</w:t>
        <w:br/>
        <w:t>3. 新CEO就任による戦略転換リスク → Sergio Caetano Leite体制（2025〜）は既存戦略継続方針</w:t>
        <w:br/>
        <w:br/>
        <w:t>契約更新実績:</w:t>
        <w:br/>
        <w:t>- FPSO Cidade de Niteroi: 2007年契約→2022年延長（15年→20年超）→ 良好実績</w:t>
        <w:br/>
        <w:t>- FPSO Cidade de Anchieta: 同様に延長実績</w:t>
        <w:br/>
        <w:t>→ ペトロブラスによるFPSO契約打ち切りの実例は過去25年間で存在しない</w:t>
      </w:r>
    </w:p>
    <w:p/>
    <w:p>
      <w:pPr>
        <w:pStyle w:val="Heading3"/>
      </w:pPr>
      <w:r>
        <w:rPr>
          <w:rFonts w:ascii="Meiryo UI" w:hAnsi="Meiryo UI"/>
          <w:color w:val="2E74B5"/>
        </w:rPr>
        <w:t>ガイアナ等新規深海油田への展開</w:t>
      </w:r>
    </w:p>
    <w:p/>
    <w:p>
      <w:r>
        <w:rPr>
          <w:rFonts w:ascii="Meiryo UI" w:hAnsi="Meiryo UI"/>
          <w:sz w:val="20"/>
        </w:rPr>
        <w:t>ExxonMobil主導のガイアナ・スタブルック油田はMODECの地理的分散化の核心：</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油田規模</w:t>
            </w:r>
          </w:p>
        </w:tc>
        <w:tc>
          <w:tcPr>
            <w:tcW w:type="dxa" w:w="4703"/>
          </w:tcPr>
          <w:p>
            <w:r>
              <w:rPr>
                <w:rFonts w:ascii="Meiryo UI" w:hAnsi="Meiryo UI"/>
                <w:sz w:val="18"/>
              </w:rPr>
              <w:t>推定可採埋蔵量 110億バレル（世界最大級の新規発見）</w:t>
            </w:r>
          </w:p>
        </w:tc>
      </w:tr>
      <w:tr>
        <w:tc>
          <w:tcPr>
            <w:tcW w:type="dxa" w:w="4703"/>
            <w:shd w:val="clear" w:color="auto" w:fill="DDEBF7"/>
          </w:tcPr>
          <w:p>
            <w:r>
              <w:rPr>
                <w:rFonts w:ascii="Meiryo UI" w:hAnsi="Meiryo UI"/>
                <w:sz w:val="18"/>
              </w:rPr>
              <w:t>FPSO需要</w:t>
            </w:r>
          </w:p>
        </w:tc>
        <w:tc>
          <w:tcPr>
            <w:tcW w:type="dxa" w:w="4703"/>
            <w:shd w:val="clear" w:color="auto" w:fill="DDEBF7"/>
          </w:tcPr>
          <w:p>
            <w:r>
              <w:rPr>
                <w:rFonts w:ascii="Meiryo UI" w:hAnsi="Meiryo UI"/>
                <w:sz w:val="18"/>
              </w:rPr>
              <w:t>2030年までに最大10基のFPSOが必要（現在Liza Phase 1/2稼働中）</w:t>
            </w:r>
          </w:p>
        </w:tc>
      </w:tr>
      <w:tr>
        <w:tc>
          <w:tcPr>
            <w:tcW w:type="dxa" w:w="4703"/>
          </w:tcPr>
          <w:p>
            <w:r>
              <w:rPr>
                <w:rFonts w:ascii="Meiryo UI" w:hAnsi="Meiryo UI"/>
                <w:sz w:val="18"/>
              </w:rPr>
              <w:t>MODECの関与</w:t>
            </w:r>
          </w:p>
        </w:tc>
        <w:tc>
          <w:tcPr>
            <w:tcW w:type="dxa" w:w="4703"/>
          </w:tcPr>
          <w:p>
            <w:r>
              <w:rPr>
                <w:rFonts w:ascii="Meiryo UI" w:hAnsi="Meiryo UI"/>
                <w:sz w:val="18"/>
              </w:rPr>
              <w:t>Prosperity号（Liza Phase 2）オペレーター受注・運営中</w:t>
            </w:r>
          </w:p>
        </w:tc>
      </w:tr>
      <w:tr>
        <w:tc>
          <w:tcPr>
            <w:tcW w:type="dxa" w:w="4703"/>
            <w:shd w:val="clear" w:color="auto" w:fill="DDEBF7"/>
          </w:tcPr>
          <w:p>
            <w:r>
              <w:rPr>
                <w:rFonts w:ascii="Meiryo UI" w:hAnsi="Meiryo UI"/>
                <w:sz w:val="18"/>
              </w:rPr>
              <w:t>追加受注可能性</w:t>
            </w:r>
          </w:p>
        </w:tc>
        <w:tc>
          <w:tcPr>
            <w:tcW w:type="dxa" w:w="4703"/>
            <w:shd w:val="clear" w:color="auto" w:fill="DDEBF7"/>
          </w:tcPr>
          <w:p>
            <w:r>
              <w:rPr>
                <w:rFonts w:ascii="Meiryo UI" w:hAnsi="Meiryo UI"/>
                <w:sz w:val="18"/>
              </w:rPr>
              <w:t>2026〜2028年に2〜3基の追加FPSO入札予定、MODECは有力候補</w:t>
            </w:r>
          </w:p>
        </w:tc>
      </w:tr>
    </w:tbl>
    <w:p/>
    <w:p>
      <w:r>
        <w:rPr>
          <w:rFonts w:ascii="Meiryo UI" w:hAnsi="Meiryo UI"/>
          <w:sz w:val="20"/>
        </w:rPr>
        <w:t>&gt; ガイアナ案件が具体化すれば、ペトロブラス依存度は2030年までに35〜40%へ低下し、地政学リスク分散が進む。</w:t>
      </w:r>
    </w:p>
    <w:p/>
    <w:p>
      <w:r>
        <w:t>──────────────────────────────────────────────────</w:t>
      </w:r>
    </w:p>
    <w:p/>
    <w:p>
      <w:pPr>
        <w:pStyle w:val="Heading2"/>
      </w:pPr>
      <w:r>
        <w:rPr>
          <w:rFonts w:ascii="Meiryo UI" w:hAnsi="Meiryo UI"/>
          <w:color w:val="2E74B5"/>
        </w:rPr>
        <w:t>④ INPEX有事プレミアム消滅後の業績影響</w:t>
      </w:r>
    </w:p>
    <w:p/>
    <w:p>
      <w:r>
        <w:rPr>
          <w:rFonts w:ascii="Meiryo UI" w:hAnsi="Meiryo UI"/>
          <w:sz w:val="20"/>
        </w:rPr>
        <w:t>社長指示にあるINPEX最新スコア（-95〜-100水準）は中東・アジア系エネルギー株の地政学プレミアム剥落シグナルと解釈する。</w:t>
      </w:r>
    </w:p>
    <w:p/>
    <w:p>
      <w:r>
        <w:rPr>
          <w:rFonts w:ascii="Meiryo UI" w:hAnsi="Meiryo UI"/>
          <w:sz w:val="20"/>
        </w:rPr>
        <w:t>MODECへの影響評価:</w:t>
      </w:r>
    </w:p>
    <w:p/>
    <w:p>
      <w:pPr>
        <w:shd w:val="clear" w:color="auto" w:fill="F2F2F2"/>
      </w:pPr>
      <w:r>
        <w:rPr>
          <w:rFonts w:ascii="Courier New" w:hAnsi="Courier New"/>
          <w:sz w:val="16"/>
        </w:rPr>
        <w:t>直接影響（限定的）:</w:t>
        <w:br/>
        <w:t>- MODECのINPEX向け売上比率: ≈ 2〜5%（主にアジア案件のFSO/FPSO）</w:t>
        <w:br/>
        <w:t>- 有事プレミアム消滅 = 原油価格下落要因 → MODECへの間接影響</w:t>
        <w:br/>
        <w:br/>
        <w:t>O&amp;Mフェーズの遮断構造:</w:t>
        <w:br/>
        <w:t>- 既存O&amp;M契約は固定チャーターレート → 原油$60急落シナリオでもO&amp;M収益は変動なし</w:t>
        <w:br/>
        <w:t>- EPC新規受注ペースは減速リスクあり（原油安局面では顧客の投資判断が慎重化）</w:t>
        <w:br/>
        <w:br/>
        <w:t>定量影響試算（INPEX有事プレミアム消滅 = WTI -20%想定）:</w:t>
        <w:br/>
        <w:t>- O&amp;M収益影響: ¥0〜▲10億（直接ほぼゼロ）</w:t>
        <w:br/>
        <w:t>- EPC新規受注影響: 最大▲500〜▲1,000億（バックログ積み上げ減速）</w:t>
        <w:br/>
        <w:t>- 株価影響（センチメント含む）: ▲5〜▲15%（一時的）</w:t>
      </w:r>
    </w:p>
    <w:p/>
    <w:p>
      <w:r>
        <w:rPr>
          <w:rFonts w:ascii="Meiryo UI" w:hAnsi="Meiryo UI"/>
          <w:sz w:val="20"/>
        </w:rPr>
        <w:t>&gt; 結論④: MODECはINPEX有事プレミアム消滅の直接被害をほぼ受けない。ただし市場センチメントによるセクター全体売りに巻き込まれるリスクは存在し、そのタイミングが押し目買い機会となり得る。</w:t>
      </w:r>
    </w:p>
    <w:p/>
    <w:p>
      <w:r>
        <w:t>──────────────────────────────────────────────────</w:t>
      </w:r>
    </w:p>
    <w:p/>
    <w:p>
      <w:pPr>
        <w:pStyle w:val="Heading2"/>
      </w:pPr>
      <w:r>
        <w:rPr>
          <w:rFonts w:ascii="Meiryo UI" w:hAnsi="Meiryo UI"/>
          <w:color w:val="2E74B5"/>
        </w:rPr>
        <w:t>⑤ 不動産含み益NAV算出（造船所・設備・土地）</w:t>
      </w:r>
    </w:p>
    <w:p/>
    <w:p>
      <w:r>
        <w:rPr>
          <w:rFonts w:ascii="Meiryo UI" w:hAnsi="Meiryo UI"/>
          <w:sz w:val="20"/>
        </w:rPr>
        <w:t>MODECは造船所を直接保有しないビジネスモデル（建造は中国・韓国の造船所にサブコン）だが、以下の有形資産を保有する：</w:t>
      </w:r>
    </w:p>
    <w:p/>
    <w:p>
      <w:pPr>
        <w:pStyle w:val="Heading3"/>
      </w:pPr>
      <w:r>
        <w:rPr>
          <w:rFonts w:ascii="Meiryo UI" w:hAnsi="Meiryo UI"/>
          <w:color w:val="2E74B5"/>
        </w:rPr>
        <w:t>NAV算出テーブル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資産カテゴリ</w:t>
            </w:r>
          </w:p>
        </w:tc>
        <w:tc>
          <w:tcPr>
            <w:tcW w:type="dxa" w:w="2351"/>
            <w:shd w:val="clear" w:color="auto" w:fill="2E74B5"/>
          </w:tcPr>
          <w:p>
            <w:r>
              <w:rPr>
                <w:rFonts w:ascii="Meiryo UI" w:hAnsi="Meiryo UI"/>
                <w:b/>
                <w:color w:val="FFFFFF"/>
                <w:sz w:val="18"/>
              </w:rPr>
              <w:t>帳簿価額（推定）</w:t>
            </w:r>
          </w:p>
        </w:tc>
        <w:tc>
          <w:tcPr>
            <w:tcW w:type="dxa" w:w="2351"/>
            <w:shd w:val="clear" w:color="auto" w:fill="2E74B5"/>
          </w:tcPr>
          <w:p>
            <w:r>
              <w:rPr>
                <w:rFonts w:ascii="Meiryo UI" w:hAnsi="Meiryo UI"/>
                <w:b/>
                <w:color w:val="FFFFFF"/>
                <w:sz w:val="18"/>
              </w:rPr>
              <w:t>時価評価（推定）</w:t>
            </w:r>
          </w:p>
        </w:tc>
        <w:tc>
          <w:tcPr>
            <w:tcW w:type="dxa" w:w="2351"/>
            <w:shd w:val="clear" w:color="auto" w:fill="2E74B5"/>
          </w:tcPr>
          <w:p>
            <w:r>
              <w:rPr>
                <w:rFonts w:ascii="Meiryo UI" w:hAnsi="Meiryo UI"/>
                <w:b/>
                <w:color w:val="FFFFFF"/>
                <w:sz w:val="18"/>
              </w:rPr>
              <w:t>含み益（推定）</w:t>
            </w:r>
          </w:p>
        </w:tc>
      </w:tr>
      <w:tr>
        <w:tc>
          <w:tcPr>
            <w:tcW w:type="dxa" w:w="2351"/>
          </w:tcPr>
          <w:p>
            <w:r>
              <w:rPr>
                <w:rFonts w:ascii="Meiryo UI" w:hAnsi="Meiryo UI"/>
                <w:sz w:val="18"/>
              </w:rPr>
              <w:t>FPSO船体・設備（稼働中17基の持分）</w:t>
            </w:r>
          </w:p>
        </w:tc>
        <w:tc>
          <w:tcPr>
            <w:tcW w:type="dxa" w:w="2351"/>
          </w:tcPr>
          <w:p>
            <w:r>
              <w:rPr>
                <w:rFonts w:ascii="Meiryo UI" w:hAnsi="Meiryo UI"/>
                <w:sz w:val="18"/>
              </w:rPr>
              <w:t>¥4,200億</w:t>
            </w:r>
          </w:p>
        </w:tc>
        <w:tc>
          <w:tcPr>
            <w:tcW w:type="dxa" w:w="2351"/>
          </w:tcPr>
          <w:p>
            <w:r>
              <w:rPr>
                <w:rFonts w:ascii="Meiryo UI" w:hAnsi="Meiryo UI"/>
                <w:sz w:val="18"/>
              </w:rPr>
              <w:t>¥5,800〜6,500億</w:t>
            </w:r>
          </w:p>
        </w:tc>
        <w:tc>
          <w:tcPr>
            <w:tcW w:type="dxa" w:w="2351"/>
          </w:tcPr>
          <w:p>
            <w:r>
              <w:rPr>
                <w:rFonts w:ascii="Meiryo UI" w:hAnsi="Meiryo UI"/>
                <w:sz w:val="18"/>
              </w:rPr>
              <w:t>¥1,600〜2,300億</w:t>
            </w:r>
          </w:p>
        </w:tc>
      </w:tr>
      <w:tr>
        <w:tc>
          <w:tcPr>
            <w:tcW w:type="dxa" w:w="2351"/>
            <w:shd w:val="clear" w:color="auto" w:fill="DDEBF7"/>
          </w:tcPr>
          <w:p>
            <w:r>
              <w:rPr>
                <w:rFonts w:ascii="Meiryo UI" w:hAnsi="Meiryo UI"/>
                <w:sz w:val="18"/>
              </w:rPr>
              <w:t>建設中FPSO（SPC持分含む）</w:t>
            </w:r>
          </w:p>
        </w:tc>
        <w:tc>
          <w:tcPr>
            <w:tcW w:type="dxa" w:w="2351"/>
            <w:shd w:val="clear" w:color="auto" w:fill="DDEBF7"/>
          </w:tcPr>
          <w:p>
            <w:r>
              <w:rPr>
                <w:rFonts w:ascii="Meiryo UI" w:hAnsi="Meiryo UI"/>
                <w:sz w:val="18"/>
              </w:rPr>
              <w:t>¥1,800億</w:t>
            </w:r>
          </w:p>
        </w:tc>
        <w:tc>
          <w:tcPr>
            <w:tcW w:type="dxa" w:w="2351"/>
            <w:shd w:val="clear" w:color="auto" w:fill="DDEBF7"/>
          </w:tcPr>
          <w:p>
            <w:r>
              <w:rPr>
                <w:rFonts w:ascii="Meiryo UI" w:hAnsi="Meiryo UI"/>
                <w:sz w:val="18"/>
              </w:rPr>
              <w:t>¥2,200〜2,500億</w:t>
            </w:r>
          </w:p>
        </w:tc>
        <w:tc>
          <w:tcPr>
            <w:tcW w:type="dxa" w:w="2351"/>
            <w:shd w:val="clear" w:color="auto" w:fill="DDEBF7"/>
          </w:tcPr>
          <w:p>
            <w:r>
              <w:rPr>
                <w:rFonts w:ascii="Meiryo UI" w:hAnsi="Meiryo UI"/>
                <w:sz w:val="18"/>
              </w:rPr>
              <w:t>¥400〜700億</w:t>
            </w:r>
          </w:p>
        </w:tc>
      </w:tr>
      <w:tr>
        <w:tc>
          <w:tcPr>
            <w:tcW w:type="dxa" w:w="2351"/>
          </w:tcPr>
          <w:p>
            <w:r>
              <w:rPr>
                <w:rFonts w:ascii="Meiryo UI" w:hAnsi="Meiryo UI"/>
                <w:sz w:val="18"/>
              </w:rPr>
              <w:t>本社・事務所・機器</w:t>
            </w:r>
          </w:p>
        </w:tc>
        <w:tc>
          <w:tcPr>
            <w:tcW w:type="dxa" w:w="2351"/>
          </w:tcPr>
          <w:p>
            <w:r>
              <w:rPr>
                <w:rFonts w:ascii="Meiryo UI" w:hAnsi="Meiryo UI"/>
                <w:sz w:val="18"/>
              </w:rPr>
              <w:t>¥250億</w:t>
            </w:r>
          </w:p>
        </w:tc>
        <w:tc>
          <w:tcPr>
            <w:tcW w:type="dxa" w:w="2351"/>
          </w:tcPr>
          <w:p>
            <w:r>
              <w:rPr>
                <w:rFonts w:ascii="Meiryo UI" w:hAnsi="Meiryo UI"/>
                <w:sz w:val="18"/>
              </w:rPr>
              <w:t>¥300〜380億</w:t>
            </w:r>
          </w:p>
        </w:tc>
        <w:tc>
          <w:tcPr>
            <w:tcW w:type="dxa" w:w="2351"/>
          </w:tcPr>
          <w:p>
            <w:r>
              <w:rPr>
                <w:rFonts w:ascii="Meiryo UI" w:hAnsi="Meiryo UI"/>
                <w:sz w:val="18"/>
              </w:rPr>
              <w:t>¥50〜130億</w:t>
            </w:r>
          </w:p>
        </w:tc>
      </w:tr>
      <w:tr>
        <w:tc>
          <w:tcPr>
            <w:tcW w:type="dxa" w:w="2351"/>
            <w:shd w:val="clear" w:color="auto" w:fill="DDEBF7"/>
          </w:tcPr>
          <w:p>
            <w:r>
              <w:rPr>
                <w:rFonts w:ascii="Meiryo UI" w:hAnsi="Meiryo UI"/>
                <w:sz w:val="18"/>
              </w:rPr>
              <w:t>土地（東京・横浜拠点）</w:t>
            </w:r>
          </w:p>
        </w:tc>
        <w:tc>
          <w:tcPr>
            <w:tcW w:type="dxa" w:w="2351"/>
            <w:shd w:val="clear" w:color="auto" w:fill="DDEBF7"/>
          </w:tcPr>
          <w:p>
            <w:r>
              <w:rPr>
                <w:rFonts w:ascii="Meiryo UI" w:hAnsi="Meiryo UI"/>
                <w:sz w:val="18"/>
              </w:rPr>
              <w:t>¥80億</w:t>
            </w:r>
          </w:p>
        </w:tc>
        <w:tc>
          <w:tcPr>
            <w:tcW w:type="dxa" w:w="2351"/>
            <w:shd w:val="clear" w:color="auto" w:fill="DDEBF7"/>
          </w:tcPr>
          <w:p>
            <w:r>
              <w:rPr>
                <w:rFonts w:ascii="Meiryo UI" w:hAnsi="Meiryo UI"/>
                <w:sz w:val="18"/>
              </w:rPr>
              <w:t>¥140〜180億</w:t>
            </w:r>
          </w:p>
        </w:tc>
        <w:tc>
          <w:tcPr>
            <w:tcW w:type="dxa" w:w="2351"/>
            <w:shd w:val="clear" w:color="auto" w:fill="DDEBF7"/>
          </w:tcPr>
          <w:p>
            <w:r>
              <w:rPr>
                <w:rFonts w:ascii="Meiryo UI" w:hAnsi="Meiryo UI"/>
                <w:sz w:val="18"/>
              </w:rPr>
              <w:t>¥60〜100億</w:t>
            </w:r>
          </w:p>
        </w:tc>
      </w:tr>
      <w:tr>
        <w:tc>
          <w:tcPr>
            <w:tcW w:type="dxa" w:w="2351"/>
          </w:tcPr>
          <w:p>
            <w:r>
              <w:rPr>
                <w:rFonts w:ascii="Meiryo UI" w:hAnsi="Meiryo UI"/>
                <w:sz w:val="18"/>
              </w:rPr>
              <w:t>SPC出資金・長期投資</w:t>
            </w:r>
          </w:p>
        </w:tc>
        <w:tc>
          <w:tcPr>
            <w:tcW w:type="dxa" w:w="2351"/>
          </w:tcPr>
          <w:p>
            <w:r>
              <w:rPr>
                <w:rFonts w:ascii="Meiryo UI" w:hAnsi="Meiryo UI"/>
                <w:sz w:val="18"/>
              </w:rPr>
              <w:t>¥620億</w:t>
            </w:r>
          </w:p>
        </w:tc>
        <w:tc>
          <w:tcPr>
            <w:tcW w:type="dxa" w:w="2351"/>
          </w:tcPr>
          <w:p>
            <w:r>
              <w:rPr>
                <w:rFonts w:ascii="Meiryo UI" w:hAnsi="Meiryo UI"/>
                <w:sz w:val="18"/>
              </w:rPr>
              <w:t>¥750〜900億</w:t>
            </w:r>
          </w:p>
        </w:tc>
        <w:tc>
          <w:tcPr>
            <w:tcW w:type="dxa" w:w="2351"/>
          </w:tcPr>
          <w:p>
            <w:r>
              <w:rPr>
                <w:rFonts w:ascii="Meiryo UI" w:hAnsi="Meiryo UI"/>
                <w:sz w:val="18"/>
              </w:rPr>
              <w:t>¥130〜280億</w:t>
            </w:r>
          </w:p>
        </w:tc>
      </w:tr>
      <w:tr>
        <w:tc>
          <w:tcPr>
            <w:tcW w:type="dxa" w:w="2351"/>
            <w:shd w:val="clear" w:color="auto" w:fill="DDEBF7"/>
          </w:tcPr>
          <w:p>
            <w:r>
              <w:rPr>
                <w:rFonts w:ascii="Meiryo UI" w:hAnsi="Meiryo UI"/>
                <w:sz w:val="18"/>
              </w:rPr>
              <w:t>合計含み益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¥2,240〜3,510億</w:t>
            </w:r>
          </w:p>
        </w:tc>
      </w:tr>
    </w:tbl>
    <w:p/>
    <w:p>
      <w:r>
        <w:rPr>
          <w:rFonts w:ascii="Meiryo UI" w:hAnsi="Meiryo UI"/>
          <w:sz w:val="20"/>
        </w:rPr>
        <w:t>発行済株式数: 約3,400万株（推定）</w:t>
      </w:r>
    </w:p>
    <w:p/>
    <w:p>
      <w:r>
        <w:rPr>
          <w:rFonts w:ascii="Meiryo UI" w:hAnsi="Meiryo UI"/>
          <w:sz w:val="20"/>
        </w:rPr>
        <w:t>含み益の一株換算:</w:t>
      </w:r>
    </w:p>
    <w:p>
      <w:pPr>
        <w:shd w:val="clear" w:color="auto" w:fill="F2F2F2"/>
      </w:pPr>
      <w:r>
        <w:rPr>
          <w:rFonts w:ascii="Courier New" w:hAnsi="Courier New"/>
          <w:sz w:val="16"/>
        </w:rPr>
        <w:t>含み益 ¥2,240〜3,510億 ÷ 3,400万株 = ¥6,590〜¥10,320/株</w:t>
      </w:r>
    </w:p>
    <w:p/>
    <w:p>
      <w:r>
        <w:rPr>
          <w:rFonts w:ascii="Meiryo UI" w:hAnsi="Meiryo UI"/>
          <w:sz w:val="20"/>
        </w:rPr>
        <w:t>NAV（純資産価値）:</w:t>
      </w:r>
    </w:p>
    <w:p>
      <w:pPr>
        <w:shd w:val="clear" w:color="auto" w:fill="F2F2F2"/>
      </w:pPr>
      <w:r>
        <w:rPr>
          <w:rFonts w:ascii="Courier New" w:hAnsi="Courier New"/>
          <w:sz w:val="16"/>
        </w:rPr>
        <w:t>BPS（公表値）: ¥3,328</w:t>
        <w:br/>
        <w:t>+ 含み益/株: ¥6,590〜¥10,320</w:t>
        <w:br/>
        <w:t>= NAV/株: ¥9,918〜¥13,648</w:t>
        <w:br/>
        <w:br/>
        <w:t>現在株価 ¥15,450 vs NAV ¥9,918〜¥13,648</w:t>
        <w:br/>
        <w:t>→ NAV対比プレミアム: +13〜+56%</w:t>
      </w:r>
    </w:p>
    <w:p/>
    <w:p>
      <w:r>
        <w:rPr>
          <w:rFonts w:ascii="Meiryo UI" w:hAnsi="Meiryo UI"/>
          <w:sz w:val="20"/>
        </w:rPr>
        <w:t>&gt; 注: MODECの高ROE（30.6%）を考慮すると、NAVプレミアムは正当化される。ただし有形資産の時価評価はFPSO市場の中古船価（稼働年数・仕様依存）により大幅に変動するため、NAV分析はあくまで参考値。</w:t>
      </w:r>
    </w:p>
    <w:p/>
    <w:p>
      <w:r>
        <w:t>──────────────────────────────────────────────────</w:t>
      </w:r>
    </w:p>
    <w:p/>
    <w:p>
      <w:pPr>
        <w:pStyle w:val="Heading2"/>
      </w:pPr>
      <w:r>
        <w:rPr>
          <w:rFonts w:ascii="Meiryo UI" w:hAnsi="Meiryo UI"/>
          <w:color w:val="2E74B5"/>
        </w:rPr>
        <w:t>⑥ DCF FairValue算出（シナリオ別）</w:t>
      </w:r>
    </w:p>
    <w:p/>
    <w:p>
      <w:pPr>
        <w:pStyle w:val="Heading3"/>
      </w:pPr>
      <w:r>
        <w:rPr>
          <w:rFonts w:ascii="Meiryo UI" w:hAnsi="Meiryo UI"/>
          <w:color w:val="2E74B5"/>
        </w:rPr>
        <w:t>WACC前提設定</w:t>
      </w:r>
    </w:p>
    <w:p/>
    <w:p>
      <w:pPr>
        <w:shd w:val="clear" w:color="auto" w:fill="F2F2F2"/>
      </w:pPr>
      <w:r>
        <w:rPr>
          <w:rFonts w:ascii="Courier New" w:hAnsi="Courier New"/>
          <w:sz w:val="16"/>
        </w:rPr>
        <w:t>【WACC計算前提】</w:t>
        <w:br/>
        <w:t>Rf: 2.386%（日本10年国債 2026-04-07）</w:t>
        <w:br/>
        <w:t>β: 0.85（FPSO長期契約で市場連動低減、ブラジル・ガイアナ集中で若干上昇）</w:t>
        <w:br/>
        <w:t>ERP: 5.5%（日本株式リスクプレミアム、市場コンセンサス）</w:t>
        <w:br/>
        <w:t>Re: 2.386% + 0.85 × 5.5% = 2.386% + 4.675% = 7.06%</w:t>
        <w:br/>
        <w:br/>
        <w:t>D/(D+E): 40%（FPSO SPCファイナンス含むと実質的レバレッジ高め）</w:t>
        <w:br/>
        <w:t>E/(D+E): 60%</w:t>
        <w:br/>
        <w:t>Rd: 3.0%（有利子負債コスト、三井グループ信用力で低位）</w:t>
        <w:br/>
        <w:t>Tc: 30%（実効税率）</w:t>
        <w:br/>
        <w:br/>
        <w:t>WACC = 60% × 7.06% + 40% × 3.0% × (1-0.30)</w:t>
        <w:br/>
        <w:t xml:space="preserve">      = 4.236% + 0.840%</w:t>
        <w:br/>
        <w:t xml:space="preserve">      = 5.08% ≈ 5.1%</w:t>
      </w:r>
    </w:p>
    <w:p/>
    <w:p>
      <w:pPr>
        <w:pStyle w:val="Heading3"/>
      </w:pPr>
      <w:r>
        <w:rPr>
          <w:rFonts w:ascii="Meiryo UI" w:hAnsi="Meiryo UI"/>
          <w:color w:val="2E74B5"/>
        </w:rPr>
        <w:t>シナリオ別DCFモデル</w:t>
      </w:r>
    </w:p>
    <w:p/>
    <w:p>
      <w:pPr>
        <w:pStyle w:val="Heading4"/>
      </w:pPr>
      <w:r>
        <w:rPr>
          <w:rFonts w:ascii="Meiryo UI" w:hAnsi="Meiryo UI"/>
          <w:color w:val="2E74B5"/>
        </w:rPr>
        <w:t>【基本ケース】 WTI $80〜$90 / バックログ消化 標準ペース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FCF推定（億円）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FY2026</w:t>
            </w:r>
          </w:p>
        </w:tc>
        <w:tc>
          <w:tcPr>
            <w:tcW w:type="dxa" w:w="2351"/>
          </w:tcPr>
          <w:p>
            <w:r>
              <w:rPr>
                <w:rFonts w:ascii="Meiryo UI" w:hAnsi="Meiryo UI"/>
                <w:sz w:val="18"/>
              </w:rPr>
              <w:t>420</w:t>
            </w:r>
          </w:p>
        </w:tc>
        <w:tc>
          <w:tcPr>
            <w:tcW w:type="dxa" w:w="2351"/>
          </w:tcPr>
          <w:p>
            <w:r>
              <w:rPr>
                <w:rFonts w:ascii="Meiryo UI" w:hAnsi="Meiryo UI"/>
                <w:sz w:val="18"/>
              </w:rPr>
              <w:t>1.051</w:t>
            </w:r>
          </w:p>
        </w:tc>
        <w:tc>
          <w:tcPr>
            <w:tcW w:type="dxa" w:w="2351"/>
          </w:tcPr>
          <w:p>
            <w:r>
              <w:rPr>
                <w:rFonts w:ascii="Meiryo UI" w:hAnsi="Meiryo UI"/>
                <w:sz w:val="18"/>
              </w:rPr>
              <w:t>400</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480</w:t>
            </w:r>
          </w:p>
        </w:tc>
        <w:tc>
          <w:tcPr>
            <w:tcW w:type="dxa" w:w="2351"/>
            <w:shd w:val="clear" w:color="auto" w:fill="DDEBF7"/>
          </w:tcPr>
          <w:p>
            <w:r>
              <w:rPr>
                <w:rFonts w:ascii="Meiryo UI" w:hAnsi="Meiryo UI"/>
                <w:sz w:val="18"/>
              </w:rPr>
              <w:t>1.104</w:t>
            </w:r>
          </w:p>
        </w:tc>
        <w:tc>
          <w:tcPr>
            <w:tcW w:type="dxa" w:w="2351"/>
            <w:shd w:val="clear" w:color="auto" w:fill="DDEBF7"/>
          </w:tcPr>
          <w:p>
            <w:r>
              <w:rPr>
                <w:rFonts w:ascii="Meiryo UI" w:hAnsi="Meiryo UI"/>
                <w:sz w:val="18"/>
              </w:rPr>
              <w:t>435</w:t>
            </w:r>
          </w:p>
        </w:tc>
      </w:tr>
      <w:tr>
        <w:tc>
          <w:tcPr>
            <w:tcW w:type="dxa" w:w="2351"/>
          </w:tcPr>
          <w:p>
            <w:r>
              <w:rPr>
                <w:rFonts w:ascii="Meiryo UI" w:hAnsi="Meiryo UI"/>
                <w:sz w:val="18"/>
              </w:rPr>
              <w:t>FY2028</w:t>
            </w:r>
          </w:p>
        </w:tc>
        <w:tc>
          <w:tcPr>
            <w:tcW w:type="dxa" w:w="2351"/>
          </w:tcPr>
          <w:p>
            <w:r>
              <w:rPr>
                <w:rFonts w:ascii="Meiryo UI" w:hAnsi="Meiryo UI"/>
                <w:sz w:val="18"/>
              </w:rPr>
              <w:t>540</w:t>
            </w:r>
          </w:p>
        </w:tc>
        <w:tc>
          <w:tcPr>
            <w:tcW w:type="dxa" w:w="2351"/>
          </w:tcPr>
          <w:p>
            <w:r>
              <w:rPr>
                <w:rFonts w:ascii="Meiryo UI" w:hAnsi="Meiryo UI"/>
                <w:sz w:val="18"/>
              </w:rPr>
              <w:t>1.161</w:t>
            </w:r>
          </w:p>
        </w:tc>
        <w:tc>
          <w:tcPr>
            <w:tcW w:type="dxa" w:w="2351"/>
          </w:tcPr>
          <w:p>
            <w:r>
              <w:rPr>
                <w:rFonts w:ascii="Meiryo UI" w:hAnsi="Meiryo UI"/>
                <w:sz w:val="18"/>
              </w:rPr>
              <w:t>465</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590</w:t>
            </w:r>
          </w:p>
        </w:tc>
        <w:tc>
          <w:tcPr>
            <w:tcW w:type="dxa" w:w="2351"/>
            <w:shd w:val="clear" w:color="auto" w:fill="DDEBF7"/>
          </w:tcPr>
          <w:p>
            <w:r>
              <w:rPr>
                <w:rFonts w:ascii="Meiryo UI" w:hAnsi="Meiryo UI"/>
                <w:sz w:val="18"/>
              </w:rPr>
              <w:t>1.220</w:t>
            </w:r>
          </w:p>
        </w:tc>
        <w:tc>
          <w:tcPr>
            <w:tcW w:type="dxa" w:w="2351"/>
            <w:shd w:val="clear" w:color="auto" w:fill="DDEBF7"/>
          </w:tcPr>
          <w:p>
            <w:r>
              <w:rPr>
                <w:rFonts w:ascii="Meiryo UI" w:hAnsi="Meiryo UI"/>
                <w:sz w:val="18"/>
              </w:rPr>
              <w:t>484</w:t>
            </w:r>
          </w:p>
        </w:tc>
      </w:tr>
      <w:tr>
        <w:tc>
          <w:tcPr>
            <w:tcW w:type="dxa" w:w="2351"/>
          </w:tcPr>
          <w:p>
            <w:r>
              <w:rPr>
                <w:rFonts w:ascii="Meiryo UI" w:hAnsi="Meiryo UI"/>
                <w:sz w:val="18"/>
              </w:rPr>
              <w:t>FY2030</w:t>
            </w:r>
          </w:p>
        </w:tc>
        <w:tc>
          <w:tcPr>
            <w:tcW w:type="dxa" w:w="2351"/>
          </w:tcPr>
          <w:p>
            <w:r>
              <w:rPr>
                <w:rFonts w:ascii="Meiryo UI" w:hAnsi="Meiryo UI"/>
                <w:sz w:val="18"/>
              </w:rPr>
              <w:t>640</w:t>
            </w:r>
          </w:p>
        </w:tc>
        <w:tc>
          <w:tcPr>
            <w:tcW w:type="dxa" w:w="2351"/>
          </w:tcPr>
          <w:p>
            <w:r>
              <w:rPr>
                <w:rFonts w:ascii="Meiryo UI" w:hAnsi="Meiryo UI"/>
                <w:sz w:val="18"/>
              </w:rPr>
              <w:t>1.282</w:t>
            </w:r>
          </w:p>
        </w:tc>
        <w:tc>
          <w:tcPr>
            <w:tcW w:type="dxa" w:w="2351"/>
          </w:tcPr>
          <w:p>
            <w:r>
              <w:rPr>
                <w:rFonts w:ascii="Meiryo UI" w:hAnsi="Meiryo UI"/>
                <w:sz w:val="18"/>
              </w:rPr>
              <w:t>499</w:t>
            </w:r>
          </w:p>
        </w:tc>
      </w:tr>
      <w:tr>
        <w:tc>
          <w:tcPr>
            <w:tcW w:type="dxa" w:w="2351"/>
            <w:shd w:val="clear" w:color="auto" w:fill="DDEBF7"/>
          </w:tcPr>
          <w:p>
            <w:r>
              <w:rPr>
                <w:rFonts w:ascii="Meiryo UI" w:hAnsi="Meiryo UI"/>
                <w:sz w:val="18"/>
              </w:rPr>
              <w:t>ターミナルバリュー</w:t>
            </w:r>
          </w:p>
        </w:tc>
        <w:tc>
          <w:tcPr>
            <w:tcW w:type="dxa" w:w="2351"/>
            <w:shd w:val="clear" w:color="auto" w:fill="DDEBF7"/>
          </w:tcPr>
          <w:p>
            <w:r>
              <w:rPr>
                <w:rFonts w:ascii="Meiryo UI" w:hAnsi="Meiryo UI"/>
                <w:sz w:val="18"/>
              </w:rPr>
              <w:t>g=2.5%</w:t>
            </w:r>
          </w:p>
        </w:tc>
        <w:tc>
          <w:tcPr>
            <w:tcW w:type="dxa" w:w="2351"/>
            <w:shd w:val="clear" w:color="auto" w:fill="DDEBF7"/>
          </w:tcPr>
          <w:p>
            <w:r>
              <w:rPr>
                <w:rFonts w:ascii="Meiryo UI" w:hAnsi="Meiryo UI"/>
                <w:sz w:val="18"/>
              </w:rPr>
              <w:t>WACC-g=2.6%</w:t>
            </w:r>
          </w:p>
        </w:tc>
        <w:tc>
          <w:tcPr>
            <w:tcW w:type="dxa" w:w="2351"/>
            <w:shd w:val="clear" w:color="auto" w:fill="DDEBF7"/>
          </w:tcPr>
          <w:p>
            <w:r>
              <w:rPr>
                <w:rFonts w:ascii="Meiryo UI" w:hAnsi="Meiryo UI"/>
                <w:sz w:val="18"/>
              </w:rPr>
              <w:t>3,880</w:t>
            </w:r>
          </w:p>
        </w:tc>
      </w:tr>
      <w:tr>
        <w:tc>
          <w:tcPr>
            <w:tcW w:type="dxa" w:w="2351"/>
          </w:tcPr>
          <w:p>
            <w:r>
              <w:rPr>
                <w:rFonts w:ascii="Meiryo UI" w:hAnsi="Meiryo UI"/>
                <w:sz w:val="18"/>
              </w:rPr>
              <w:t>PV合計</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6,163億</w:t>
            </w:r>
          </w:p>
        </w:tc>
      </w:tr>
    </w:tbl>
    <w:p/>
    <w:p>
      <w:pPr>
        <w:shd w:val="clear" w:color="auto" w:fill="F2F2F2"/>
      </w:pPr>
      <w:r>
        <w:rPr>
          <w:rFonts w:ascii="Courier New" w:hAnsi="Courier New"/>
          <w:sz w:val="16"/>
        </w:rPr>
        <w:t>理論株価（基本ケース）:</w:t>
        <w:br/>
        <w:t>PV合計 ¥6,163億 ÷ 3,400万株 = ¥18,126/株</w:t>
        <w:br/>
        <w:t>→ レンジ: ¥17,500〜¥19,000</w:t>
      </w:r>
    </w:p>
    <w:p/>
    <w:p>
      <w:pPr>
        <w:pStyle w:val="Heading4"/>
      </w:pPr>
      <w:r>
        <w:rPr>
          <w:rFonts w:ascii="Meiryo UI" w:hAnsi="Meiryo UI"/>
          <w:color w:val="2E74B5"/>
        </w:rPr>
        <w:t>【強気ケース】 WTI $100〜$115（現在水準）/ バックログ消化加速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FCF推定（億円）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FY2026</w:t>
            </w:r>
          </w:p>
        </w:tc>
        <w:tc>
          <w:tcPr>
            <w:tcW w:type="dxa" w:w="2351"/>
          </w:tcPr>
          <w:p>
            <w:r>
              <w:rPr>
                <w:rFonts w:ascii="Meiryo UI" w:hAnsi="Meiryo UI"/>
                <w:sz w:val="18"/>
              </w:rPr>
              <w:t>510</w:t>
            </w:r>
          </w:p>
        </w:tc>
        <w:tc>
          <w:tcPr>
            <w:tcW w:type="dxa" w:w="2351"/>
          </w:tcPr>
          <w:p>
            <w:r>
              <w:rPr>
                <w:rFonts w:ascii="Meiryo UI" w:hAnsi="Meiryo UI"/>
                <w:sz w:val="18"/>
              </w:rPr>
              <w:t>1.051</w:t>
            </w:r>
          </w:p>
        </w:tc>
        <w:tc>
          <w:tcPr>
            <w:tcW w:type="dxa" w:w="2351"/>
          </w:tcPr>
          <w:p>
            <w:r>
              <w:rPr>
                <w:rFonts w:ascii="Meiryo UI" w:hAnsi="Meiryo UI"/>
                <w:sz w:val="18"/>
              </w:rPr>
              <w:t>485</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620</w:t>
            </w:r>
          </w:p>
        </w:tc>
        <w:tc>
          <w:tcPr>
            <w:tcW w:type="dxa" w:w="2351"/>
            <w:shd w:val="clear" w:color="auto" w:fill="DDEBF7"/>
          </w:tcPr>
          <w:p>
            <w:r>
              <w:rPr>
                <w:rFonts w:ascii="Meiryo UI" w:hAnsi="Meiryo UI"/>
                <w:sz w:val="18"/>
              </w:rPr>
              <w:t>1.104</w:t>
            </w:r>
          </w:p>
        </w:tc>
        <w:tc>
          <w:tcPr>
            <w:tcW w:type="dxa" w:w="2351"/>
            <w:shd w:val="clear" w:color="auto" w:fill="DDEBF7"/>
          </w:tcPr>
          <w:p>
            <w:r>
              <w:rPr>
                <w:rFonts w:ascii="Meiryo UI" w:hAnsi="Meiryo UI"/>
                <w:sz w:val="18"/>
              </w:rPr>
              <w:t>562</w:t>
            </w:r>
          </w:p>
        </w:tc>
      </w:tr>
      <w:tr>
        <w:tc>
          <w:tcPr>
            <w:tcW w:type="dxa" w:w="2351"/>
          </w:tcPr>
          <w:p>
            <w:r>
              <w:rPr>
                <w:rFonts w:ascii="Meiryo UI" w:hAnsi="Meiryo UI"/>
                <w:sz w:val="18"/>
              </w:rPr>
              <w:t>FY2028</w:t>
            </w:r>
          </w:p>
        </w:tc>
        <w:tc>
          <w:tcPr>
            <w:tcW w:type="dxa" w:w="2351"/>
          </w:tcPr>
          <w:p>
            <w:r>
              <w:rPr>
                <w:rFonts w:ascii="Meiryo UI" w:hAnsi="Meiryo UI"/>
                <w:sz w:val="18"/>
              </w:rPr>
              <w:t>730</w:t>
            </w:r>
          </w:p>
        </w:tc>
        <w:tc>
          <w:tcPr>
            <w:tcW w:type="dxa" w:w="2351"/>
          </w:tcPr>
          <w:p>
            <w:r>
              <w:rPr>
                <w:rFonts w:ascii="Meiryo UI" w:hAnsi="Meiryo UI"/>
                <w:sz w:val="18"/>
              </w:rPr>
              <w:t>1.161</w:t>
            </w:r>
          </w:p>
        </w:tc>
        <w:tc>
          <w:tcPr>
            <w:tcW w:type="dxa" w:w="2351"/>
          </w:tcPr>
          <w:p>
            <w:r>
              <w:rPr>
                <w:rFonts w:ascii="Meiryo UI" w:hAnsi="Meiryo UI"/>
                <w:sz w:val="18"/>
              </w:rPr>
              <w:t>629</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820</w:t>
            </w:r>
          </w:p>
        </w:tc>
        <w:tc>
          <w:tcPr>
            <w:tcW w:type="dxa" w:w="2351"/>
            <w:shd w:val="clear" w:color="auto" w:fill="DDEBF7"/>
          </w:tcPr>
          <w:p>
            <w:r>
              <w:rPr>
                <w:rFonts w:ascii="Meiryo UI" w:hAnsi="Meiryo UI"/>
                <w:sz w:val="18"/>
              </w:rPr>
              <w:t>1.220</w:t>
            </w:r>
          </w:p>
        </w:tc>
        <w:tc>
          <w:tcPr>
            <w:tcW w:type="dxa" w:w="2351"/>
            <w:shd w:val="clear" w:color="auto" w:fill="DDEBF7"/>
          </w:tcPr>
          <w:p>
            <w:r>
              <w:rPr>
                <w:rFonts w:ascii="Meiryo UI" w:hAnsi="Meiryo UI"/>
                <w:sz w:val="18"/>
              </w:rPr>
              <w:t>672</w:t>
            </w:r>
          </w:p>
        </w:tc>
      </w:tr>
      <w:tr>
        <w:tc>
          <w:tcPr>
            <w:tcW w:type="dxa" w:w="2351"/>
          </w:tcPr>
          <w:p>
            <w:r>
              <w:rPr>
                <w:rFonts w:ascii="Meiryo UI" w:hAnsi="Meiryo UI"/>
                <w:sz w:val="18"/>
              </w:rPr>
              <w:t>FY2030</w:t>
            </w:r>
          </w:p>
        </w:tc>
        <w:tc>
          <w:tcPr>
            <w:tcW w:type="dxa" w:w="2351"/>
          </w:tcPr>
          <w:p>
            <w:r>
              <w:rPr>
                <w:rFonts w:ascii="Meiryo UI" w:hAnsi="Meiryo UI"/>
                <w:sz w:val="18"/>
              </w:rPr>
              <w:t>890</w:t>
            </w:r>
          </w:p>
        </w:tc>
        <w:tc>
          <w:tcPr>
            <w:tcW w:type="dxa" w:w="2351"/>
          </w:tcPr>
          <w:p>
            <w:r>
              <w:rPr>
                <w:rFonts w:ascii="Meiryo UI" w:hAnsi="Meiryo UI"/>
                <w:sz w:val="18"/>
              </w:rPr>
              <w:t>1.282</w:t>
            </w:r>
          </w:p>
        </w:tc>
        <w:tc>
          <w:tcPr>
            <w:tcW w:type="dxa" w:w="2351"/>
          </w:tcPr>
          <w:p>
            <w:r>
              <w:rPr>
                <w:rFonts w:ascii="Meiryo UI" w:hAnsi="Meiryo UI"/>
                <w:sz w:val="18"/>
              </w:rPr>
              <w:t>694</w:t>
            </w:r>
          </w:p>
        </w:tc>
      </w:tr>
      <w:tr>
        <w:tc>
          <w:tcPr>
            <w:tcW w:type="dxa" w:w="2351"/>
            <w:shd w:val="clear" w:color="auto" w:fill="DDEBF7"/>
          </w:tcPr>
          <w:p>
            <w:r>
              <w:rPr>
                <w:rFonts w:ascii="Meiryo UI" w:hAnsi="Meiryo UI"/>
                <w:sz w:val="18"/>
              </w:rPr>
              <w:t>ターミナルバリュー</w:t>
            </w:r>
          </w:p>
        </w:tc>
        <w:tc>
          <w:tcPr>
            <w:tcW w:type="dxa" w:w="2351"/>
            <w:shd w:val="clear" w:color="auto" w:fill="DDEBF7"/>
          </w:tcPr>
          <w:p>
            <w:r>
              <w:rPr>
                <w:rFonts w:ascii="Meiryo UI" w:hAnsi="Meiryo UI"/>
                <w:sz w:val="18"/>
              </w:rPr>
              <w:t>g=3.0%</w:t>
            </w:r>
          </w:p>
        </w:tc>
        <w:tc>
          <w:tcPr>
            <w:tcW w:type="dxa" w:w="2351"/>
            <w:shd w:val="clear" w:color="auto" w:fill="DDEBF7"/>
          </w:tcPr>
          <w:p>
            <w:r>
              <w:rPr>
                <w:rFonts w:ascii="Meiryo UI" w:hAnsi="Meiryo UI"/>
                <w:sz w:val="18"/>
              </w:rPr>
              <w:t>WACC-g=2.1%</w:t>
            </w:r>
          </w:p>
        </w:tc>
        <w:tc>
          <w:tcPr>
            <w:tcW w:type="dxa" w:w="2351"/>
            <w:shd w:val="clear" w:color="auto" w:fill="DDEBF7"/>
          </w:tcPr>
          <w:p>
            <w:r>
              <w:rPr>
                <w:rFonts w:ascii="Meiryo UI" w:hAnsi="Meiryo UI"/>
                <w:sz w:val="18"/>
              </w:rPr>
              <w:t>6,637</w:t>
            </w:r>
          </w:p>
        </w:tc>
      </w:tr>
      <w:tr>
        <w:tc>
          <w:tcPr>
            <w:tcW w:type="dxa" w:w="2351"/>
          </w:tcPr>
          <w:p>
            <w:r>
              <w:rPr>
                <w:rFonts w:ascii="Meiryo UI" w:hAnsi="Meiryo UI"/>
                <w:sz w:val="18"/>
              </w:rPr>
              <w:t>PV合計</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9,679億</w:t>
            </w:r>
          </w:p>
        </w:tc>
      </w:tr>
    </w:tbl>
    <w:p/>
    <w:p>
      <w:pPr>
        <w:shd w:val="clear" w:color="auto" w:fill="F2F2F2"/>
      </w:pPr>
      <w:r>
        <w:rPr>
          <w:rFonts w:ascii="Courier New" w:hAnsi="Courier New"/>
          <w:sz w:val="16"/>
        </w:rPr>
        <w:t>理論株価（強気ケース）:</w:t>
        <w:br/>
        <w:t>¥9,679億 ÷ 3,400万株 = ¥28,468/株</w:t>
        <w:br/>
        <w:t>→ レンジ: ¥26,000〜¥30,000</w:t>
      </w:r>
    </w:p>
    <w:p/>
    <w:p>
      <w:pPr>
        <w:pStyle w:val="Heading4"/>
      </w:pPr>
      <w:r>
        <w:rPr>
          <w:rFonts w:ascii="Meiryo UI" w:hAnsi="Meiryo UI"/>
          <w:color w:val="2E74B5"/>
        </w:rPr>
        <w:t>【弱気ケース】 WTI $60 / ペトロブラス1件不履行・円高進行（USD/JPY=130）</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FCF推定（億円）</w:t>
            </w:r>
          </w:p>
        </w:tc>
        <w:tc>
          <w:tcPr>
            <w:tcW w:type="dxa" w:w="2351"/>
            <w:shd w:val="clear" w:color="auto" w:fill="2E74B5"/>
          </w:tcPr>
          <w:p>
            <w:r>
              <w:rPr>
                <w:rFonts w:ascii="Meiryo UI" w:hAnsi="Meiryo UI"/>
                <w:b/>
                <w:color w:val="FFFFFF"/>
                <w:sz w:val="18"/>
              </w:rPr>
              <w:t>割引率</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FY2026</w:t>
            </w:r>
          </w:p>
        </w:tc>
        <w:tc>
          <w:tcPr>
            <w:tcW w:type="dxa" w:w="2351"/>
          </w:tcPr>
          <w:p>
            <w:r>
              <w:rPr>
                <w:rFonts w:ascii="Meiryo UI" w:hAnsi="Meiryo UI"/>
                <w:sz w:val="18"/>
              </w:rPr>
              <w:t>210</w:t>
            </w:r>
          </w:p>
        </w:tc>
        <w:tc>
          <w:tcPr>
            <w:tcW w:type="dxa" w:w="2351"/>
          </w:tcPr>
          <w:p>
            <w:r>
              <w:rPr>
                <w:rFonts w:ascii="Meiryo UI" w:hAnsi="Meiryo UI"/>
                <w:sz w:val="18"/>
              </w:rPr>
              <w:t>1.051</w:t>
            </w:r>
          </w:p>
        </w:tc>
        <w:tc>
          <w:tcPr>
            <w:tcW w:type="dxa" w:w="2351"/>
          </w:tcPr>
          <w:p>
            <w:r>
              <w:rPr>
                <w:rFonts w:ascii="Meiryo UI" w:hAnsi="Meiryo UI"/>
                <w:sz w:val="18"/>
              </w:rPr>
              <w:t>200</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240</w:t>
            </w:r>
          </w:p>
        </w:tc>
        <w:tc>
          <w:tcPr>
            <w:tcW w:type="dxa" w:w="2351"/>
            <w:shd w:val="clear" w:color="auto" w:fill="DDEBF7"/>
          </w:tcPr>
          <w:p>
            <w:r>
              <w:rPr>
                <w:rFonts w:ascii="Meiryo UI" w:hAnsi="Meiryo UI"/>
                <w:sz w:val="18"/>
              </w:rPr>
              <w:t>1.104</w:t>
            </w:r>
          </w:p>
        </w:tc>
        <w:tc>
          <w:tcPr>
            <w:tcW w:type="dxa" w:w="2351"/>
            <w:shd w:val="clear" w:color="auto" w:fill="DDEBF7"/>
          </w:tcPr>
          <w:p>
            <w:r>
              <w:rPr>
                <w:rFonts w:ascii="Meiryo UI" w:hAnsi="Meiryo UI"/>
                <w:sz w:val="18"/>
              </w:rPr>
              <w:t>218</w:t>
            </w:r>
          </w:p>
        </w:tc>
      </w:tr>
      <w:tr>
        <w:tc>
          <w:tcPr>
            <w:tcW w:type="dxa" w:w="2351"/>
          </w:tcPr>
          <w:p>
            <w:r>
              <w:rPr>
                <w:rFonts w:ascii="Meiryo UI" w:hAnsi="Meiryo UI"/>
                <w:sz w:val="18"/>
              </w:rPr>
              <w:t>FY2028</w:t>
            </w:r>
          </w:p>
        </w:tc>
        <w:tc>
          <w:tcPr>
            <w:tcW w:type="dxa" w:w="2351"/>
          </w:tcPr>
          <w:p>
            <w:r>
              <w:rPr>
                <w:rFonts w:ascii="Meiryo UI" w:hAnsi="Meiryo UI"/>
                <w:sz w:val="18"/>
              </w:rPr>
              <w:t>260</w:t>
            </w:r>
          </w:p>
        </w:tc>
        <w:tc>
          <w:tcPr>
            <w:tcW w:type="dxa" w:w="2351"/>
          </w:tcPr>
          <w:p>
            <w:r>
              <w:rPr>
                <w:rFonts w:ascii="Meiryo UI" w:hAnsi="Meiryo UI"/>
                <w:sz w:val="18"/>
              </w:rPr>
              <w:t>1.161</w:t>
            </w:r>
          </w:p>
        </w:tc>
        <w:tc>
          <w:tcPr>
            <w:tcW w:type="dxa" w:w="2351"/>
          </w:tcPr>
          <w:p>
            <w:r>
              <w:rPr>
                <w:rFonts w:ascii="Meiryo UI" w:hAnsi="Meiryo UI"/>
                <w:sz w:val="18"/>
              </w:rPr>
              <w:t>224</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270</w:t>
            </w:r>
          </w:p>
        </w:tc>
        <w:tc>
          <w:tcPr>
            <w:tcW w:type="dxa" w:w="2351"/>
            <w:shd w:val="clear" w:color="auto" w:fill="DDEBF7"/>
          </w:tcPr>
          <w:p>
            <w:r>
              <w:rPr>
                <w:rFonts w:ascii="Meiryo UI" w:hAnsi="Meiryo UI"/>
                <w:sz w:val="18"/>
              </w:rPr>
              <w:t>1.220</w:t>
            </w:r>
          </w:p>
        </w:tc>
        <w:tc>
          <w:tcPr>
            <w:tcW w:type="dxa" w:w="2351"/>
            <w:shd w:val="clear" w:color="auto" w:fill="DDEBF7"/>
          </w:tcPr>
          <w:p>
            <w:r>
              <w:rPr>
                <w:rFonts w:ascii="Meiryo UI" w:hAnsi="Meiryo UI"/>
                <w:sz w:val="18"/>
              </w:rPr>
              <w:t>221</w:t>
            </w:r>
          </w:p>
        </w:tc>
      </w:tr>
      <w:tr>
        <w:tc>
          <w:tcPr>
            <w:tcW w:type="dxa" w:w="2351"/>
          </w:tcPr>
          <w:p>
            <w:r>
              <w:rPr>
                <w:rFonts w:ascii="Meiryo UI" w:hAnsi="Meiryo UI"/>
                <w:sz w:val="18"/>
              </w:rPr>
              <w:t>FY2030</w:t>
            </w:r>
          </w:p>
        </w:tc>
        <w:tc>
          <w:tcPr>
            <w:tcW w:type="dxa" w:w="2351"/>
          </w:tcPr>
          <w:p>
            <w:r>
              <w:rPr>
                <w:rFonts w:ascii="Meiryo UI" w:hAnsi="Meiryo UI"/>
                <w:sz w:val="18"/>
              </w:rPr>
              <w:t>280</w:t>
            </w:r>
          </w:p>
        </w:tc>
        <w:tc>
          <w:tcPr>
            <w:tcW w:type="dxa" w:w="2351"/>
          </w:tcPr>
          <w:p>
            <w:r>
              <w:rPr>
                <w:rFonts w:ascii="Meiryo UI" w:hAnsi="Meiryo UI"/>
                <w:sz w:val="18"/>
              </w:rPr>
              <w:t>1.282</w:t>
            </w:r>
          </w:p>
        </w:tc>
        <w:tc>
          <w:tcPr>
            <w:tcW w:type="dxa" w:w="2351"/>
          </w:tcPr>
          <w:p>
            <w:r>
              <w:rPr>
                <w:rFonts w:ascii="Meiryo UI" w:hAnsi="Meiryo UI"/>
                <w:sz w:val="18"/>
              </w:rPr>
              <w:t>218</w:t>
            </w:r>
          </w:p>
        </w:tc>
      </w:tr>
      <w:tr>
        <w:tc>
          <w:tcPr>
            <w:tcW w:type="dxa" w:w="2351"/>
            <w:shd w:val="clear" w:color="auto" w:fill="DDEBF7"/>
          </w:tcPr>
          <w:p>
            <w:r>
              <w:rPr>
                <w:rFonts w:ascii="Meiryo UI" w:hAnsi="Meiryo UI"/>
                <w:sz w:val="18"/>
              </w:rPr>
              <w:t>ターミナルバリュー</w:t>
            </w:r>
          </w:p>
        </w:tc>
        <w:tc>
          <w:tcPr>
            <w:tcW w:type="dxa" w:w="2351"/>
            <w:shd w:val="clear" w:color="auto" w:fill="DDEBF7"/>
          </w:tcPr>
          <w:p>
            <w:r>
              <w:rPr>
                <w:rFonts w:ascii="Meiryo UI" w:hAnsi="Meiryo UI"/>
                <w:sz w:val="18"/>
              </w:rPr>
              <w:t>g=1.5%</w:t>
            </w:r>
          </w:p>
        </w:tc>
        <w:tc>
          <w:tcPr>
            <w:tcW w:type="dxa" w:w="2351"/>
            <w:shd w:val="clear" w:color="auto" w:fill="DDEBF7"/>
          </w:tcPr>
          <w:p>
            <w:r>
              <w:rPr>
                <w:rFonts w:ascii="Meiryo UI" w:hAnsi="Meiryo UI"/>
                <w:sz w:val="18"/>
              </w:rPr>
              <w:t>WACC-g=3.6%</w:t>
            </w:r>
          </w:p>
        </w:tc>
        <w:tc>
          <w:tcPr>
            <w:tcW w:type="dxa" w:w="2351"/>
            <w:shd w:val="clear" w:color="auto" w:fill="DDEBF7"/>
          </w:tcPr>
          <w:p>
            <w:r>
              <w:rPr>
                <w:rFonts w:ascii="Meiryo UI" w:hAnsi="Meiryo UI"/>
                <w:sz w:val="18"/>
              </w:rPr>
              <w:t>2,167</w:t>
            </w:r>
          </w:p>
        </w:tc>
      </w:tr>
      <w:tr>
        <w:tc>
          <w:tcPr>
            <w:tcW w:type="dxa" w:w="2351"/>
          </w:tcPr>
          <w:p>
            <w:r>
              <w:rPr>
                <w:rFonts w:ascii="Meiryo UI" w:hAnsi="Meiryo UI"/>
                <w:sz w:val="18"/>
              </w:rPr>
              <w:t>PV合計</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3,248億</w:t>
            </w:r>
          </w:p>
        </w:tc>
      </w:tr>
    </w:tbl>
    <w:p/>
    <w:p>
      <w:pPr>
        <w:shd w:val="clear" w:color="auto" w:fill="F2F2F2"/>
      </w:pPr>
      <w:r>
        <w:rPr>
          <w:rFonts w:ascii="Courier New" w:hAnsi="Courier New"/>
          <w:sz w:val="16"/>
        </w:rPr>
        <w:t>理論株価（弱気ケース）:</w:t>
        <w:br/>
        <w:t>¥3,248億 ÷ 3,400万株 = ¥9,553/株</w:t>
        <w:br/>
        <w:t>→ レンジ: ¥9,000〜¥10,500</w:t>
      </w:r>
    </w:p>
    <w:p/>
    <w:p>
      <w:pPr>
        <w:pStyle w:val="Heading4"/>
      </w:pPr>
      <w:r>
        <w:rPr>
          <w:rFonts w:ascii="Meiryo UI" w:hAnsi="Meiryo UI"/>
          <w:color w:val="2E74B5"/>
        </w:rPr>
        <w:t>DCFサマリーテーブル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WTI想定</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r>
      <w:tr>
        <w:tc>
          <w:tcPr>
            <w:tcW w:type="dxa" w:w="2351"/>
          </w:tcPr>
          <w:p>
            <w:r>
              <w:rPr>
                <w:rFonts w:ascii="Meiryo UI" w:hAnsi="Meiryo UI"/>
                <w:sz w:val="18"/>
              </w:rPr>
              <w:t>強気（WTI $100〜$115）</w:t>
            </w:r>
          </w:p>
        </w:tc>
        <w:tc>
          <w:tcPr>
            <w:tcW w:type="dxa" w:w="2351"/>
          </w:tcPr>
          <w:p>
            <w:r>
              <w:rPr>
                <w:rFonts w:ascii="Meiryo UI" w:hAnsi="Meiryo UI"/>
                <w:sz w:val="18"/>
              </w:rPr>
              <w:t>$113（現在）</w:t>
            </w:r>
          </w:p>
        </w:tc>
        <w:tc>
          <w:tcPr>
            <w:tcW w:type="dxa" w:w="2351"/>
          </w:tcPr>
          <w:p>
            <w:r>
              <w:rPr>
                <w:rFonts w:ascii="Meiryo UI" w:hAnsi="Meiryo UI"/>
                <w:sz w:val="18"/>
              </w:rPr>
              <w:t>¥26,000〜¥30,000</w:t>
            </w:r>
          </w:p>
        </w:tc>
        <w:tc>
          <w:tcPr>
            <w:tcW w:type="dxa" w:w="2351"/>
          </w:tcPr>
          <w:p>
            <w:r>
              <w:rPr>
                <w:rFonts w:ascii="Meiryo UI" w:hAnsi="Meiryo UI"/>
                <w:sz w:val="18"/>
              </w:rPr>
              <w:t>+68〜+94%</w:t>
            </w:r>
          </w:p>
        </w:tc>
      </w:tr>
      <w:tr>
        <w:tc>
          <w:tcPr>
            <w:tcW w:type="dxa" w:w="2351"/>
            <w:shd w:val="clear" w:color="auto" w:fill="DDEBF7"/>
          </w:tcPr>
          <w:p>
            <w:r>
              <w:rPr>
                <w:rFonts w:ascii="Meiryo UI" w:hAnsi="Meiryo UI"/>
                <w:sz w:val="18"/>
              </w:rPr>
              <w:t>基本（WTI $80〜$90）</w:t>
            </w:r>
          </w:p>
        </w:tc>
        <w:tc>
          <w:tcPr>
            <w:tcW w:type="dxa" w:w="2351"/>
            <w:shd w:val="clear" w:color="auto" w:fill="DDEBF7"/>
          </w:tcPr>
          <w:p>
            <w:r>
              <w:rPr>
                <w:rFonts w:ascii="Meiryo UI" w:hAnsi="Meiryo UI"/>
                <w:sz w:val="18"/>
              </w:rPr>
              <w:t>正常化想定</w:t>
            </w:r>
          </w:p>
        </w:tc>
        <w:tc>
          <w:tcPr>
            <w:tcW w:type="dxa" w:w="2351"/>
            <w:shd w:val="clear" w:color="auto" w:fill="DDEBF7"/>
          </w:tcPr>
          <w:p>
            <w:r>
              <w:rPr>
                <w:rFonts w:ascii="Meiryo UI" w:hAnsi="Meiryo UI"/>
                <w:sz w:val="18"/>
              </w:rPr>
              <w:t>¥17,500〜¥19,000</w:t>
            </w:r>
          </w:p>
        </w:tc>
        <w:tc>
          <w:tcPr>
            <w:tcW w:type="dxa" w:w="2351"/>
            <w:shd w:val="clear" w:color="auto" w:fill="DDEBF7"/>
          </w:tcPr>
          <w:p>
            <w:r>
              <w:rPr>
                <w:rFonts w:ascii="Meiryo UI" w:hAnsi="Meiryo UI"/>
                <w:sz w:val="18"/>
              </w:rPr>
              <w:t>+13〜+23%</w:t>
            </w:r>
          </w:p>
        </w:tc>
      </w:tr>
      <w:tr>
        <w:tc>
          <w:tcPr>
            <w:tcW w:type="dxa" w:w="2351"/>
          </w:tcPr>
          <w:p>
            <w:r>
              <w:rPr>
                <w:rFonts w:ascii="Meiryo UI" w:hAnsi="Meiryo UI"/>
                <w:sz w:val="18"/>
              </w:rPr>
              <w:t>弱気（WTI $60）</w:t>
            </w:r>
          </w:p>
        </w:tc>
        <w:tc>
          <w:tcPr>
            <w:tcW w:type="dxa" w:w="2351"/>
          </w:tcPr>
          <w:p>
            <w:r>
              <w:rPr>
                <w:rFonts w:ascii="Meiryo UI" w:hAnsi="Meiryo UI"/>
                <w:sz w:val="18"/>
              </w:rPr>
              <w:t>急落想定</w:t>
            </w:r>
          </w:p>
        </w:tc>
        <w:tc>
          <w:tcPr>
            <w:tcW w:type="dxa" w:w="2351"/>
          </w:tcPr>
          <w:p>
            <w:r>
              <w:rPr>
                <w:rFonts w:ascii="Meiryo UI" w:hAnsi="Meiryo UI"/>
                <w:sz w:val="18"/>
              </w:rPr>
              <w:t>¥9,000〜¥10,500</w:t>
            </w:r>
          </w:p>
        </w:tc>
        <w:tc>
          <w:tcPr>
            <w:tcW w:type="dxa" w:w="2351"/>
          </w:tcPr>
          <w:p>
            <w:r>
              <w:rPr>
                <w:rFonts w:ascii="Meiryo UI" w:hAnsi="Meiryo UI"/>
                <w:sz w:val="18"/>
              </w:rPr>
              <w:t>-32〜-42%</w:t>
            </w:r>
          </w:p>
        </w:tc>
      </w:tr>
    </w:tbl>
    <w:p/>
    <w:p>
      <w:r>
        <w:t>──────────────────────────────────────────────────</w:t>
      </w:r>
    </w:p>
    <w:p/>
    <w:p>
      <w:pPr>
        <w:pStyle w:val="Heading2"/>
      </w:pPr>
      <w:r>
        <w:rPr>
          <w:rFonts w:ascii="Meiryo UI" w:hAnsi="Meiryo UI"/>
          <w:color w:val="2E74B5"/>
        </w:rPr>
        <w:t>⑦ PBR・BPS・ROE（yfinance確認値）ベースのバリュエーション</w:t>
      </w:r>
    </w:p>
    <w:p/>
    <w:p>
      <w:pPr>
        <w:pStyle w:val="Heading3"/>
      </w:pPr>
      <w:r>
        <w:rPr>
          <w:rFonts w:ascii="Meiryo UI" w:hAnsi="Meiryo UI"/>
          <w:color w:val="2E74B5"/>
        </w:rPr>
        <w:t>現在のマルチプル確認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確認値（yfinance 2026-04-07）</w:t>
            </w:r>
          </w:p>
        </w:tc>
        <w:tc>
          <w:tcPr>
            <w:tcW w:type="dxa" w:w="3135"/>
            <w:shd w:val="clear" w:color="auto" w:fill="2E74B5"/>
          </w:tcPr>
          <w:p>
            <w:r>
              <w:rPr>
                <w:rFonts w:ascii="Meiryo UI" w:hAnsi="Meiryo UI"/>
                <w:b/>
                <w:color w:val="FFFFFF"/>
                <w:sz w:val="18"/>
              </w:rPr>
              <w:t>業界比較（SBM Offshore等）</w:t>
            </w:r>
          </w:p>
        </w:tc>
      </w:tr>
      <w:tr>
        <w:tc>
          <w:tcPr>
            <w:tcW w:type="dxa" w:w="3135"/>
          </w:tcPr>
          <w:p>
            <w:r>
              <w:rPr>
                <w:rFonts w:ascii="Meiryo UI" w:hAnsi="Meiryo UI"/>
                <w:sz w:val="18"/>
              </w:rPr>
              <w:t>PBR</w:t>
            </w:r>
          </w:p>
        </w:tc>
        <w:tc>
          <w:tcPr>
            <w:tcW w:type="dxa" w:w="3135"/>
          </w:tcPr>
          <w:p>
            <w:r>
              <w:rPr>
                <w:rFonts w:ascii="Meiryo UI" w:hAnsi="Meiryo UI"/>
                <w:sz w:val="18"/>
              </w:rPr>
              <w:t>4.64倍</w:t>
            </w:r>
          </w:p>
        </w:tc>
        <w:tc>
          <w:tcPr>
            <w:tcW w:type="dxa" w:w="3135"/>
          </w:tcPr>
          <w:p>
            <w:r>
              <w:rPr>
                <w:rFonts w:ascii="Meiryo UI" w:hAnsi="Meiryo UI"/>
                <w:sz w:val="18"/>
              </w:rPr>
              <w:t>SBM: 2.1倍、業界平均: 1.8〜2.5倍</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¥3,328</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30.6%</w:t>
            </w:r>
          </w:p>
        </w:tc>
        <w:tc>
          <w:tcPr>
            <w:tcW w:type="dxa" w:w="3135"/>
          </w:tcPr>
          <w:p>
            <w:r>
              <w:rPr>
                <w:rFonts w:ascii="Meiryo UI" w:hAnsi="Meiryo UI"/>
                <w:sz w:val="18"/>
              </w:rPr>
              <w:t>SBM: 14〜18%、業界平均: 10〜15%</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18.4倍</w:t>
            </w:r>
          </w:p>
        </w:tc>
        <w:tc>
          <w:tcPr>
            <w:tcW w:type="dxa" w:w="3135"/>
            <w:shd w:val="clear" w:color="auto" w:fill="DDEBF7"/>
          </w:tcPr>
          <w:p>
            <w:r>
              <w:rPr>
                <w:rFonts w:ascii="Meiryo UI" w:hAnsi="Meiryo UI"/>
                <w:sz w:val="18"/>
              </w:rPr>
              <w:t>業界平均: 12〜20倍</w:t>
            </w:r>
          </w:p>
        </w:tc>
      </w:tr>
      <w:tr>
        <w:tc>
          <w:tcPr>
            <w:tcW w:type="dxa" w:w="3135"/>
          </w:tcPr>
          <w:p>
            <w:r>
              <w:rPr>
                <w:rFonts w:ascii="Meiryo UI" w:hAnsi="Meiryo UI"/>
                <w:sz w:val="18"/>
              </w:rPr>
              <w:t>EPS</w:t>
            </w:r>
          </w:p>
        </w:tc>
        <w:tc>
          <w:tcPr>
            <w:tcW w:type="dxa" w:w="3135"/>
          </w:tcPr>
          <w:p>
            <w:r>
              <w:rPr>
                <w:rFonts w:ascii="Meiryo UI" w:hAnsi="Meiryo UI"/>
                <w:sz w:val="18"/>
              </w:rPr>
              <w:t>¥838</w:t>
            </w:r>
          </w:p>
        </w:tc>
        <w:tc>
          <w:tcPr>
            <w:tcW w:type="dxa" w:w="3135"/>
          </w:tcPr>
          <w:p>
            <w:r>
              <w:rPr>
                <w:rFonts w:ascii="Meiryo UI" w:hAnsi="Meiryo UI"/>
                <w:sz w:val="18"/>
              </w:rPr>
              <w:t>—</w:t>
            </w:r>
          </w:p>
        </w:tc>
      </w:tr>
    </w:tbl>
    <w:p/>
    <w:p>
      <w:pPr>
        <w:pStyle w:val="Heading3"/>
      </w:pPr>
      <w:r>
        <w:rPr>
          <w:rFonts w:ascii="Meiryo UI" w:hAnsi="Meiryo UI"/>
          <w:color w:val="2E74B5"/>
        </w:rPr>
        <w:t>Gordon Growth Model（GGM）チェック</w:t>
      </w:r>
    </w:p>
    <w:p/>
    <w:p>
      <w:pPr>
        <w:shd w:val="clear" w:color="auto" w:fill="F2F2F2"/>
      </w:pPr>
      <w:r>
        <w:rPr>
          <w:rFonts w:ascii="Courier New" w:hAnsi="Courier New"/>
          <w:sz w:val="16"/>
        </w:rPr>
        <w:t>適正PBR = ROE × (1-Plowback) / (Re - g_sustainble)</w:t>
        <w:br/>
        <w:t xml:space="preserve">         または ROE / Re（純利益全額配当仮定の簡易上限）</w:t>
        <w:br/>
        <w:br/>
        <w:t>ROE: 30.6%</w:t>
        <w:br/>
        <w:t>Re: 7.06%</w:t>
        <w:br/>
        <w:t>適正PBR上限 = 30.6% / 7.06% = 4.33倍</w:t>
        <w:br/>
        <w:br/>
        <w:t>現在PBR 4.64倍 vs 適正上限 4.33倍</w:t>
        <w:br/>
        <w:t>→ 若干プレミアム（約7%）だが、ターミナル成長率g=1.5%考慮で正当化可能域</w:t>
      </w:r>
    </w:p>
    <w:p/>
    <w:p>
      <w:r>
        <w:rPr>
          <w:rFonts w:ascii="Meiryo UI" w:hAnsi="Meiryo UI"/>
          <w:sz w:val="20"/>
        </w:rPr>
        <w:t>修正GGM（g=1.5%考慮）:</w:t>
      </w:r>
    </w:p>
    <w:p>
      <w:pPr>
        <w:shd w:val="clear" w:color="auto" w:fill="F2F2F2"/>
      </w:pPr>
      <w:r>
        <w:rPr>
          <w:rFonts w:ascii="Courier New" w:hAnsi="Courier New"/>
          <w:sz w:val="16"/>
        </w:rPr>
        <w:t>適正PBR = (ROE - g) / (Re - g)</w:t>
        <w:br/>
        <w:t xml:space="preserve">         = (30.6% - 1.5%) / (7.06% - 1.5%)</w:t>
        <w:br/>
        <w:t xml:space="preserve">         = 29.1% / 5.56%</w:t>
        <w:br/>
        <w:t xml:space="preserve">         = 5.23倍</w:t>
        <w:br/>
        <w:br/>
        <w:t>→ 現在PBR 4.64倍は適正PBR 5.23倍に対して -11.3% のディスカウント</w:t>
        <w:br/>
        <w:t xml:space="preserve">　= 上値余地あり</w:t>
      </w:r>
    </w:p>
    <w:p/>
    <w:p>
      <w:r>
        <w:rPr>
          <w:rFonts w:ascii="Meiryo UI" w:hAnsi="Meiryo UI"/>
          <w:sz w:val="20"/>
        </w:rPr>
        <w:t>BPSベース理論株価:</w:t>
      </w:r>
    </w:p>
    <w:p>
      <w:pPr>
        <w:shd w:val="clear" w:color="auto" w:fill="F2F2F2"/>
      </w:pPr>
      <w:r>
        <w:rPr>
          <w:rFonts w:ascii="Courier New" w:hAnsi="Courier New"/>
          <w:sz w:val="16"/>
        </w:rPr>
        <w:t>適正PBR 5.23倍 × BPS ¥3,328 = ¥17,395</w:t>
        <w:br/>
        <w:t>現在株価 ¥15,450 比 +12.6%の上値余地</w:t>
      </w:r>
    </w:p>
    <w:p/>
    <w:p>
      <w:r>
        <w:t>──────────────────────────────────────────────────</w:t>
      </w:r>
    </w:p>
    <w:p/>
    <w:p>
      <w:pPr>
        <w:pStyle w:val="Heading2"/>
      </w:pPr>
      <w:r>
        <w:rPr>
          <w:rFonts w:ascii="Meiryo UI" w:hAnsi="Meiryo UI"/>
          <w:color w:val="2E74B5"/>
        </w:rPr>
        <w:t>⑧ リスクシナリオ：定量ストレステスト</w:t>
      </w:r>
    </w:p>
    <w:p/>
    <w:p>
      <w:pPr>
        <w:pStyle w:val="Heading3"/>
      </w:pPr>
      <w:r>
        <w:rPr>
          <w:rFonts w:ascii="Meiryo UI" w:hAnsi="Meiryo UI"/>
          <w:color w:val="2E74B5"/>
        </w:rPr>
        <w:t>ペトロブラス契約打ち切り × WTI急落 × 円高の複合ストレス</w:t>
      </w:r>
    </w:p>
    <w:p/>
    <w:p>
      <w:r>
        <w:rPr>
          <w:rFonts w:ascii="Meiryo UI" w:hAnsi="Meiryo UI"/>
          <w:sz w:val="20"/>
        </w:rPr>
        <w:t>前提設定（最大ストレス）:</w:t>
      </w:r>
    </w:p>
    <w:p>
      <w:pPr>
        <w:shd w:val="clear" w:color="auto" w:fill="F2F2F2"/>
      </w:pPr>
      <w:r>
        <w:rPr>
          <w:rFonts w:ascii="Courier New" w:hAnsi="Courier New"/>
          <w:sz w:val="16"/>
        </w:rPr>
        <w:t>・ペトロブラス向けFPSO 3基分の契約打ち切り（全10基の30%喪失）</w:t>
        <w:br/>
        <w:t>・WTI: $60/bbl（現在$113から-47%）</w:t>
        <w:br/>
        <w:t>・USD/JPY: 130円（現在148円から-12%）</w:t>
        <w:br/>
        <w:t>・ストレス時期: 2026〜2027年</w:t>
      </w:r>
    </w:p>
    <w:p/>
    <w:p>
      <w:pPr>
        <w:pStyle w:val="Heading3"/>
      </w:pPr>
      <w:r>
        <w:rPr>
          <w:rFonts w:ascii="Meiryo UI" w:hAnsi="Meiryo UI"/>
          <w:color w:val="2E74B5"/>
        </w:rPr>
        <w:t>定量影響分析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通常ケース</w:t>
            </w:r>
          </w:p>
        </w:tc>
        <w:tc>
          <w:tcPr>
            <w:tcW w:type="dxa" w:w="2351"/>
            <w:shd w:val="clear" w:color="auto" w:fill="2E74B5"/>
          </w:tcPr>
          <w:p>
            <w:r>
              <w:rPr>
                <w:rFonts w:ascii="Meiryo UI" w:hAnsi="Meiryo UI"/>
                <w:b/>
                <w:color w:val="FFFFFF"/>
                <w:sz w:val="18"/>
              </w:rPr>
              <w:t>ストレス後</w:t>
            </w:r>
          </w:p>
        </w:tc>
        <w:tc>
          <w:tcPr>
            <w:tcW w:type="dxa" w:w="2351"/>
            <w:shd w:val="clear" w:color="auto" w:fill="2E74B5"/>
          </w:tcPr>
          <w:p>
            <w:r>
              <w:rPr>
                <w:rFonts w:ascii="Meiryo UI" w:hAnsi="Meiryo UI"/>
                <w:b/>
                <w:color w:val="FFFFFF"/>
                <w:sz w:val="18"/>
              </w:rPr>
              <w:t>影響額</w:t>
            </w:r>
          </w:p>
        </w:tc>
      </w:tr>
      <w:tr>
        <w:tc>
          <w:tcPr>
            <w:tcW w:type="dxa" w:w="2351"/>
          </w:tcPr>
          <w:p>
            <w:r>
              <w:rPr>
                <w:rFonts w:ascii="Meiryo UI" w:hAnsi="Meiryo UI"/>
                <w:sz w:val="18"/>
              </w:rPr>
              <w:t>O&amp;M年間収益</w:t>
            </w:r>
          </w:p>
        </w:tc>
        <w:tc>
          <w:tcPr>
            <w:tcW w:type="dxa" w:w="2351"/>
          </w:tcPr>
          <w:p>
            <w:r>
              <w:rPr>
                <w:rFonts w:ascii="Meiryo UI" w:hAnsi="Meiryo UI"/>
                <w:sz w:val="18"/>
              </w:rPr>
              <w:t>¥2,000億</w:t>
            </w:r>
          </w:p>
        </w:tc>
        <w:tc>
          <w:tcPr>
            <w:tcW w:type="dxa" w:w="2351"/>
          </w:tcPr>
          <w:p>
            <w:r>
              <w:rPr>
                <w:rFonts w:ascii="Meiryo UI" w:hAnsi="Meiryo UI"/>
                <w:sz w:val="18"/>
              </w:rPr>
              <w:t>¥1,400億</w:t>
            </w:r>
          </w:p>
        </w:tc>
        <w:tc>
          <w:tcPr>
            <w:tcW w:type="dxa" w:w="2351"/>
          </w:tcPr>
          <w:p>
            <w:r>
              <w:rPr>
                <w:rFonts w:ascii="Meiryo UI" w:hAnsi="Meiryo UI"/>
                <w:sz w:val="18"/>
              </w:rPr>
              <w:t>▲¥600億</w:t>
            </w:r>
          </w:p>
        </w:tc>
      </w:tr>
      <w:tr>
        <w:tc>
          <w:tcPr>
            <w:tcW w:type="dxa" w:w="2351"/>
            <w:shd w:val="clear" w:color="auto" w:fill="DDEBF7"/>
          </w:tcPr>
          <w:p>
            <w:r>
              <w:rPr>
                <w:rFonts w:ascii="Meiryo UI" w:hAnsi="Meiryo UI"/>
                <w:sz w:val="18"/>
              </w:rPr>
              <w:t>EPC新規受注</w:t>
            </w:r>
          </w:p>
        </w:tc>
        <w:tc>
          <w:tcPr>
            <w:tcW w:type="dxa" w:w="2351"/>
            <w:shd w:val="clear" w:color="auto" w:fill="DDEBF7"/>
          </w:tcPr>
          <w:p>
            <w:r>
              <w:rPr>
                <w:rFonts w:ascii="Meiryo UI" w:hAnsi="Meiryo UI"/>
                <w:sz w:val="18"/>
              </w:rPr>
              <w:t>¥2,500億/年</w:t>
            </w:r>
          </w:p>
        </w:tc>
        <w:tc>
          <w:tcPr>
            <w:tcW w:type="dxa" w:w="2351"/>
            <w:shd w:val="clear" w:color="auto" w:fill="DDEBF7"/>
          </w:tcPr>
          <w:p>
            <w:r>
              <w:rPr>
                <w:rFonts w:ascii="Meiryo UI" w:hAnsi="Meiryo UI"/>
                <w:sz w:val="18"/>
              </w:rPr>
              <w:t>¥500億/年</w:t>
            </w:r>
          </w:p>
        </w:tc>
        <w:tc>
          <w:tcPr>
            <w:tcW w:type="dxa" w:w="2351"/>
            <w:shd w:val="clear" w:color="auto" w:fill="DDEBF7"/>
          </w:tcPr>
          <w:p>
            <w:r>
              <w:rPr>
                <w:rFonts w:ascii="Meiryo UI" w:hAnsi="Meiryo UI"/>
                <w:sz w:val="18"/>
              </w:rPr>
              <w:t>▲¥2,000億（バックログ停滞）</w:t>
            </w:r>
          </w:p>
        </w:tc>
      </w:tr>
      <w:tr>
        <w:tc>
          <w:tcPr>
            <w:tcW w:type="dxa" w:w="2351"/>
          </w:tcPr>
          <w:p>
            <w:r>
              <w:rPr>
                <w:rFonts w:ascii="Meiryo UI" w:hAnsi="Meiryo UI"/>
                <w:sz w:val="18"/>
              </w:rPr>
              <w:t>為替影響（P/L）</w:t>
            </w:r>
          </w:p>
        </w:tc>
        <w:tc>
          <w:tcPr>
            <w:tcW w:type="dxa" w:w="2351"/>
          </w:tcPr>
          <w:p>
            <w:r>
              <w:rPr>
                <w:rFonts w:ascii="Meiryo UI" w:hAnsi="Meiryo UI"/>
                <w:sz w:val="18"/>
              </w:rPr>
              <w:t>USD/JPY 148</w:t>
            </w:r>
          </w:p>
        </w:tc>
        <w:tc>
          <w:tcPr>
            <w:tcW w:type="dxa" w:w="2351"/>
          </w:tcPr>
          <w:p>
            <w:r>
              <w:rPr>
                <w:rFonts w:ascii="Meiryo UI" w:hAnsi="Meiryo UI"/>
                <w:sz w:val="18"/>
              </w:rPr>
              <w:t>USD/JPY 130</w:t>
            </w:r>
          </w:p>
        </w:tc>
        <w:tc>
          <w:tcPr>
            <w:tcW w:type="dxa" w:w="2351"/>
          </w:tcPr>
          <w:p>
            <w:r>
              <w:rPr>
                <w:rFonts w:ascii="Meiryo UI" w:hAnsi="Meiryo UI"/>
                <w:sz w:val="18"/>
              </w:rPr>
              <w:t>▲¥130〜¥180億（年次）</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≈¥500億</w:t>
            </w:r>
          </w:p>
        </w:tc>
        <w:tc>
          <w:tcPr>
            <w:tcW w:type="dxa" w:w="2351"/>
            <w:shd w:val="clear" w:color="auto" w:fill="DDEBF7"/>
          </w:tcPr>
          <w:p>
            <w:r>
              <w:rPr>
                <w:rFonts w:ascii="Meiryo UI" w:hAnsi="Meiryo UI"/>
                <w:sz w:val="18"/>
              </w:rPr>
              <w:t>≈¥120〜¥160億</w:t>
            </w:r>
          </w:p>
        </w:tc>
        <w:tc>
          <w:tcPr>
            <w:tcW w:type="dxa" w:w="2351"/>
            <w:shd w:val="clear" w:color="auto" w:fill="DDEBF7"/>
          </w:tcPr>
          <w:p>
            <w:r>
              <w:rPr>
                <w:rFonts w:ascii="Meiryo UI" w:hAnsi="Meiryo UI"/>
                <w:sz w:val="18"/>
              </w:rPr>
              <w:t>▲¥340〜¥380億</w:t>
            </w:r>
          </w:p>
        </w:tc>
      </w:tr>
      <w:tr>
        <w:tc>
          <w:tcPr>
            <w:tcW w:type="dxa" w:w="2351"/>
          </w:tcPr>
          <w:p>
            <w:r>
              <w:rPr>
                <w:rFonts w:ascii="Meiryo UI" w:hAnsi="Meiryo UI"/>
                <w:sz w:val="18"/>
              </w:rPr>
              <w:t>FCF</w:t>
            </w:r>
          </w:p>
        </w:tc>
        <w:tc>
          <w:tcPr>
            <w:tcW w:type="dxa" w:w="2351"/>
          </w:tcPr>
          <w:p>
            <w:r>
              <w:rPr>
                <w:rFonts w:ascii="Meiryo UI" w:hAnsi="Meiryo UI"/>
                <w:sz w:val="18"/>
              </w:rPr>
              <w:t>≈¥420億</w:t>
            </w:r>
          </w:p>
        </w:tc>
        <w:tc>
          <w:tcPr>
            <w:tcW w:type="dxa" w:w="2351"/>
          </w:tcPr>
          <w:p>
            <w:r>
              <w:rPr>
                <w:rFonts w:ascii="Meiryo UI" w:hAnsi="Meiryo UI"/>
                <w:sz w:val="18"/>
              </w:rPr>
              <w:t>≈▲¥50〜¥30億</w:t>
            </w:r>
          </w:p>
        </w:tc>
        <w:tc>
          <w:tcPr>
            <w:tcW w:type="dxa" w:w="2351"/>
          </w:tcPr>
          <w:p>
            <w:r>
              <w:rPr>
                <w:rFonts w:ascii="Meiryo UI" w:hAnsi="Meiryo UI"/>
                <w:sz w:val="18"/>
              </w:rPr>
              <w:t>赤字転落リスク</w:t>
            </w:r>
          </w:p>
        </w:tc>
      </w:tr>
    </w:tbl>
    <w:p/>
    <w:p>
      <w:r>
        <w:rPr>
          <w:rFonts w:ascii="Meiryo UI" w:hAnsi="Meiryo UI"/>
          <w:sz w:val="20"/>
        </w:rPr>
        <w:t>ストレス時の理論株価:</w:t>
      </w:r>
    </w:p>
    <w:p>
      <w:pPr>
        <w:shd w:val="clear" w:color="auto" w:fill="F2F2F2"/>
      </w:pPr>
      <w:r>
        <w:rPr>
          <w:rFonts w:ascii="Courier New" w:hAnsi="Courier New"/>
          <w:sz w:val="16"/>
        </w:rPr>
        <w:t>FCF: ほぼゼロ〜若干マイナス</w:t>
        <w:br/>
        <w:t>PBRベース（ストレス時ROE ≈ 5〜8%）:</w:t>
        <w:br/>
        <w:t>適正PBR = (8% - 1%) / (7.06% - 1%) = 7% / 5.56% = 1.26倍</w:t>
        <w:br/>
        <w:t>株価 = 1.26倍 × BPS ¥3,328 = ¥4,193</w:t>
        <w:br/>
        <w:br/>
        <w:t>ただし、上記は最大ストレス（全リスク同時顕現）の極端なシナリオ</w:t>
        <w:br/>
        <w:t>現実確率: ≈ 5〜10%</w:t>
      </w:r>
    </w:p>
    <w:p/>
    <w:p>
      <w:r>
        <w:rPr>
          <w:rFonts w:ascii="Meiryo UI" w:hAnsi="Meiryo UI"/>
          <w:sz w:val="20"/>
        </w:rPr>
        <w:t>ストレステストサマリー: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確率</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最大ストレス（全悪材料同時）</w:t>
            </w:r>
          </w:p>
        </w:tc>
        <w:tc>
          <w:tcPr>
            <w:tcW w:type="dxa" w:w="2351"/>
          </w:tcPr>
          <w:p>
            <w:r>
              <w:rPr>
                <w:rFonts w:ascii="Meiryo UI" w:hAnsi="Meiryo UI"/>
                <w:sz w:val="18"/>
              </w:rPr>
              <w:t>5%</w:t>
            </w:r>
          </w:p>
        </w:tc>
        <w:tc>
          <w:tcPr>
            <w:tcW w:type="dxa" w:w="2351"/>
          </w:tcPr>
          <w:p>
            <w:r>
              <w:rPr>
                <w:rFonts w:ascii="Meiryo UI" w:hAnsi="Meiryo UI"/>
                <w:sz w:val="18"/>
              </w:rPr>
              <w:t>¥4,000〜¥6,000</w:t>
            </w:r>
          </w:p>
        </w:tc>
        <w:tc>
          <w:tcPr>
            <w:tcW w:type="dxa" w:w="2351"/>
          </w:tcPr>
          <w:p>
            <w:r>
              <w:rPr>
                <w:rFonts w:ascii="Meiryo UI" w:hAnsi="Meiryo UI"/>
                <w:sz w:val="18"/>
              </w:rPr>
              <w:t>-61〜-74%</w:t>
            </w:r>
          </w:p>
        </w:tc>
      </w:tr>
      <w:tr>
        <w:tc>
          <w:tcPr>
            <w:tcW w:type="dxa" w:w="2351"/>
            <w:shd w:val="clear" w:color="auto" w:fill="DDEBF7"/>
          </w:tcPr>
          <w:p>
            <w:r>
              <w:rPr>
                <w:rFonts w:ascii="Meiryo UI" w:hAnsi="Meiryo UI"/>
                <w:sz w:val="18"/>
              </w:rPr>
              <w:t>中程度ストレス（WTI$60+円高のみ）</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¥9,000〜¥11,000</w:t>
            </w:r>
          </w:p>
        </w:tc>
        <w:tc>
          <w:tcPr>
            <w:tcW w:type="dxa" w:w="2351"/>
            <w:shd w:val="clear" w:color="auto" w:fill="DDEBF7"/>
          </w:tcPr>
          <w:p>
            <w:r>
              <w:rPr>
                <w:rFonts w:ascii="Meiryo UI" w:hAnsi="Meiryo UI"/>
                <w:sz w:val="18"/>
              </w:rPr>
              <w:t>-29〜-42%</w:t>
            </w:r>
          </w:p>
        </w:tc>
      </w:tr>
      <w:tr>
        <w:tc>
          <w:tcPr>
            <w:tcW w:type="dxa" w:w="2351"/>
          </w:tcPr>
          <w:p>
            <w:r>
              <w:rPr>
                <w:rFonts w:ascii="Meiryo UI" w:hAnsi="Meiryo UI"/>
                <w:sz w:val="18"/>
              </w:rPr>
              <w:t>軽微ストレス（WTI$70+ペトロブラス1件喪失）</w:t>
            </w:r>
          </w:p>
        </w:tc>
        <w:tc>
          <w:tcPr>
            <w:tcW w:type="dxa" w:w="2351"/>
          </w:tcPr>
          <w:p>
            <w:r>
              <w:rPr>
                <w:rFonts w:ascii="Meiryo UI" w:hAnsi="Meiryo UI"/>
                <w:sz w:val="18"/>
              </w:rPr>
              <w:t>25%</w:t>
            </w:r>
          </w:p>
        </w:tc>
        <w:tc>
          <w:tcPr>
            <w:tcW w:type="dxa" w:w="2351"/>
          </w:tcPr>
          <w:p>
            <w:r>
              <w:rPr>
                <w:rFonts w:ascii="Meiryo UI" w:hAnsi="Meiryo UI"/>
                <w:sz w:val="18"/>
              </w:rPr>
              <w:t>¥12,000〜¥14,000</w:t>
            </w:r>
          </w:p>
        </w:tc>
        <w:tc>
          <w:tcPr>
            <w:tcW w:type="dxa" w:w="2351"/>
          </w:tcPr>
          <w:p>
            <w:r>
              <w:rPr>
                <w:rFonts w:ascii="Meiryo UI" w:hAnsi="Meiryo UI"/>
                <w:sz w:val="18"/>
              </w:rPr>
              <w:t>-9〜-22%</w:t>
            </w:r>
          </w:p>
        </w:tc>
      </w:tr>
      <w:tr>
        <w:tc>
          <w:tcPr>
            <w:tcW w:type="dxa" w:w="2351"/>
            <w:shd w:val="clear" w:color="auto" w:fill="DDEBF7"/>
          </w:tcPr>
          <w:p>
            <w:r>
              <w:rPr>
                <w:rFonts w:ascii="Meiryo UI" w:hAnsi="Meiryo UI"/>
                <w:sz w:val="18"/>
              </w:rPr>
              <w:t>基本ケース</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¥17,500〜¥19,000</w:t>
            </w:r>
          </w:p>
        </w:tc>
        <w:tc>
          <w:tcPr>
            <w:tcW w:type="dxa" w:w="2351"/>
            <w:shd w:val="clear" w:color="auto" w:fill="DDEBF7"/>
          </w:tcPr>
          <w:p>
            <w:r>
              <w:rPr>
                <w:rFonts w:ascii="Meiryo UI" w:hAnsi="Meiryo UI"/>
                <w:sz w:val="18"/>
              </w:rPr>
              <w:t>+13〜+23%</w:t>
            </w:r>
          </w:p>
        </w:tc>
      </w:tr>
      <w:tr>
        <w:tc>
          <w:tcPr>
            <w:tcW w:type="dxa" w:w="2351"/>
          </w:tcPr>
          <w:p>
            <w:r>
              <w:rPr>
                <w:rFonts w:ascii="Meiryo UI" w:hAnsi="Meiryo UI"/>
                <w:sz w:val="18"/>
              </w:rPr>
              <w:t>強気ケース</w:t>
            </w:r>
          </w:p>
        </w:tc>
        <w:tc>
          <w:tcPr>
            <w:tcW w:type="dxa" w:w="2351"/>
          </w:tcPr>
          <w:p>
            <w:r>
              <w:rPr>
                <w:rFonts w:ascii="Meiryo UI" w:hAnsi="Meiryo UI"/>
                <w:sz w:val="18"/>
              </w:rPr>
              <w:t>15%</w:t>
            </w:r>
          </w:p>
        </w:tc>
        <w:tc>
          <w:tcPr>
            <w:tcW w:type="dxa" w:w="2351"/>
          </w:tcPr>
          <w:p>
            <w:r>
              <w:rPr>
                <w:rFonts w:ascii="Meiryo UI" w:hAnsi="Meiryo UI"/>
                <w:sz w:val="18"/>
              </w:rPr>
              <w:t>¥26,000〜¥30,000</w:t>
            </w:r>
          </w:p>
        </w:tc>
        <w:tc>
          <w:tcPr>
            <w:tcW w:type="dxa" w:w="2351"/>
          </w:tcPr>
          <w:p>
            <w:r>
              <w:rPr>
                <w:rFonts w:ascii="Meiryo UI" w:hAnsi="Meiryo UI"/>
                <w:sz w:val="18"/>
              </w:rPr>
              <w:t>+68〜+94%</w:t>
            </w:r>
          </w:p>
        </w:tc>
      </w:tr>
    </w:tbl>
    <w:p/>
    <w:p>
      <w:r>
        <w:rPr>
          <w:rFonts w:ascii="Meiryo UI" w:hAnsi="Meiryo UI"/>
          <w:sz w:val="20"/>
        </w:rPr>
        <w:t>期待値計算:</w:t>
      </w:r>
    </w:p>
    <w:p>
      <w:pPr>
        <w:shd w:val="clear" w:color="auto" w:fill="F2F2F2"/>
      </w:pPr>
      <w:r>
        <w:rPr>
          <w:rFonts w:ascii="Courier New" w:hAnsi="Courier New"/>
          <w:sz w:val="16"/>
        </w:rPr>
        <w:t>E[株価] = 0.05×5,000 + 0.20×10,000 + 0.25×13,000 + 0.35×18,250 + 0.15×28,000</w:t>
        <w:br/>
        <w:t xml:space="preserve">        = 250 + 2,000 + 3,250 + 6,388 + 4,200</w:t>
        <w:br/>
        <w:t xml:space="preserve">        = ¥16,088</w:t>
        <w:br/>
        <w:br/>
        <w:t>現在株価 ¥15,450 に対して +4.1%</w:t>
        <w:br/>
        <w:t>→ リスク調整後でもわずかに上値あり</w:t>
      </w:r>
    </w:p>
    <w:p/>
    <w:p>
      <w:r>
        <w:t>──────────────────────────────────────────────────</w:t>
      </w:r>
    </w:p>
    <w:p/>
    <w:p>
      <w:pPr>
        <w:pStyle w:val="Heading2"/>
      </w:pPr>
      <w:r>
        <w:rPr>
          <w:rFonts w:ascii="Meiryo UI" w:hAnsi="Meiryo UI"/>
          <w:color w:val="2E74B5"/>
        </w:rPr>
        <w:t>⑨ 最終判断：原油安局面でのディフェンシブ海洋インフラ銘柄としての位置づけ</w:t>
      </w:r>
    </w:p>
    <w:p/>
    <w:p>
      <w:r>
        <w:rPr>
          <w:rFonts w:ascii="Meiryo UI" w:hAnsi="Meiryo UI"/>
          <w:sz w:val="20"/>
        </w:rPr>
        <w:t>MODECはピュアな「原油株」ではなく「海洋インフラREIT」に近い性質を持つ。</w:t>
      </w:r>
    </w:p>
    <w:p/>
    <w:p>
      <w:pPr>
        <w:shd w:val="clear" w:color="auto" w:fill="F2F2F2"/>
      </w:pPr>
      <w:r>
        <w:rPr>
          <w:rFonts w:ascii="Courier New" w:hAnsi="Courier New"/>
          <w:sz w:val="16"/>
        </w:rPr>
        <w:t>比較軸                    MODEC          INPEX       石油E&amp;P</w:t>
        <w:br/>
        <w:t>原油価格感応度            低〜中         高          最高</w:t>
        <w:br/>
        <w:t>長期契約キャッシュフロー  高（O&amp;M主軸）  低          なし</w:t>
        <w:br/>
        <w:t>景気後退耐性              中高           低          低</w:t>
        <w:br/>
        <w:t>原油$60ショック時の収益   ▲20〜30%       ▲50〜70%   ▲60〜80%</w:t>
        <w:br/>
        <w:t>ディフェンシブ度          ★★★★☆       ★★☆☆☆   ★☆☆☆☆</w:t>
      </w:r>
    </w:p>
    <w:p/>
    <w:p>
      <w:r>
        <w:rPr>
          <w:rFonts w:ascii="Meiryo UI" w:hAnsi="Meiryo UI"/>
          <w:sz w:val="20"/>
        </w:rPr>
        <w:t>原油安局面でのMODEC評価:</w:t>
      </w:r>
    </w:p>
    <w:p>
      <w:pPr>
        <w:pStyle w:val="ListBullet"/>
      </w:pPr>
      <w:r>
        <w:rPr>
          <w:rFonts w:ascii="Meiryo UI" w:hAnsi="Meiryo UI"/>
          <w:sz w:val="20"/>
        </w:rPr>
        <w:t>O&amp;M収益の固定性により収益下限（フロア）が高い</w:t>
      </w:r>
    </w:p>
    <w:p>
      <w:pPr>
        <w:pStyle w:val="ListBullet"/>
      </w:pPr>
      <w:r>
        <w:rPr>
          <w:rFonts w:ascii="Meiryo UI" w:hAnsi="Meiryo UI"/>
          <w:sz w:val="20"/>
        </w:rPr>
        <w:t>WTI $60シナリオでもO&amp;M部門は黒字継続（▲20〜30%減収にとどまる）</w:t>
      </w:r>
    </w:p>
    <w:p>
      <w:pPr>
        <w:pStyle w:val="ListBullet"/>
      </w:pPr>
      <w:r>
        <w:rPr>
          <w:rFonts w:ascii="Meiryo UI" w:hAnsi="Meiryo UI"/>
          <w:sz w:val="20"/>
        </w:rPr>
        <w:t>但しEPC新規受注の停滞→バックログ積み上げ鈍化が中期的な成長鈍化要因</w:t>
      </w:r>
    </w:p>
    <w:p>
      <w:pPr>
        <w:pStyle w:val="ListBullet"/>
      </w:pPr>
      <w:r>
        <w:rPr>
          <w:rFonts w:ascii="Meiryo UI" w:hAnsi="Meiryo UI"/>
          <w:sz w:val="20"/>
        </w:rPr>
        <w:t>現在株価はWTI $113水準のプレミアムを織り込み切っていない（強気ケース理論値に対し大幅ディスカウント）→ 現在の原油高水準が続くなら深刻な割安感あり</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直近FY実績（FY2025推定・公開情報ベース）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FY2023実績</w:t>
            </w:r>
          </w:p>
        </w:tc>
        <w:tc>
          <w:tcPr>
            <w:tcW w:type="dxa" w:w="2351"/>
            <w:shd w:val="clear" w:color="auto" w:fill="2E74B5"/>
          </w:tcPr>
          <w:p>
            <w:r>
              <w:rPr>
                <w:rFonts w:ascii="Meiryo UI" w:hAnsi="Meiryo UI"/>
                <w:b/>
                <w:color w:val="FFFFFF"/>
                <w:sz w:val="18"/>
              </w:rPr>
              <w:t>FY2024実績</w:t>
            </w:r>
          </w:p>
        </w:tc>
        <w:tc>
          <w:tcPr>
            <w:tcW w:type="dxa" w:w="2351"/>
            <w:shd w:val="clear" w:color="auto" w:fill="2E74B5"/>
          </w:tcPr>
          <w:p>
            <w:r>
              <w:rPr>
                <w:rFonts w:ascii="Meiryo UI" w:hAnsi="Meiryo UI"/>
                <w:b/>
                <w:color w:val="FFFFFF"/>
                <w:sz w:val="18"/>
              </w:rPr>
              <w:t>FY2025推定</w:t>
            </w:r>
          </w:p>
        </w:tc>
      </w:tr>
      <w:tr>
        <w:tc>
          <w:tcPr>
            <w:tcW w:type="dxa" w:w="2351"/>
          </w:tcPr>
          <w:p>
            <w:r>
              <w:rPr>
                <w:rFonts w:ascii="Meiryo UI" w:hAnsi="Meiryo UI"/>
                <w:sz w:val="18"/>
              </w:rPr>
              <w:t>売上高</w:t>
            </w:r>
          </w:p>
        </w:tc>
        <w:tc>
          <w:tcPr>
            <w:tcW w:type="dxa" w:w="2351"/>
          </w:tcPr>
          <w:p>
            <w:r>
              <w:rPr>
                <w:rFonts w:ascii="Meiryo UI" w:hAnsi="Meiryo UI"/>
                <w:sz w:val="18"/>
              </w:rPr>
              <w:t>¥2,890億</w:t>
            </w:r>
          </w:p>
        </w:tc>
        <w:tc>
          <w:tcPr>
            <w:tcW w:type="dxa" w:w="2351"/>
          </w:tcPr>
          <w:p>
            <w:r>
              <w:rPr>
                <w:rFonts w:ascii="Meiryo UI" w:hAnsi="Meiryo UI"/>
                <w:sz w:val="18"/>
              </w:rPr>
              <w:t>¥3,150億</w:t>
            </w:r>
          </w:p>
        </w:tc>
        <w:tc>
          <w:tcPr>
            <w:tcW w:type="dxa" w:w="2351"/>
          </w:tcPr>
          <w:p>
            <w:r>
              <w:rPr>
                <w:rFonts w:ascii="Meiryo UI" w:hAnsi="Meiryo UI"/>
                <w:sz w:val="18"/>
              </w:rPr>
              <w:t>¥3,400〜3,600億</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¥280億</w:t>
            </w:r>
          </w:p>
        </w:tc>
        <w:tc>
          <w:tcPr>
            <w:tcW w:type="dxa" w:w="2351"/>
            <w:shd w:val="clear" w:color="auto" w:fill="DDEBF7"/>
          </w:tcPr>
          <w:p>
            <w:r>
              <w:rPr>
                <w:rFonts w:ascii="Meiryo UI" w:hAnsi="Meiryo UI"/>
                <w:sz w:val="18"/>
              </w:rPr>
              <w:t>¥380億</w:t>
            </w:r>
          </w:p>
        </w:tc>
        <w:tc>
          <w:tcPr>
            <w:tcW w:type="dxa" w:w="2351"/>
            <w:shd w:val="clear" w:color="auto" w:fill="DDEBF7"/>
          </w:tcPr>
          <w:p>
            <w:r>
              <w:rPr>
                <w:rFonts w:ascii="Meiryo UI" w:hAnsi="Meiryo UI"/>
                <w:sz w:val="18"/>
              </w:rPr>
              <w:t>¥450〜500億</w:t>
            </w:r>
          </w:p>
        </w:tc>
      </w:tr>
      <w:tr>
        <w:tc>
          <w:tcPr>
            <w:tcW w:type="dxa" w:w="2351"/>
          </w:tcPr>
          <w:p>
            <w:r>
              <w:rPr>
                <w:rFonts w:ascii="Meiryo UI" w:hAnsi="Meiryo UI"/>
                <w:sz w:val="18"/>
              </w:rPr>
              <w:t>営業利益率</w:t>
            </w:r>
          </w:p>
        </w:tc>
        <w:tc>
          <w:tcPr>
            <w:tcW w:type="dxa" w:w="2351"/>
          </w:tcPr>
          <w:p>
            <w:r>
              <w:rPr>
                <w:rFonts w:ascii="Meiryo UI" w:hAnsi="Meiryo UI"/>
                <w:sz w:val="18"/>
              </w:rPr>
              <w:t>9.7%</w:t>
            </w:r>
          </w:p>
        </w:tc>
        <w:tc>
          <w:tcPr>
            <w:tcW w:type="dxa" w:w="2351"/>
          </w:tcPr>
          <w:p>
            <w:r>
              <w:rPr>
                <w:rFonts w:ascii="Meiryo UI" w:hAnsi="Meiryo UI"/>
                <w:sz w:val="18"/>
              </w:rPr>
              <w:t>12.1%</w:t>
            </w:r>
          </w:p>
        </w:tc>
        <w:tc>
          <w:tcPr>
            <w:tcW w:type="dxa" w:w="2351"/>
          </w:tcPr>
          <w:p>
            <w:r>
              <w:rPr>
                <w:rFonts w:ascii="Meiryo UI" w:hAnsi="Meiryo UI"/>
                <w:sz w:val="18"/>
              </w:rPr>
              <w:t>13〜14%</w:t>
            </w:r>
          </w:p>
        </w:tc>
      </w:tr>
      <w:tr>
        <w:tc>
          <w:tcPr>
            <w:tcW w:type="dxa" w:w="2351"/>
            <w:shd w:val="clear" w:color="auto" w:fill="DDEBF7"/>
          </w:tcPr>
          <w:p>
            <w:r>
              <w:rPr>
                <w:rFonts w:ascii="Meiryo UI" w:hAnsi="Meiryo UI"/>
                <w:sz w:val="18"/>
              </w:rPr>
              <w:t>EBITDA</w:t>
            </w:r>
          </w:p>
        </w:tc>
        <w:tc>
          <w:tcPr>
            <w:tcW w:type="dxa" w:w="2351"/>
            <w:shd w:val="clear" w:color="auto" w:fill="DDEBF7"/>
          </w:tcPr>
          <w:p>
            <w:r>
              <w:rPr>
                <w:rFonts w:ascii="Meiryo UI" w:hAnsi="Meiryo UI"/>
                <w:sz w:val="18"/>
              </w:rPr>
              <w:t>¥580億</w:t>
            </w:r>
          </w:p>
        </w:tc>
        <w:tc>
          <w:tcPr>
            <w:tcW w:type="dxa" w:w="2351"/>
            <w:shd w:val="clear" w:color="auto" w:fill="DDEBF7"/>
          </w:tcPr>
          <w:p>
            <w:r>
              <w:rPr>
                <w:rFonts w:ascii="Meiryo UI" w:hAnsi="Meiryo UI"/>
                <w:sz w:val="18"/>
              </w:rPr>
              <w:t>¥720億</w:t>
            </w:r>
          </w:p>
        </w:tc>
        <w:tc>
          <w:tcPr>
            <w:tcW w:type="dxa" w:w="2351"/>
            <w:shd w:val="clear" w:color="auto" w:fill="DDEBF7"/>
          </w:tcPr>
          <w:p>
            <w:r>
              <w:rPr>
                <w:rFonts w:ascii="Meiryo UI" w:hAnsi="Meiryo UI"/>
                <w:sz w:val="18"/>
              </w:rPr>
              <w:t>¥820〜900億</w:t>
            </w:r>
          </w:p>
        </w:tc>
      </w:tr>
      <w:tr>
        <w:tc>
          <w:tcPr>
            <w:tcW w:type="dxa" w:w="2351"/>
          </w:tcPr>
          <w:p>
            <w:r>
              <w:rPr>
                <w:rFonts w:ascii="Meiryo UI" w:hAnsi="Meiryo UI"/>
                <w:sz w:val="18"/>
              </w:rPr>
              <w:t>EBITDAマージン</w:t>
            </w:r>
          </w:p>
        </w:tc>
        <w:tc>
          <w:tcPr>
            <w:tcW w:type="dxa" w:w="2351"/>
          </w:tcPr>
          <w:p>
            <w:r>
              <w:rPr>
                <w:rFonts w:ascii="Meiryo UI" w:hAnsi="Meiryo UI"/>
                <w:sz w:val="18"/>
              </w:rPr>
              <w:t>20.1%</w:t>
            </w:r>
          </w:p>
        </w:tc>
        <w:tc>
          <w:tcPr>
            <w:tcW w:type="dxa" w:w="2351"/>
          </w:tcPr>
          <w:p>
            <w:r>
              <w:rPr>
                <w:rFonts w:ascii="Meiryo UI" w:hAnsi="Meiryo UI"/>
                <w:sz w:val="18"/>
              </w:rPr>
              <w:t>22.9%</w:t>
            </w:r>
          </w:p>
        </w:tc>
        <w:tc>
          <w:tcPr>
            <w:tcW w:type="dxa" w:w="2351"/>
          </w:tcPr>
          <w:p>
            <w:r>
              <w:rPr>
                <w:rFonts w:ascii="Meiryo UI" w:hAnsi="Meiryo UI"/>
                <w:sz w:val="18"/>
              </w:rPr>
              <w:t>24〜25%</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¥190億</w:t>
            </w:r>
          </w:p>
        </w:tc>
        <w:tc>
          <w:tcPr>
            <w:tcW w:type="dxa" w:w="2351"/>
            <w:shd w:val="clear" w:color="auto" w:fill="DDEBF7"/>
          </w:tcPr>
          <w:p>
            <w:r>
              <w:rPr>
                <w:rFonts w:ascii="Meiryo UI" w:hAnsi="Meiryo UI"/>
                <w:sz w:val="18"/>
              </w:rPr>
              <w:t>¥260億</w:t>
            </w:r>
          </w:p>
        </w:tc>
        <w:tc>
          <w:tcPr>
            <w:tcW w:type="dxa" w:w="2351"/>
            <w:shd w:val="clear" w:color="auto" w:fill="DDEBF7"/>
          </w:tcPr>
          <w:p>
            <w:r>
              <w:rPr>
                <w:rFonts w:ascii="Meiryo UI" w:hAnsi="Meiryo UI"/>
                <w:sz w:val="18"/>
              </w:rPr>
              <w:t>¥290〜310億</w:t>
            </w:r>
          </w:p>
        </w:tc>
      </w:tr>
      <w:tr>
        <w:tc>
          <w:tcPr>
            <w:tcW w:type="dxa" w:w="2351"/>
          </w:tcPr>
          <w:p>
            <w:r>
              <w:rPr>
                <w:rFonts w:ascii="Meiryo UI" w:hAnsi="Meiryo UI"/>
                <w:sz w:val="18"/>
              </w:rPr>
              <w:t>EPS</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¥838（yfinance確認）</w:t>
            </w:r>
          </w:p>
        </w:tc>
      </w:tr>
      <w:tr>
        <w:tc>
          <w:tcPr>
            <w:tcW w:type="dxa" w:w="2351"/>
            <w:shd w:val="clear" w:color="auto" w:fill="DDEBF7"/>
          </w:tcPr>
          <w:p>
            <w:r>
              <w:rPr>
                <w:rFonts w:ascii="Meiryo UI" w:hAnsi="Meiryo UI"/>
                <w:sz w:val="18"/>
              </w:rPr>
              <w:t>FCF</w:t>
            </w:r>
          </w:p>
        </w:tc>
        <w:tc>
          <w:tcPr>
            <w:tcW w:type="dxa" w:w="2351"/>
            <w:shd w:val="clear" w:color="auto" w:fill="DDEBF7"/>
          </w:tcPr>
          <w:p>
            <w:r>
              <w:rPr>
                <w:rFonts w:ascii="Meiryo UI" w:hAnsi="Meiryo UI"/>
                <w:sz w:val="18"/>
              </w:rPr>
              <w:t>¥220億</w:t>
            </w:r>
          </w:p>
        </w:tc>
        <w:tc>
          <w:tcPr>
            <w:tcW w:type="dxa" w:w="2351"/>
            <w:shd w:val="clear" w:color="auto" w:fill="DDEBF7"/>
          </w:tcPr>
          <w:p>
            <w:r>
              <w:rPr>
                <w:rFonts w:ascii="Meiryo UI" w:hAnsi="Meiryo UI"/>
                <w:sz w:val="18"/>
              </w:rPr>
              <w:t>¥320億</w:t>
            </w:r>
          </w:p>
        </w:tc>
        <w:tc>
          <w:tcPr>
            <w:tcW w:type="dxa" w:w="2351"/>
            <w:shd w:val="clear" w:color="auto" w:fill="DDEBF7"/>
          </w:tcPr>
          <w:p>
            <w:r>
              <w:rPr>
                <w:rFonts w:ascii="Meiryo UI" w:hAnsi="Meiryo UI"/>
                <w:sz w:val="18"/>
              </w:rPr>
              <w:t>¥400〜450億</w:t>
            </w:r>
          </w:p>
        </w:tc>
      </w:tr>
      <w:tr>
        <w:tc>
          <w:tcPr>
            <w:tcW w:type="dxa" w:w="2351"/>
          </w:tcPr>
          <w:p>
            <w:r>
              <w:rPr>
                <w:rFonts w:ascii="Meiryo UI" w:hAnsi="Meiryo UI"/>
                <w:sz w:val="18"/>
              </w:rPr>
              <w:t>FCFマージン</w:t>
            </w:r>
          </w:p>
        </w:tc>
        <w:tc>
          <w:tcPr>
            <w:tcW w:type="dxa" w:w="2351"/>
          </w:tcPr>
          <w:p>
            <w:r>
              <w:rPr>
                <w:rFonts w:ascii="Meiryo UI" w:hAnsi="Meiryo UI"/>
                <w:sz w:val="18"/>
              </w:rPr>
              <w:t>7.6%</w:t>
            </w:r>
          </w:p>
        </w:tc>
        <w:tc>
          <w:tcPr>
            <w:tcW w:type="dxa" w:w="2351"/>
          </w:tcPr>
          <w:p>
            <w:r>
              <w:rPr>
                <w:rFonts w:ascii="Meiryo UI" w:hAnsi="Meiryo UI"/>
                <w:sz w:val="18"/>
              </w:rPr>
              <w:t>10.2%</w:t>
            </w:r>
          </w:p>
        </w:tc>
        <w:tc>
          <w:tcPr>
            <w:tcW w:type="dxa" w:w="2351"/>
          </w:tcPr>
          <w:p>
            <w:r>
              <w:rPr>
                <w:rFonts w:ascii="Meiryo UI" w:hAnsi="Meiryo UI"/>
                <w:sz w:val="18"/>
              </w:rPr>
              <w:t>11〜13%</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30.6%（yfinance確認）</w:t>
            </w:r>
          </w:p>
        </w:tc>
      </w:tr>
      <w:tr>
        <w:tc>
          <w:tcPr>
            <w:tcW w:type="dxa" w:w="2351"/>
          </w:tcPr>
          <w:p>
            <w:r>
              <w:rPr>
                <w:rFonts w:ascii="Meiryo UI" w:hAnsi="Meiryo UI"/>
                <w:sz w:val="18"/>
              </w:rPr>
              <w:t>自己資本比率</w:t>
            </w:r>
          </w:p>
        </w:tc>
        <w:tc>
          <w:tcPr>
            <w:tcW w:type="dxa" w:w="2351"/>
          </w:tcPr>
          <w:p>
            <w:r>
              <w:rPr>
                <w:rFonts w:ascii="Meiryo UI" w:hAnsi="Meiryo UI"/>
                <w:sz w:val="18"/>
              </w:rPr>
              <w:t>18%</w:t>
            </w:r>
          </w:p>
        </w:tc>
        <w:tc>
          <w:tcPr>
            <w:tcW w:type="dxa" w:w="2351"/>
          </w:tcPr>
          <w:p>
            <w:r>
              <w:rPr>
                <w:rFonts w:ascii="Meiryo UI" w:hAnsi="Meiryo UI"/>
                <w:sz w:val="18"/>
              </w:rPr>
              <w:t>19%</w:t>
            </w:r>
          </w:p>
        </w:tc>
        <w:tc>
          <w:tcPr>
            <w:tcW w:type="dxa" w:w="2351"/>
          </w:tcPr>
          <w:p>
            <w:r>
              <w:rPr>
                <w:rFonts w:ascii="Meiryo UI" w:hAnsi="Meiryo UI"/>
                <w:sz w:val="18"/>
              </w:rPr>
              <w:t>約20%</w:t>
            </w:r>
          </w:p>
        </w:tc>
      </w:tr>
      <w:tr>
        <w:tc>
          <w:tcPr>
            <w:tcW w:type="dxa" w:w="2351"/>
            <w:shd w:val="clear" w:color="auto" w:fill="DDEBF7"/>
          </w:tcPr>
          <w:p>
            <w:r>
              <w:rPr>
                <w:rFonts w:ascii="Meiryo UI" w:hAnsi="Meiryo UI"/>
                <w:sz w:val="18"/>
              </w:rPr>
              <w:t>有利子負債</w:t>
            </w:r>
          </w:p>
        </w:tc>
        <w:tc>
          <w:tcPr>
            <w:tcW w:type="dxa" w:w="2351"/>
            <w:shd w:val="clear" w:color="auto" w:fill="DDEBF7"/>
          </w:tcPr>
          <w:p>
            <w:r>
              <w:rPr>
                <w:rFonts w:ascii="Meiryo UI" w:hAnsi="Meiryo UI"/>
                <w:sz w:val="18"/>
              </w:rPr>
              <w:t>¥3,200億</w:t>
            </w:r>
          </w:p>
        </w:tc>
        <w:tc>
          <w:tcPr>
            <w:tcW w:type="dxa" w:w="2351"/>
            <w:shd w:val="clear" w:color="auto" w:fill="DDEBF7"/>
          </w:tcPr>
          <w:p>
            <w:r>
              <w:rPr>
                <w:rFonts w:ascii="Meiryo UI" w:hAnsi="Meiryo UI"/>
                <w:sz w:val="18"/>
              </w:rPr>
              <w:t>¥3,100億</w:t>
            </w:r>
          </w:p>
        </w:tc>
        <w:tc>
          <w:tcPr>
            <w:tcW w:type="dxa" w:w="2351"/>
            <w:shd w:val="clear" w:color="auto" w:fill="DDEBF7"/>
          </w:tcPr>
          <w:p>
            <w:r>
              <w:rPr>
                <w:rFonts w:ascii="Meiryo UI" w:hAnsi="Meiryo UI"/>
                <w:sz w:val="18"/>
              </w:rPr>
              <w:t>≈¥3,000億</w:t>
            </w:r>
          </w:p>
        </w:tc>
      </w:tr>
      <w:tr>
        <w:tc>
          <w:tcPr>
            <w:tcW w:type="dxa" w:w="2351"/>
          </w:tcPr>
          <w:p>
            <w:r>
              <w:rPr>
                <w:rFonts w:ascii="Meiryo UI" w:hAnsi="Meiryo UI"/>
                <w:sz w:val="18"/>
              </w:rPr>
              <w:t>配当</w:t>
            </w:r>
          </w:p>
        </w:tc>
        <w:tc>
          <w:tcPr>
            <w:tcW w:type="dxa" w:w="2351"/>
          </w:tcPr>
          <w:p>
            <w:r>
              <w:rPr>
                <w:rFonts w:ascii="Meiryo UI" w:hAnsi="Meiryo UI"/>
                <w:sz w:val="18"/>
              </w:rPr>
              <w:t>¥200</w:t>
            </w:r>
          </w:p>
        </w:tc>
        <w:tc>
          <w:tcPr>
            <w:tcW w:type="dxa" w:w="2351"/>
          </w:tcPr>
          <w:p>
            <w:r>
              <w:rPr>
                <w:rFonts w:ascii="Meiryo UI" w:hAnsi="Meiryo UI"/>
                <w:sz w:val="18"/>
              </w:rPr>
              <w:t>¥250</w:t>
            </w:r>
          </w:p>
        </w:tc>
        <w:tc>
          <w:tcPr>
            <w:tcW w:type="dxa" w:w="2351"/>
          </w:tcPr>
          <w:p>
            <w:r>
              <w:rPr>
                <w:rFonts w:ascii="Meiryo UI" w:hAnsi="Meiryo UI"/>
                <w:sz w:val="18"/>
              </w:rPr>
              <w:t>¥300〜350（予想）</w:t>
            </w:r>
          </w:p>
        </w:tc>
      </w:tr>
      <w:tr>
        <w:tc>
          <w:tcPr>
            <w:tcW w:type="dxa" w:w="2351"/>
            <w:shd w:val="clear" w:color="auto" w:fill="DDEBF7"/>
          </w:tcPr>
          <w:p>
            <w:r>
              <w:rPr>
                <w:rFonts w:ascii="Meiryo UI" w:hAnsi="Meiryo UI"/>
                <w:sz w:val="18"/>
              </w:rPr>
              <w:t>配当利回り（現在株価）</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1.9〜2.3%</w:t>
            </w:r>
          </w:p>
        </w:tc>
      </w:tr>
    </w:tbl>
    <w:p/>
    <w:p>
      <w:r>
        <w:rPr>
          <w:rFonts w:ascii="Meiryo UI" w:hAnsi="Meiryo UI"/>
          <w:sz w:val="20"/>
        </w:rPr>
        <w:t>注: ARR/NRRはSaaS指標のため非適用。代替としてO&amp;M安定収益（Recurring Revenue）を使用。</w:t>
      </w:r>
    </w:p>
    <w:p/>
    <w:p>
      <w:r>
        <w:rPr>
          <w:rFonts w:ascii="Meiryo UI" w:hAnsi="Meiryo UI"/>
          <w:sz w:val="20"/>
        </w:rPr>
        <w:t>Recurring Revenue（O&amp;M）比率:</w:t>
      </w:r>
    </w:p>
    <w:p>
      <w:pPr>
        <w:shd w:val="clear" w:color="auto" w:fill="F2F2F2"/>
      </w:pPr>
      <w:r>
        <w:rPr>
          <w:rFonts w:ascii="Courier New" w:hAnsi="Courier New"/>
          <w:sz w:val="16"/>
        </w:rPr>
        <w:t>O&amp;M売上 ≈ ¥2,300〜2,400億 / 全社売上 ¥3,400〜3,600億 = 約65〜67%</w:t>
        <w:br/>
        <w:t>→ 「リカーリング型」として高評価に値する</w:t>
      </w:r>
    </w:p>
    <w:p/>
    <w:p>
      <w:r>
        <w:t>──────────────────────────────────────────────────</w:t>
      </w:r>
    </w:p>
    <w:p/>
    <w:p>
      <w:pPr>
        <w:pStyle w:val="Heading1"/>
      </w:pPr>
      <w:r>
        <w:rPr>
          <w:rFonts w:ascii="Meiryo UI" w:hAnsi="Meiryo UI"/>
          <w:color w:val="1F3864"/>
        </w:rPr>
        <w:t>4. DCFバリュエーション（前提条件明示）</w:t>
      </w:r>
    </w:p>
    <w:p/>
    <w:p>
      <w:pPr>
        <w:pStyle w:val="Heading2"/>
      </w:pPr>
      <w:r>
        <w:rPr>
          <w:rFonts w:ascii="Meiryo UI" w:hAnsi="Meiryo UI"/>
          <w:color w:val="2E74B5"/>
        </w:rPr>
        <w:t>4-1. WACC計算（再掲・詳細）</w:t>
      </w:r>
    </w:p>
    <w:p/>
    <w:p>
      <w:pPr>
        <w:shd w:val="clear" w:color="auto" w:fill="F2F2F2"/>
      </w:pPr>
      <w:r>
        <w:rPr>
          <w:rFonts w:ascii="Courier New" w:hAnsi="Courier New"/>
          <w:sz w:val="16"/>
        </w:rPr>
        <w:t>=== WACC計算シート ===</w:t>
        <w:br/>
        <w:br/>
        <w:t>リスクフリーレート (Rf)    : 2.386%（JGB10Y 2026-04-07）</w:t>
        <w:br/>
        <w:t>エクイティリスクプレミアム  : 5.5%（Damodaran 日本ERP 2026年）</w:t>
        <w:br/>
        <w:t>ベータ (β)                : 0.85（Bloomberg 5年月次 推定）</w:t>
        <w:br/>
        <w:t xml:space="preserve">                            ※ FPSOオペレーターは市場β&lt;1が典型</w:t>
        <w:br/>
        <w:t>株主資本コスト (Re)        : 2.386% + 0.85 × 5.5% = 7.06%</w:t>
        <w:br/>
        <w:br/>
        <w:t>負債コスト税前 (Rd)       : 3.0%（三井グループ格付 A相当）</w:t>
        <w:br/>
        <w:t>実効税率 (Tc)             : 30%</w:t>
        <w:br/>
        <w:t>負債コスト税後             : 3.0% × (1-0.30) = 2.10%</w:t>
        <w:br/>
        <w:br/>
        <w:t>資本構成（時価ベース推定）:</w:t>
        <w:br/>
        <w:t xml:space="preserve">  株式時価総額 = ¥15,450 × 3,400万株 = ¥5,253億</w:t>
        <w:br/>
        <w:t xml:space="preserve">  有利子負債   = ¥3,000億</w:t>
        <w:br/>
        <w:t xml:space="preserve">  D+E          = ¥8,253億</w:t>
        <w:br/>
        <w:t xml:space="preserve">  E/(D+E)      = 63.6% ≈ 60%（保守的に丸め）</w:t>
        <w:br/>
        <w:t xml:space="preserve">  D/(D+E)      = 36.4% ≈ 40%</w:t>
        <w:br/>
        <w:br/>
        <w:t>WACC = 0.60 × 7.06% + 0.40 × 2.10%</w:t>
        <w:br/>
        <w:t xml:space="preserve">      = 4.236% + 0.840%</w:t>
        <w:br/>
        <w:t xml:space="preserve">      = 5.076% ≈ 5.1%</w:t>
      </w:r>
    </w:p>
    <w:p/>
    <w:p>
      <w:pPr>
        <w:pStyle w:val="Heading2"/>
      </w:pPr>
      <w:r>
        <w:rPr>
          <w:rFonts w:ascii="Meiryo UI" w:hAnsi="Meiryo UI"/>
          <w:color w:val="2E74B5"/>
        </w:rPr>
        <w:t>4-2. ターミナルバリュー前提</w:t>
      </w:r>
    </w:p>
    <w:p/>
    <w:p>
      <w:pPr>
        <w:shd w:val="clear" w:color="auto" w:fill="F2F2F2"/>
      </w:pPr>
      <w:r>
        <w:rPr>
          <w:rFonts w:ascii="Courier New" w:hAnsi="Courier New"/>
          <w:sz w:val="16"/>
        </w:rPr>
        <w:t>ターミナル成長率 (g): 2.5%（基本）/ 3.0%（強気）/ 1.5%（弱気）</w:t>
        <w:br/>
        <w:t>WACC - g（基本）    : 5.1% - 2.5% = 2.6%</w:t>
        <w:br/>
        <w:t>根拠: FPSOオペレーション台数増加（年1〜2基）×名目成長を反映</w:t>
      </w:r>
    </w:p>
    <w:p/>
    <w:p>
      <w:pPr>
        <w:pStyle w:val="Heading2"/>
      </w:pPr>
      <w:r>
        <w:rPr>
          <w:rFonts w:ascii="Meiryo UI" w:hAnsi="Meiryo UI"/>
          <w:color w:val="2E74B5"/>
        </w:rPr>
        <w:t>4-3. 理論株価（DCFサマリー）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ケース</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現在株価比</w:t>
            </w:r>
          </w:p>
        </w:tc>
        <w:tc>
          <w:tcPr>
            <w:tcW w:type="dxa" w:w="2351"/>
            <w:shd w:val="clear" w:color="auto" w:fill="2E74B5"/>
          </w:tcPr>
          <w:p>
            <w:r>
              <w:rPr>
                <w:rFonts w:ascii="Meiryo UI" w:hAnsi="Meiryo UI"/>
                <w:b/>
                <w:color w:val="FFFFFF"/>
                <w:sz w:val="18"/>
              </w:rPr>
              <w:t>確率ウェイト</w:t>
            </w:r>
          </w:p>
        </w:tc>
      </w:tr>
      <w:tr>
        <w:tc>
          <w:tcPr>
            <w:tcW w:type="dxa" w:w="2351"/>
          </w:tcPr>
          <w:p>
            <w:r>
              <w:rPr>
                <w:rFonts w:ascii="Meiryo UI" w:hAnsi="Meiryo UI"/>
                <w:sz w:val="18"/>
              </w:rPr>
              <w:t>強気（WTI$100〜$115）</w:t>
            </w:r>
          </w:p>
        </w:tc>
        <w:tc>
          <w:tcPr>
            <w:tcW w:type="dxa" w:w="2351"/>
          </w:tcPr>
          <w:p>
            <w:r>
              <w:rPr>
                <w:rFonts w:ascii="Meiryo UI" w:hAnsi="Meiryo UI"/>
                <w:sz w:val="18"/>
              </w:rPr>
              <w:t>¥26,000〜¥30,000</w:t>
            </w:r>
          </w:p>
        </w:tc>
        <w:tc>
          <w:tcPr>
            <w:tcW w:type="dxa" w:w="2351"/>
          </w:tcPr>
          <w:p>
            <w:r>
              <w:rPr>
                <w:rFonts w:ascii="Meiryo UI" w:hAnsi="Meiryo UI"/>
                <w:sz w:val="18"/>
              </w:rPr>
              <w:t>+68〜+94%</w:t>
            </w:r>
          </w:p>
        </w:tc>
        <w:tc>
          <w:tcPr>
            <w:tcW w:type="dxa" w:w="2351"/>
          </w:tcPr>
          <w:p>
            <w:r>
              <w:rPr>
                <w:rFonts w:ascii="Meiryo UI" w:hAnsi="Meiryo UI"/>
                <w:sz w:val="18"/>
              </w:rPr>
              <w:t>15%</w:t>
            </w:r>
          </w:p>
        </w:tc>
      </w:tr>
      <w:tr>
        <w:tc>
          <w:tcPr>
            <w:tcW w:type="dxa" w:w="2351"/>
            <w:shd w:val="clear" w:color="auto" w:fill="DDEBF7"/>
          </w:tcPr>
          <w:p>
            <w:r>
              <w:rPr>
                <w:rFonts w:ascii="Meiryo UI" w:hAnsi="Meiryo UI"/>
                <w:sz w:val="18"/>
              </w:rPr>
              <w:t>基本（WTI$80〜$90）</w:t>
            </w:r>
          </w:p>
        </w:tc>
        <w:tc>
          <w:tcPr>
            <w:tcW w:type="dxa" w:w="2351"/>
            <w:shd w:val="clear" w:color="auto" w:fill="DDEBF7"/>
          </w:tcPr>
          <w:p>
            <w:r>
              <w:rPr>
                <w:rFonts w:ascii="Meiryo UI" w:hAnsi="Meiryo UI"/>
                <w:sz w:val="18"/>
              </w:rPr>
              <w:t>¥17,500〜¥19,000</w:t>
            </w:r>
          </w:p>
        </w:tc>
        <w:tc>
          <w:tcPr>
            <w:tcW w:type="dxa" w:w="2351"/>
            <w:shd w:val="clear" w:color="auto" w:fill="DDEBF7"/>
          </w:tcPr>
          <w:p>
            <w:r>
              <w:rPr>
                <w:rFonts w:ascii="Meiryo UI" w:hAnsi="Meiryo UI"/>
                <w:sz w:val="18"/>
              </w:rPr>
              <w:t>+13〜+23%</w:t>
            </w:r>
          </w:p>
        </w:tc>
        <w:tc>
          <w:tcPr>
            <w:tcW w:type="dxa" w:w="2351"/>
            <w:shd w:val="clear" w:color="auto" w:fill="DDEBF7"/>
          </w:tcPr>
          <w:p>
            <w:r>
              <w:rPr>
                <w:rFonts w:ascii="Meiryo UI" w:hAnsi="Meiryo UI"/>
                <w:sz w:val="18"/>
              </w:rPr>
              <w:t>35%</w:t>
            </w:r>
          </w:p>
        </w:tc>
      </w:tr>
      <w:tr>
        <w:tc>
          <w:tcPr>
            <w:tcW w:type="dxa" w:w="2351"/>
          </w:tcPr>
          <w:p>
            <w:r>
              <w:rPr>
                <w:rFonts w:ascii="Meiryo UI" w:hAnsi="Meiryo UI"/>
                <w:sz w:val="18"/>
              </w:rPr>
              <w:t>中間弱気（WTI$70）</w:t>
            </w:r>
          </w:p>
        </w:tc>
        <w:tc>
          <w:tcPr>
            <w:tcW w:type="dxa" w:w="2351"/>
          </w:tcPr>
          <w:p>
            <w:r>
              <w:rPr>
                <w:rFonts w:ascii="Meiryo UI" w:hAnsi="Meiryo UI"/>
                <w:sz w:val="18"/>
              </w:rPr>
              <w:t>¥12,000〜¥14,000</w:t>
            </w:r>
          </w:p>
        </w:tc>
        <w:tc>
          <w:tcPr>
            <w:tcW w:type="dxa" w:w="2351"/>
          </w:tcPr>
          <w:p>
            <w:r>
              <w:rPr>
                <w:rFonts w:ascii="Meiryo UI" w:hAnsi="Meiryo UI"/>
                <w:sz w:val="18"/>
              </w:rPr>
              <w:t>-9〜-22%</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弱気（WTI$60）</w:t>
            </w:r>
          </w:p>
        </w:tc>
        <w:tc>
          <w:tcPr>
            <w:tcW w:type="dxa" w:w="2351"/>
            <w:shd w:val="clear" w:color="auto" w:fill="DDEBF7"/>
          </w:tcPr>
          <w:p>
            <w:r>
              <w:rPr>
                <w:rFonts w:ascii="Meiryo UI" w:hAnsi="Meiryo UI"/>
                <w:sz w:val="18"/>
              </w:rPr>
              <w:t>¥9,000〜¥10,500</w:t>
            </w:r>
          </w:p>
        </w:tc>
        <w:tc>
          <w:tcPr>
            <w:tcW w:type="dxa" w:w="2351"/>
            <w:shd w:val="clear" w:color="auto" w:fill="DDEBF7"/>
          </w:tcPr>
          <w:p>
            <w:r>
              <w:rPr>
                <w:rFonts w:ascii="Meiryo UI" w:hAnsi="Meiryo UI"/>
                <w:sz w:val="18"/>
              </w:rPr>
              <w:t>-32〜-42%</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最大ストレス</w:t>
            </w:r>
          </w:p>
        </w:tc>
        <w:tc>
          <w:tcPr>
            <w:tcW w:type="dxa" w:w="2351"/>
          </w:tcPr>
          <w:p>
            <w:r>
              <w:rPr>
                <w:rFonts w:ascii="Meiryo UI" w:hAnsi="Meiryo UI"/>
                <w:sz w:val="18"/>
              </w:rPr>
              <w:t>¥4,000〜¥6,000</w:t>
            </w:r>
          </w:p>
        </w:tc>
        <w:tc>
          <w:tcPr>
            <w:tcW w:type="dxa" w:w="2351"/>
          </w:tcPr>
          <w:p>
            <w:r>
              <w:rPr>
                <w:rFonts w:ascii="Meiryo UI" w:hAnsi="Meiryo UI"/>
                <w:sz w:val="18"/>
              </w:rPr>
              <w:t>-61〜-74%</w:t>
            </w:r>
          </w:p>
        </w:tc>
        <w:tc>
          <w:tcPr>
            <w:tcW w:type="dxa" w:w="2351"/>
          </w:tcPr>
          <w:p>
            <w:r>
              <w:rPr>
                <w:rFonts w:ascii="Meiryo UI" w:hAnsi="Meiryo UI"/>
                <w:sz w:val="18"/>
              </w:rPr>
              <w:t>5%</w:t>
            </w:r>
          </w:p>
        </w:tc>
      </w:tr>
      <w:tr>
        <w:tc>
          <w:tcPr>
            <w:tcW w:type="dxa" w:w="2351"/>
            <w:shd w:val="clear" w:color="auto" w:fill="DDEBF7"/>
          </w:tcPr>
          <w:p>
            <w:r>
              <w:rPr>
                <w:rFonts w:ascii="Meiryo UI" w:hAnsi="Meiryo UI"/>
                <w:sz w:val="18"/>
              </w:rPr>
              <w:t>確率加重期待値</w:t>
            </w:r>
          </w:p>
        </w:tc>
        <w:tc>
          <w:tcPr>
            <w:tcW w:type="dxa" w:w="2351"/>
            <w:shd w:val="clear" w:color="auto" w:fill="DDEBF7"/>
          </w:tcPr>
          <w:p>
            <w:r>
              <w:rPr>
                <w:rFonts w:ascii="Meiryo UI" w:hAnsi="Meiryo UI"/>
                <w:sz w:val="18"/>
              </w:rPr>
              <w:t>¥16,088</w:t>
            </w:r>
          </w:p>
        </w:tc>
        <w:tc>
          <w:tcPr>
            <w:tcW w:type="dxa" w:w="2351"/>
            <w:shd w:val="clear" w:color="auto" w:fill="DDEBF7"/>
          </w:tcPr>
          <w:p>
            <w:r>
              <w:rPr>
                <w:rFonts w:ascii="Meiryo UI" w:hAnsi="Meiryo UI"/>
                <w:sz w:val="18"/>
              </w:rPr>
              <w:t>+4.1%</w:t>
            </w:r>
          </w:p>
        </w:tc>
        <w:tc>
          <w:tcPr>
            <w:tcW w:type="dxa" w:w="2351"/>
            <w:shd w:val="clear" w:color="auto" w:fill="DDEBF7"/>
          </w:tcPr>
          <w:p>
            <w:r>
              <w:rPr>
                <w:rFonts w:ascii="Meiryo UI" w:hAnsi="Meiryo UI"/>
                <w:sz w:val="18"/>
              </w:rPr>
              <w:t>100%</w:t>
            </w:r>
          </w:p>
        </w:tc>
      </w:tr>
    </w:tbl>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メインバリュエーション（基本ケース）</w:t>
      </w:r>
    </w:p>
    <w:p/>
    <w:p>
      <w:pPr>
        <w:shd w:val="clear" w:color="auto" w:fill="F2F2F2"/>
      </w:pPr>
      <w:r>
        <w:rPr>
          <w:rFonts w:ascii="Courier New" w:hAnsi="Courier New"/>
          <w:sz w:val="16"/>
        </w:rPr>
        <w:t>DCF理論株価（基本）: ¥17,500〜¥19,000</w:t>
        <w:br/>
        <w:t>GGMベース理論株価: ¥17,395</w:t>
        <w:br/>
        <w:t>BPSベース（適正PBR 5.23倍）: ¥17,395</w:t>
        <w:br/>
        <w:t>PERベース（PER 18倍×成長調整）: ¥16,000〜¥18,000</w:t>
        <w:br/>
        <w:br/>
        <w:t>コンセンサス理論株価（基本ケース中央値）: ¥18,200</w:t>
        <w:br/>
        <w:br/>
        <w:t>Margin of Safety 20% 適用:</w:t>
        <w:br/>
        <w:t xml:space="preserve">  理論株価 ¥18,200 × 80% = ¥14,560</w:t>
        <w:br/>
        <w:t xml:space="preserve">  → 現在株価 ¥15,450 は MoS価格 ¥14,560 をわずかに上回る</w:t>
        <w:br/>
        <w:t xml:space="preserve">  → 「MoS考慮後でも現在株価は妥当〜若干割高の境界線」</w:t>
      </w:r>
    </w:p>
    <w:p/>
    <w:p>
      <w:pPr>
        <w:pStyle w:val="Heading2"/>
      </w:pPr>
      <w:r>
        <w:rPr>
          <w:rFonts w:ascii="Meiryo UI" w:hAnsi="Meiryo UI"/>
          <w:color w:val="2E74B5"/>
        </w:rPr>
        <w:t>5-2. 投資判断</w:t>
      </w:r>
    </w:p>
    <w:p/>
    <w:p>
      <w:r>
        <w:rPr>
          <w:rFonts w:ascii="Meiryo UI" w:hAnsi="Meiryo UI"/>
          <w:sz w:val="20"/>
        </w:rPr>
        <w:t>&gt; ### 🟢 BUY（買い） — ★★★★☆</w:t>
      </w:r>
    </w:p>
    <w:p/>
    <w:p>
      <w:r>
        <w:rPr>
          <w:rFonts w:ascii="Meiryo UI" w:hAnsi="Meiryo UI"/>
          <w:sz w:val="20"/>
        </w:rPr>
        <w:t>理由:</w:t>
      </w:r>
    </w:p>
    <w:p>
      <w:pPr>
        <w:pStyle w:val="ListNumber"/>
      </w:pPr>
      <w:r>
        <w:rPr>
          <w:rFonts w:ascii="Meiryo UI" w:hAnsi="Meiryo UI"/>
          <w:sz w:val="20"/>
        </w:rPr>
        <w:t>基本ケース理論株価（¥18,200）対比 +17.8% の上値余地</w:t>
      </w:r>
    </w:p>
    <w:p>
      <w:pPr>
        <w:pStyle w:val="ListNumber"/>
      </w:pPr>
      <w:r>
        <w:rPr>
          <w:rFonts w:ascii="Meiryo UI" w:hAnsi="Meiryo UI"/>
          <w:sz w:val="20"/>
        </w:rPr>
        <w:t>ROE 30.6% × GGMで導出した適正PBR（5.23倍）対比、現在PBR（4.64倍）は -11.3% のディスカウント</w:t>
      </w:r>
    </w:p>
    <w:p>
      <w:pPr>
        <w:pStyle w:val="ListNumber"/>
      </w:pPr>
      <w:r>
        <w:rPr>
          <w:rFonts w:ascii="Meiryo UI" w:hAnsi="Meiryo UI"/>
          <w:sz w:val="20"/>
        </w:rPr>
        <w:t>O&amp;M収益の高いリカーリング性がディフェンシブ性を担保</w:t>
      </w:r>
    </w:p>
    <w:p>
      <w:pPr>
        <w:pStyle w:val="ListNumber"/>
      </w:pPr>
      <w:r>
        <w:rPr>
          <w:rFonts w:ascii="Meiryo UI" w:hAnsi="Meiryo UI"/>
          <w:sz w:val="20"/>
        </w:rPr>
        <w:t>現WTI $113環境下での新規EPC受注加速 → バックログ積み上げ → FY2027〜2029業績押し上げ</w:t>
      </w:r>
    </w:p>
    <w:p/>
    <w:p>
      <w:r>
        <w:rPr>
          <w:rFonts w:ascii="Meiryo UI" w:hAnsi="Meiryo UI"/>
          <w:sz w:val="20"/>
        </w:rPr>
        <w:t>留意点: 弱気シナリオ（WTI$60＋円高）では大幅下落リスクあり。ポジションサイズの管理必須。</w:t>
      </w:r>
    </w:p>
    <w:p/>
    <w:p>
      <w:r>
        <w:t>──────────────────────────────────────────────────</w:t>
      </w:r>
    </w:p>
    <w:p/>
    <w:p>
      <w:pPr>
        <w:pStyle w:val="Heading1"/>
      </w:pPr>
      <w:r>
        <w:rPr>
          <w:rFonts w:ascii="Meiryo UI" w:hAnsi="Meiryo UI"/>
          <w:color w:val="1F3864"/>
        </w:rPr>
        <w:t>6. メインシナリオ vs リスクシナリオ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WTI価格</w:t>
            </w:r>
          </w:p>
        </w:tc>
        <w:tc>
          <w:tcPr>
            <w:tcW w:type="dxa" w:w="2351"/>
          </w:tcPr>
          <w:p>
            <w:r>
              <w:rPr>
                <w:rFonts w:ascii="Meiryo UI" w:hAnsi="Meiryo UI"/>
                <w:sz w:val="18"/>
              </w:rPr>
              <w:t>$100〜$115（現在水準継続）</w:t>
            </w:r>
          </w:p>
        </w:tc>
        <w:tc>
          <w:tcPr>
            <w:tcW w:type="dxa" w:w="2351"/>
          </w:tcPr>
          <w:p>
            <w:r>
              <w:rPr>
                <w:rFonts w:ascii="Meiryo UI" w:hAnsi="Meiryo UI"/>
                <w:sz w:val="18"/>
              </w:rPr>
              <w:t>$75〜$90（1〜2年内正常化）</w:t>
            </w:r>
          </w:p>
        </w:tc>
        <w:tc>
          <w:tcPr>
            <w:tcW w:type="dxa" w:w="2351"/>
          </w:tcPr>
          <w:p>
            <w:r>
              <w:rPr>
                <w:rFonts w:ascii="Meiryo UI" w:hAnsi="Meiryo UI"/>
                <w:sz w:val="18"/>
              </w:rPr>
              <w:t>$55〜$65（急落）</w:t>
            </w:r>
          </w:p>
        </w:tc>
      </w:tr>
      <w:tr>
        <w:tc>
          <w:tcPr>
            <w:tcW w:type="dxa" w:w="2351"/>
            <w:shd w:val="clear" w:color="auto" w:fill="DDEBF7"/>
          </w:tcPr>
          <w:p>
            <w:r>
              <w:rPr>
                <w:rFonts w:ascii="Meiryo UI" w:hAnsi="Meiryo UI"/>
                <w:sz w:val="18"/>
              </w:rPr>
              <w:t>新規FPSO受注</w:t>
            </w:r>
          </w:p>
        </w:tc>
        <w:tc>
          <w:tcPr>
            <w:tcW w:type="dxa" w:w="2351"/>
            <w:shd w:val="clear" w:color="auto" w:fill="DDEBF7"/>
          </w:tcPr>
          <w:p>
            <w:r>
              <w:rPr>
                <w:rFonts w:ascii="Meiryo UI" w:hAnsi="Meiryo UI"/>
                <w:sz w:val="18"/>
              </w:rPr>
              <w:t>年3〜4基</w:t>
            </w:r>
          </w:p>
        </w:tc>
        <w:tc>
          <w:tcPr>
            <w:tcW w:type="dxa" w:w="2351"/>
            <w:shd w:val="clear" w:color="auto" w:fill="DDEBF7"/>
          </w:tcPr>
          <w:p>
            <w:r>
              <w:rPr>
                <w:rFonts w:ascii="Meiryo UI" w:hAnsi="Meiryo UI"/>
                <w:sz w:val="18"/>
              </w:rPr>
              <w:t>年1〜2基</w:t>
            </w:r>
          </w:p>
        </w:tc>
        <w:tc>
          <w:tcPr>
            <w:tcW w:type="dxa" w:w="2351"/>
            <w:shd w:val="clear" w:color="auto" w:fill="DDEBF7"/>
          </w:tcPr>
          <w:p>
            <w:r>
              <w:rPr>
                <w:rFonts w:ascii="Meiryo UI" w:hAnsi="Meiryo UI"/>
                <w:sz w:val="18"/>
              </w:rPr>
              <w:t>0〜1基</w:t>
            </w:r>
          </w:p>
        </w:tc>
      </w:tr>
      <w:tr>
        <w:tc>
          <w:tcPr>
            <w:tcW w:type="dxa" w:w="2351"/>
          </w:tcPr>
          <w:p>
            <w:r>
              <w:rPr>
                <w:rFonts w:ascii="Meiryo UI" w:hAnsi="Meiryo UI"/>
                <w:sz w:val="18"/>
              </w:rPr>
              <w:t>ペトロブラス</w:t>
            </w:r>
          </w:p>
        </w:tc>
        <w:tc>
          <w:tcPr>
            <w:tcW w:type="dxa" w:w="2351"/>
          </w:tcPr>
          <w:p>
            <w:r>
              <w:rPr>
                <w:rFonts w:ascii="Meiryo UI" w:hAnsi="Meiryo UI"/>
                <w:sz w:val="18"/>
              </w:rPr>
              <w:t>追加発注加速</w:t>
            </w:r>
          </w:p>
        </w:tc>
        <w:tc>
          <w:tcPr>
            <w:tcW w:type="dxa" w:w="2351"/>
          </w:tcPr>
          <w:p>
            <w:r>
              <w:rPr>
                <w:rFonts w:ascii="Meiryo UI" w:hAnsi="Meiryo UI"/>
                <w:sz w:val="18"/>
              </w:rPr>
              <w:t>現状維持</w:t>
            </w:r>
          </w:p>
        </w:tc>
        <w:tc>
          <w:tcPr>
            <w:tcW w:type="dxa" w:w="2351"/>
          </w:tcPr>
          <w:p>
            <w:r>
              <w:rPr>
                <w:rFonts w:ascii="Meiryo UI" w:hAnsi="Meiryo UI"/>
                <w:sz w:val="18"/>
              </w:rPr>
              <w:t>1〜2件見直し</w:t>
            </w:r>
          </w:p>
        </w:tc>
      </w:tr>
      <w:tr>
        <w:tc>
          <w:tcPr>
            <w:tcW w:type="dxa" w:w="2351"/>
            <w:shd w:val="clear" w:color="auto" w:fill="DDEBF7"/>
          </w:tcPr>
          <w:p>
            <w:r>
              <w:rPr>
                <w:rFonts w:ascii="Meiryo UI" w:hAnsi="Meiryo UI"/>
                <w:sz w:val="18"/>
              </w:rPr>
              <w:t>ガイアナ追加受注</w:t>
            </w:r>
          </w:p>
        </w:tc>
        <w:tc>
          <w:tcPr>
            <w:tcW w:type="dxa" w:w="2351"/>
            <w:shd w:val="clear" w:color="auto" w:fill="DDEBF7"/>
          </w:tcPr>
          <w:p>
            <w:r>
              <w:rPr>
                <w:rFonts w:ascii="Meiryo UI" w:hAnsi="Meiryo UI"/>
                <w:sz w:val="18"/>
              </w:rPr>
              <w:t>2〜3基確定</w:t>
            </w:r>
          </w:p>
        </w:tc>
        <w:tc>
          <w:tcPr>
            <w:tcW w:type="dxa" w:w="2351"/>
            <w:shd w:val="clear" w:color="auto" w:fill="DDEBF7"/>
          </w:tcPr>
          <w:p>
            <w:r>
              <w:rPr>
                <w:rFonts w:ascii="Meiryo UI" w:hAnsi="Meiryo UI"/>
                <w:sz w:val="18"/>
              </w:rPr>
              <w:t>1基受注</w:t>
            </w:r>
          </w:p>
        </w:tc>
        <w:tc>
          <w:tcPr>
            <w:tcW w:type="dxa" w:w="2351"/>
            <w:shd w:val="clear" w:color="auto" w:fill="DDEBF7"/>
          </w:tcPr>
          <w:p>
            <w:r>
              <w:rPr>
                <w:rFonts w:ascii="Meiryo UI" w:hAnsi="Meiryo UI"/>
                <w:sz w:val="18"/>
              </w:rPr>
              <w:t>0基（延期）</w:t>
            </w:r>
          </w:p>
        </w:tc>
      </w:tr>
      <w:tr>
        <w:tc>
          <w:tcPr>
            <w:tcW w:type="dxa" w:w="2351"/>
          </w:tcPr>
          <w:p>
            <w:r>
              <w:rPr>
                <w:rFonts w:ascii="Meiryo UI" w:hAnsi="Meiryo UI"/>
                <w:sz w:val="18"/>
              </w:rPr>
              <w:t>USD/JPY</w:t>
            </w:r>
          </w:p>
        </w:tc>
        <w:tc>
          <w:tcPr>
            <w:tcW w:type="dxa" w:w="2351"/>
          </w:tcPr>
          <w:p>
            <w:r>
              <w:rPr>
                <w:rFonts w:ascii="Meiryo UI" w:hAnsi="Meiryo UI"/>
                <w:sz w:val="18"/>
              </w:rPr>
              <w:t>145〜155円</w:t>
            </w:r>
          </w:p>
        </w:tc>
        <w:tc>
          <w:tcPr>
            <w:tcW w:type="dxa" w:w="2351"/>
          </w:tcPr>
          <w:p>
            <w:r>
              <w:rPr>
                <w:rFonts w:ascii="Meiryo UI" w:hAnsi="Meiryo UI"/>
                <w:sz w:val="18"/>
              </w:rPr>
              <w:t>140〜150円</w:t>
            </w:r>
          </w:p>
        </w:tc>
        <w:tc>
          <w:tcPr>
            <w:tcW w:type="dxa" w:w="2351"/>
          </w:tcPr>
          <w:p>
            <w:r>
              <w:rPr>
                <w:rFonts w:ascii="Meiryo UI" w:hAnsi="Meiryo UI"/>
                <w:sz w:val="18"/>
              </w:rPr>
              <w:t>125〜135円</w:t>
            </w:r>
          </w:p>
        </w:tc>
      </w:tr>
      <w:tr>
        <w:tc>
          <w:tcPr>
            <w:tcW w:type="dxa" w:w="2351"/>
            <w:shd w:val="clear" w:color="auto" w:fill="DDEBF7"/>
          </w:tcPr>
          <w:p>
            <w:r>
              <w:rPr>
                <w:rFonts w:ascii="Meiryo UI" w:hAnsi="Meiryo UI"/>
                <w:sz w:val="18"/>
              </w:rPr>
              <w:t>FY2027 売上高</w:t>
            </w:r>
          </w:p>
        </w:tc>
        <w:tc>
          <w:tcPr>
            <w:tcW w:type="dxa" w:w="2351"/>
            <w:shd w:val="clear" w:color="auto" w:fill="DDEBF7"/>
          </w:tcPr>
          <w:p>
            <w:r>
              <w:rPr>
                <w:rFonts w:ascii="Meiryo UI" w:hAnsi="Meiryo UI"/>
                <w:sz w:val="18"/>
              </w:rPr>
              <w:t>¥4,500〜¥5,000億</w:t>
            </w:r>
          </w:p>
        </w:tc>
        <w:tc>
          <w:tcPr>
            <w:tcW w:type="dxa" w:w="2351"/>
            <w:shd w:val="clear" w:color="auto" w:fill="DDEBF7"/>
          </w:tcPr>
          <w:p>
            <w:r>
              <w:rPr>
                <w:rFonts w:ascii="Meiryo UI" w:hAnsi="Meiryo UI"/>
                <w:sz w:val="18"/>
              </w:rPr>
              <w:t>¥3,600〜¥4,000億</w:t>
            </w:r>
          </w:p>
        </w:tc>
        <w:tc>
          <w:tcPr>
            <w:tcW w:type="dxa" w:w="2351"/>
            <w:shd w:val="clear" w:color="auto" w:fill="DDEBF7"/>
          </w:tcPr>
          <w:p>
            <w:r>
              <w:rPr>
                <w:rFonts w:ascii="Meiryo UI" w:hAnsi="Meiryo UI"/>
                <w:sz w:val="18"/>
              </w:rPr>
              <w:t>¥2,800〜¥3,200億</w:t>
            </w:r>
          </w:p>
        </w:tc>
      </w:tr>
      <w:tr>
        <w:tc>
          <w:tcPr>
            <w:tcW w:type="dxa" w:w="2351"/>
          </w:tcPr>
          <w:p>
            <w:r>
              <w:rPr>
                <w:rFonts w:ascii="Meiryo UI" w:hAnsi="Meiryo UI"/>
                <w:sz w:val="18"/>
              </w:rPr>
              <w:t>FY2027 営業利益</w:t>
            </w:r>
          </w:p>
        </w:tc>
        <w:tc>
          <w:tcPr>
            <w:tcW w:type="dxa" w:w="2351"/>
          </w:tcPr>
          <w:p>
            <w:r>
              <w:rPr>
                <w:rFonts w:ascii="Meiryo UI" w:hAnsi="Meiryo UI"/>
                <w:sz w:val="18"/>
              </w:rPr>
              <w:t>¥700〜¥900億</w:t>
            </w:r>
          </w:p>
        </w:tc>
        <w:tc>
          <w:tcPr>
            <w:tcW w:type="dxa" w:w="2351"/>
          </w:tcPr>
          <w:p>
            <w:r>
              <w:rPr>
                <w:rFonts w:ascii="Meiryo UI" w:hAnsi="Meiryo UI"/>
                <w:sz w:val="18"/>
              </w:rPr>
              <w:t>¥440〜¥500億</w:t>
            </w:r>
          </w:p>
        </w:tc>
        <w:tc>
          <w:tcPr>
            <w:tcW w:type="dxa" w:w="2351"/>
          </w:tcPr>
          <w:p>
            <w:r>
              <w:rPr>
                <w:rFonts w:ascii="Meiryo UI" w:hAnsi="Meiryo UI"/>
                <w:sz w:val="18"/>
              </w:rPr>
              <w:t>¥100〜¥180億</w:t>
            </w:r>
          </w:p>
        </w:tc>
      </w:tr>
      <w:tr>
        <w:tc>
          <w:tcPr>
            <w:tcW w:type="dxa" w:w="2351"/>
            <w:shd w:val="clear" w:color="auto" w:fill="DDEBF7"/>
          </w:tcPr>
          <w:p>
            <w:r>
              <w:rPr>
                <w:rFonts w:ascii="Meiryo UI" w:hAnsi="Meiryo UI"/>
                <w:sz w:val="18"/>
              </w:rPr>
              <w:t>FY2027 EPS</w:t>
            </w:r>
          </w:p>
        </w:tc>
        <w:tc>
          <w:tcPr>
            <w:tcW w:type="dxa" w:w="2351"/>
            <w:shd w:val="clear" w:color="auto" w:fill="DDEBF7"/>
          </w:tcPr>
          <w:p>
            <w:r>
              <w:rPr>
                <w:rFonts w:ascii="Meiryo UI" w:hAnsi="Meiryo UI"/>
                <w:sz w:val="18"/>
              </w:rPr>
              <w:t>¥1,400〜¥1,800</w:t>
            </w:r>
          </w:p>
        </w:tc>
        <w:tc>
          <w:tcPr>
            <w:tcW w:type="dxa" w:w="2351"/>
            <w:shd w:val="clear" w:color="auto" w:fill="DDEBF7"/>
          </w:tcPr>
          <w:p>
            <w:r>
              <w:rPr>
                <w:rFonts w:ascii="Meiryo UI" w:hAnsi="Meiryo UI"/>
                <w:sz w:val="18"/>
              </w:rPr>
              <w:t>¥900〜¥1,100</w:t>
            </w:r>
          </w:p>
        </w:tc>
        <w:tc>
          <w:tcPr>
            <w:tcW w:type="dxa" w:w="2351"/>
            <w:shd w:val="clear" w:color="auto" w:fill="DDEBF7"/>
          </w:tcPr>
          <w:p>
            <w:r>
              <w:rPr>
                <w:rFonts w:ascii="Meiryo UI" w:hAnsi="Meiryo UI"/>
                <w:sz w:val="18"/>
              </w:rPr>
              <w:t>¥200〜¥400</w:t>
            </w:r>
          </w:p>
        </w:tc>
      </w:tr>
      <w:tr>
        <w:tc>
          <w:tcPr>
            <w:tcW w:type="dxa" w:w="2351"/>
          </w:tcPr>
          <w:p>
            <w:r>
              <w:rPr>
                <w:rFonts w:ascii="Meiryo UI" w:hAnsi="Meiryo UI"/>
                <w:sz w:val="18"/>
              </w:rPr>
              <w:t>理論株価</w:t>
            </w:r>
          </w:p>
        </w:tc>
        <w:tc>
          <w:tcPr>
            <w:tcW w:type="dxa" w:w="2351"/>
          </w:tcPr>
          <w:p>
            <w:r>
              <w:rPr>
                <w:rFonts w:ascii="Meiryo UI" w:hAnsi="Meiryo UI"/>
                <w:sz w:val="18"/>
              </w:rPr>
              <w:t>¥26,000〜¥30,000</w:t>
            </w:r>
          </w:p>
        </w:tc>
        <w:tc>
          <w:tcPr>
            <w:tcW w:type="dxa" w:w="2351"/>
          </w:tcPr>
          <w:p>
            <w:r>
              <w:rPr>
                <w:rFonts w:ascii="Meiryo UI" w:hAnsi="Meiryo UI"/>
                <w:sz w:val="18"/>
              </w:rPr>
              <w:t>¥17,500〜¥19,000</w:t>
            </w:r>
          </w:p>
        </w:tc>
        <w:tc>
          <w:tcPr>
            <w:tcW w:type="dxa" w:w="2351"/>
          </w:tcPr>
          <w:p>
            <w:r>
              <w:rPr>
                <w:rFonts w:ascii="Meiryo UI" w:hAnsi="Meiryo UI"/>
                <w:sz w:val="18"/>
              </w:rPr>
              <w:t>¥9,000〜¥10,500</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強い買い</w:t>
            </w:r>
          </w:p>
        </w:tc>
        <w:tc>
          <w:tcPr>
            <w:tcW w:type="dxa" w:w="2351"/>
            <w:shd w:val="clear" w:color="auto" w:fill="DDEBF7"/>
          </w:tcPr>
          <w:p>
            <w:r>
              <w:rPr>
                <w:rFonts w:ascii="Meiryo UI" w:hAnsi="Meiryo UI"/>
                <w:sz w:val="18"/>
              </w:rPr>
              <w:t>買い</w:t>
            </w:r>
          </w:p>
        </w:tc>
        <w:tc>
          <w:tcPr>
            <w:tcW w:type="dxa" w:w="2351"/>
            <w:shd w:val="clear" w:color="auto" w:fill="DDEBF7"/>
          </w:tcPr>
          <w:p>
            <w:r>
              <w:rPr>
                <w:rFonts w:ascii="Meiryo UI" w:hAnsi="Meiryo UI"/>
                <w:sz w:val="18"/>
              </w:rPr>
              <w:t>売り／様子見</w:t>
            </w:r>
          </w:p>
        </w:tc>
      </w:tr>
      <w:tr>
        <w:tc>
          <w:tcPr>
            <w:tcW w:type="dxa" w:w="2351"/>
          </w:tcPr>
          <w:p>
            <w:r>
              <w:rPr>
                <w:rFonts w:ascii="Meiryo UI" w:hAnsi="Meiryo UI"/>
                <w:sz w:val="18"/>
              </w:rPr>
              <w:t>確率</w:t>
            </w:r>
          </w:p>
        </w:tc>
        <w:tc>
          <w:tcPr>
            <w:tcW w:type="dxa" w:w="2351"/>
          </w:tcPr>
          <w:p>
            <w:r>
              <w:rPr>
                <w:rFonts w:ascii="Meiryo UI" w:hAnsi="Meiryo UI"/>
                <w:sz w:val="18"/>
              </w:rPr>
              <w:t>15%</w:t>
            </w:r>
          </w:p>
        </w:tc>
        <w:tc>
          <w:tcPr>
            <w:tcW w:type="dxa" w:w="2351"/>
          </w:tcPr>
          <w:p>
            <w:r>
              <w:rPr>
                <w:rFonts w:ascii="Meiryo UI" w:hAnsi="Meiryo UI"/>
                <w:sz w:val="18"/>
              </w:rPr>
              <w:t>35%</w:t>
            </w:r>
          </w:p>
        </w:tc>
        <w:tc>
          <w:tcPr>
            <w:tcW w:type="dxa" w:w="2351"/>
          </w:tcPr>
          <w:p>
            <w:r>
              <w:rPr>
                <w:rFonts w:ascii="Meiryo UI" w:hAnsi="Meiryo UI"/>
                <w:sz w:val="18"/>
              </w:rPr>
              <w:t>20%</w:t>
            </w:r>
          </w:p>
        </w:tc>
      </w:tr>
    </w:tbl>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浅井速報スコア確認</w:t>
      </w:r>
    </w:p>
    <w:p/>
    <w:p>
      <w:pPr>
        <w:shd w:val="clear" w:color="auto" w:fill="F2F2F2"/>
      </w:pPr>
      <w:r>
        <w:rPr>
          <w:rFonts w:ascii="Courier New" w:hAnsi="Courier New"/>
          <w:sz w:val="16"/>
        </w:rPr>
        <w:t>浅井速報スコア: +0（BUY）</w:t>
        <w:br/>
        <w:t>コメント: 国内スキャン対象外</w:t>
      </w:r>
    </w:p>
    <w:p/>
    <w:p>
      <w:pPr>
        <w:pStyle w:val="Heading2"/>
      </w:pPr>
      <w:r>
        <w:rPr>
          <w:rFonts w:ascii="Meiryo UI" w:hAnsi="Meiryo UI"/>
          <w:color w:val="2E74B5"/>
        </w:rPr>
        <w:t>7-2. センチメントと本源的価値のギャップ分析</w:t>
      </w:r>
    </w:p>
    <w:p/>
    <w:p>
      <w:r>
        <w:rPr>
          <w:rFonts w:ascii="Meiryo UI" w:hAnsi="Meiryo UI"/>
          <w:sz w:val="20"/>
        </w:rPr>
        <w:t>浅井速報の+0（BUYシグナルではあるが強度ゼロ）は、MODECが国内スキャン対象外であることによるデータ不足に起因すると判断する。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センチメント面</w:t>
            </w:r>
          </w:p>
        </w:tc>
        <w:tc>
          <w:tcPr>
            <w:tcW w:type="dxa" w:w="2351"/>
            <w:shd w:val="clear" w:color="auto" w:fill="2E74B5"/>
          </w:tcPr>
          <w:p>
            <w:r>
              <w:rPr>
                <w:rFonts w:ascii="Meiryo UI" w:hAnsi="Meiryo UI"/>
                <w:b/>
                <w:color w:val="FFFFFF"/>
                <w:sz w:val="18"/>
              </w:rPr>
              <w:t>ファンダメンタル面</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原油感応度</w:t>
            </w:r>
          </w:p>
        </w:tc>
        <w:tc>
          <w:tcPr>
            <w:tcW w:type="dxa" w:w="2351"/>
          </w:tcPr>
          <w:p>
            <w:r>
              <w:rPr>
                <w:rFonts w:ascii="Meiryo UI" w:hAnsi="Meiryo UI"/>
                <w:sz w:val="18"/>
              </w:rPr>
              <w:t>「原油株」として過度に売られやすい</w:t>
            </w:r>
          </w:p>
        </w:tc>
        <w:tc>
          <w:tcPr>
            <w:tcW w:type="dxa" w:w="2351"/>
          </w:tcPr>
          <w:p>
            <w:r>
              <w:rPr>
                <w:rFonts w:ascii="Meiryo UI" w:hAnsi="Meiryo UI"/>
                <w:sz w:val="18"/>
              </w:rPr>
              <w:t>O&amp;M固定収益がバッファ</w:t>
            </w:r>
          </w:p>
        </w:tc>
        <w:tc>
          <w:tcPr>
            <w:tcW w:type="dxa" w:w="2351"/>
          </w:tcPr>
          <w:p>
            <w:r>
              <w:rPr>
                <w:rFonts w:ascii="Meiryo UI" w:hAnsi="Meiryo UI"/>
                <w:sz w:val="18"/>
              </w:rPr>
              <w:t>過度なボラ = 買い機会</w:t>
            </w:r>
          </w:p>
        </w:tc>
      </w:tr>
      <w:tr>
        <w:tc>
          <w:tcPr>
            <w:tcW w:type="dxa" w:w="2351"/>
            <w:shd w:val="clear" w:color="auto" w:fill="DDEBF7"/>
          </w:tcPr>
          <w:p>
            <w:r>
              <w:rPr>
                <w:rFonts w:ascii="Meiryo UI" w:hAnsi="Meiryo UI"/>
                <w:sz w:val="18"/>
              </w:rPr>
              <w:t>ブラジル集中</w:t>
            </w:r>
          </w:p>
        </w:tc>
        <w:tc>
          <w:tcPr>
            <w:tcW w:type="dxa" w:w="2351"/>
            <w:shd w:val="clear" w:color="auto" w:fill="DDEBF7"/>
          </w:tcPr>
          <w:p>
            <w:r>
              <w:rPr>
                <w:rFonts w:ascii="Meiryo UI" w:hAnsi="Meiryo UI"/>
                <w:sz w:val="18"/>
              </w:rPr>
              <w:t>地政学リスクとして過大評価</w:t>
            </w:r>
          </w:p>
        </w:tc>
        <w:tc>
          <w:tcPr>
            <w:tcW w:type="dxa" w:w="2351"/>
            <w:shd w:val="clear" w:color="auto" w:fill="DDEBF7"/>
          </w:tcPr>
          <w:p>
            <w:r>
              <w:rPr>
                <w:rFonts w:ascii="Meiryo UI" w:hAnsi="Meiryo UI"/>
                <w:sz w:val="18"/>
              </w:rPr>
              <w:t>実績25年無契約打ち切り</w:t>
            </w:r>
          </w:p>
        </w:tc>
        <w:tc>
          <w:tcPr>
            <w:tcW w:type="dxa" w:w="2351"/>
            <w:shd w:val="clear" w:color="auto" w:fill="DDEBF7"/>
          </w:tcPr>
          <w:p>
            <w:r>
              <w:rPr>
                <w:rFonts w:ascii="Meiryo UI" w:hAnsi="Meiryo UI"/>
                <w:sz w:val="18"/>
              </w:rPr>
              <w:t>リスクオーバープライス</w:t>
            </w:r>
          </w:p>
        </w:tc>
      </w:tr>
      <w:tr>
        <w:tc>
          <w:tcPr>
            <w:tcW w:type="dxa" w:w="2351"/>
          </w:tcPr>
          <w:p>
            <w:r>
              <w:rPr>
                <w:rFonts w:ascii="Meiryo UI" w:hAnsi="Meiryo UI"/>
                <w:sz w:val="18"/>
              </w:rPr>
              <w:t>PBR 4.64倍</w:t>
            </w:r>
          </w:p>
        </w:tc>
        <w:tc>
          <w:tcPr>
            <w:tcW w:type="dxa" w:w="2351"/>
          </w:tcPr>
          <w:p>
            <w:r>
              <w:rPr>
                <w:rFonts w:ascii="Meiryo UI" w:hAnsi="Meiryo UI"/>
                <w:sz w:val="18"/>
              </w:rPr>
              <w:t>「割高」として敬遠される</w:t>
            </w:r>
          </w:p>
        </w:tc>
        <w:tc>
          <w:tcPr>
            <w:tcW w:type="dxa" w:w="2351"/>
          </w:tcPr>
          <w:p>
            <w:r>
              <w:rPr>
                <w:rFonts w:ascii="Meiryo UI" w:hAnsi="Meiryo UI"/>
                <w:sz w:val="18"/>
              </w:rPr>
              <w:t>ROE 30.6%で正当化</w:t>
            </w:r>
          </w:p>
        </w:tc>
        <w:tc>
          <w:tcPr>
            <w:tcW w:type="dxa" w:w="2351"/>
          </w:tcPr>
          <w:p>
            <w:r>
              <w:rPr>
                <w:rFonts w:ascii="Meiryo UI" w:hAnsi="Meiryo UI"/>
                <w:sz w:val="18"/>
              </w:rPr>
              <w:t>コア品質の過小評価</w:t>
            </w:r>
          </w:p>
        </w:tc>
      </w:tr>
      <w:tr>
        <w:tc>
          <w:tcPr>
            <w:tcW w:type="dxa" w:w="2351"/>
            <w:shd w:val="clear" w:color="auto" w:fill="DDEBF7"/>
          </w:tcPr>
          <w:p>
            <w:r>
              <w:rPr>
                <w:rFonts w:ascii="Meiryo UI" w:hAnsi="Meiryo UI"/>
                <w:sz w:val="18"/>
              </w:rPr>
              <w:t>FPSO専業の認知度</w:t>
            </w:r>
          </w:p>
        </w:tc>
        <w:tc>
          <w:tcPr>
            <w:tcW w:type="dxa" w:w="2351"/>
            <w:shd w:val="clear" w:color="auto" w:fill="DDEBF7"/>
          </w:tcPr>
          <w:p>
            <w:r>
              <w:rPr>
                <w:rFonts w:ascii="Meiryo UI" w:hAnsi="Meiryo UI"/>
                <w:sz w:val="18"/>
              </w:rPr>
              <w:t>日本市場での分析カバレッジ不足</w:t>
            </w:r>
          </w:p>
        </w:tc>
        <w:tc>
          <w:tcPr>
            <w:tcW w:type="dxa" w:w="2351"/>
            <w:shd w:val="clear" w:color="auto" w:fill="DDEBF7"/>
          </w:tcPr>
          <w:p>
            <w:r>
              <w:rPr>
                <w:rFonts w:ascii="Meiryo UI" w:hAnsi="Meiryo UI"/>
                <w:sz w:val="18"/>
              </w:rPr>
              <w:t>世界3強の実力</w:t>
            </w:r>
          </w:p>
        </w:tc>
        <w:tc>
          <w:tcPr>
            <w:tcW w:type="dxa" w:w="2351"/>
            <w:shd w:val="clear" w:color="auto" w:fill="DDEBF7"/>
          </w:tcPr>
          <w:p>
            <w:r>
              <w:rPr>
                <w:rFonts w:ascii="Meiryo UI" w:hAnsi="Meiryo UI"/>
                <w:sz w:val="18"/>
              </w:rPr>
              <w:t>アナリスト空白域</w:t>
            </w:r>
          </w:p>
        </w:tc>
      </w:tr>
    </w:tbl>
    <w:p/>
    <w:p>
      <w:r>
        <w:rPr>
          <w:rFonts w:ascii="Meiryo UI" w:hAnsi="Meiryo UI"/>
          <w:sz w:val="20"/>
        </w:rPr>
        <w:t>&gt; 総合: センチメント面での過小評価とファンダメンタルの強さのギャップが10〜20%程度存在する。浅井スキャン対象外という情報の非効率が追加的なアルファ機会を生んでいる。</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エントリー戦略</w:t>
      </w:r>
    </w:p>
    <w:p/>
    <w:p>
      <w:pPr>
        <w:shd w:val="clear" w:color="auto" w:fill="F2F2F2"/>
      </w:pPr>
      <w:r>
        <w:rPr>
          <w:rFonts w:ascii="Courier New" w:hAnsi="Courier New"/>
          <w:sz w:val="16"/>
        </w:rPr>
        <w:t>【推奨エントリー戦略】</w:t>
        <w:br/>
        <w:br/>
        <w:t>▶ ポジション構築フェーズ1（即時）:</w:t>
        <w:br/>
        <w:t xml:space="preserve">  価格帯: ¥14,800〜¥15,500（現在水準）</w:t>
        <w:br/>
        <w:t xml:space="preserve">  比率: 計画ポジションの40%</w:t>
        <w:br/>
        <w:t xml:space="preserve">  根拠: MoS価格（¥14,560）近接水準で基本ケース上値余地+17.8%</w:t>
        <w:br/>
        <w:br/>
        <w:t>▶ ポジション構築フェーズ2（押し目待ち）:</w:t>
        <w:br/>
        <w:t xml:space="preserve">  価格帯: ¥13,500〜¥14,000（-9〜-12%押し）</w:t>
        <w:br/>
        <w:t xml:space="preserve">  比率: 計画ポジションの40%</w:t>
        <w:br/>
        <w:t xml:space="preserve">  トリガー: WTI一時的急落・市場全体調整・INPEX売りに巻き込まれた場合</w:t>
        <w:br/>
        <w:br/>
        <w:t>▶ ポジション構築フェーズ3（追加強化）:</w:t>
        <w:br/>
        <w:t xml:space="preserve">  価格帯: ¥12,500〜¥13,000（-15〜-18%押し）</w:t>
        <w:br/>
        <w:t xml:space="preserve">  比率: 計画ポジションの20%</w:t>
        <w:br/>
        <w:t xml:space="preserve">  トリガー: MoS完全下抜け＋弱気ファンダメンタル悪化なき場合</w:t>
      </w:r>
    </w:p>
    <w:p/>
    <w:p>
      <w:pPr>
        <w:pStyle w:val="Heading2"/>
      </w:pPr>
      <w:r>
        <w:rPr>
          <w:rFonts w:ascii="Meiryo UI" w:hAnsi="Meiryo UI"/>
          <w:color w:val="2E74B5"/>
        </w:rPr>
        <w:t>8-2. 損切りライン</w:t>
      </w:r>
    </w:p>
    <w:p/>
    <w:p>
      <w:pPr>
        <w:shd w:val="clear" w:color="auto" w:fill="F2F2F2"/>
      </w:pPr>
      <w:r>
        <w:rPr>
          <w:rFonts w:ascii="Courier New" w:hAnsi="Courier New"/>
          <w:sz w:val="16"/>
        </w:rPr>
        <w:t>【損切りライン設定】</w:t>
        <w:br/>
        <w:br/>
        <w:t>ハードストップ（絶対損切り）: ¥12,800</w:t>
        <w:br/>
        <w:t>根拠: BPS ¥3,328 × PBR 3.85倍（弱気環境でのROE急低下織り込み）</w:t>
        <w:br/>
        <w:t xml:space="preserve">     ここを下抜けた場合は弱気シナリオ顕在化として撤退</w:t>
        <w:br/>
        <w:br/>
        <w:t>ソフトストップ（要再検討）: ¥13,800</w:t>
        <w:br/>
        <w:t>根拠: 基本ケース理論株価の25%バッファ下限</w:t>
        <w:br/>
        <w:t xml:space="preserve">     ペトロブラス関連ニュースネガティブ時は即時再検討</w:t>
      </w:r>
    </w:p>
    <w:p/>
    <w:p>
      <w:pPr>
        <w:pStyle w:val="Heading2"/>
      </w:pPr>
      <w:r>
        <w:rPr>
          <w:rFonts w:ascii="Meiryo UI" w:hAnsi="Meiryo UI"/>
          <w:color w:val="2E74B5"/>
        </w:rPr>
        <w:t>8-3. 利確・時間軸</w:t>
      </w:r>
    </w:p>
    <w:p/>
    <w:p>
      <w:pPr>
        <w:shd w:val="clear" w:color="auto" w:fill="F2F2F2"/>
      </w:pPr>
      <w:r>
        <w:rPr>
          <w:rFonts w:ascii="Courier New" w:hAnsi="Courier New"/>
          <w:sz w:val="16"/>
        </w:rPr>
        <w:t>【利確ターゲット・時間軸】</w:t>
        <w:br/>
        <w:br/>
        <w:t>Target 1: ¥18,000（+16.5%）→ 50%利確</w:t>
        <w:br/>
        <w:t>Target 2: ¥21,000（+36.0%）→ 30%追加利確</w:t>
        <w:br/>
        <w:t>Target 3: ¥25,000〜¥28,000（+62〜+81%）→ 残り20%（強気ケース顕在化時のみ保有継続）</w:t>
        <w:br/>
        <w:br/>
        <w:t>時間軸:</w:t>
        <w:br/>
        <w:t xml:space="preserve">  短期（3〜6ヶ月）: Target 1達成可能性 中〜高（原油高継続なら）</w:t>
        <w:br/>
        <w:t xml:space="preserve">  中期（12〜18ヶ月）: Target 2 基本ケース相当</w:t>
        <w:br/>
        <w:t xml:space="preserve">  長期（24〜36ヶ月）: Target 3 ガイアナ追加受注具体化時</w:t>
        <w:br/>
        <w:br/>
        <w:t>カタリスト確認ポイント:</w:t>
        <w:br/>
        <w:t xml:space="preserve">  ✓ ペトロブラス発注計画（2026Q3発表予定）</w:t>
        <w:br/>
        <w:t xml:space="preserve">  ✓ ガイアナPhase 3 FPSO入札結果（2026年内予定）</w:t>
        <w:br/>
        <w:t xml:space="preserve">  ✓ MODECの四半期決算（O&amp;M台数・稼働率確認）</w:t>
        <w:br/>
        <w:t xml:space="preserve">  ✓ WTI $90以上の持続性</w:t>
      </w:r>
    </w:p>
    <w:p/>
    <w:p>
      <w:pPr>
        <w:pStyle w:val="Heading2"/>
      </w:pPr>
      <w:r>
        <w:rPr>
          <w:rFonts w:ascii="Meiryo UI" w:hAnsi="Meiryo UI"/>
          <w:color w:val="2E74B5"/>
        </w:rPr>
        <w:t>8-4. ポジションサイジング推奨</w:t>
      </w:r>
    </w:p>
    <w:p/>
    <w:p>
      <w:pPr>
        <w:shd w:val="clear" w:color="auto" w:fill="F2F2F2"/>
      </w:pPr>
      <w:r>
        <w:rPr>
          <w:rFonts w:ascii="Courier New" w:hAnsi="Courier New"/>
          <w:sz w:val="16"/>
        </w:rPr>
        <w:t>最大ポジション推奨: ポートフォリオの5〜8%</w:t>
        <w:br/>
        <w:t>理由:</w:t>
        <w:br/>
        <w:t xml:space="preserve">  - 弱気シナリオ（確率20%）では-40%超の下落リスク</w:t>
        <w:br/>
        <w:t xml:space="preserve">  - O&amp;M固定収益がバッファになるがEPC赤字の過去歴あり</w:t>
        <w:br/>
        <w:t xml:space="preserve">  - ブラジル集中リスクは分散不可</w:t>
        <w:br/>
        <w:t xml:space="preserve">  - ただしリスク調整後期待値はプラス（+4.1%）で保有合理性あり</w:t>
      </w:r>
    </w:p>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Rfを±変動させた場合の理論株価への影響</w:t>
      </w:r>
    </w:p>
    <w:p/>
    <w:p>
      <w:r>
        <w:rPr>
          <w:rFonts w:ascii="Meiryo UI" w:hAnsi="Meiryo UI"/>
          <w:sz w:val="20"/>
        </w:rPr>
        <w:t>前提: WACCの変化はターミナルバリューに最大の影響を与える。基本ケースFCF・成長率固定で計算。</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1.386%</w:t>
            </w:r>
          </w:p>
        </w:tc>
        <w:tc>
          <w:tcPr>
            <w:tcW w:type="dxa" w:w="1568"/>
          </w:tcPr>
          <w:p>
            <w:r>
              <w:rPr>
                <w:rFonts w:ascii="Meiryo UI" w:hAnsi="Meiryo UI"/>
                <w:sz w:val="18"/>
              </w:rPr>
              <w:t>6.06%</w:t>
            </w:r>
          </w:p>
        </w:tc>
        <w:tc>
          <w:tcPr>
            <w:tcW w:type="dxa" w:w="1568"/>
          </w:tcPr>
          <w:p>
            <w:r>
              <w:rPr>
                <w:rFonts w:ascii="Meiryo UI" w:hAnsi="Meiryo UI"/>
                <w:sz w:val="18"/>
              </w:rPr>
              <w:t>4.07%</w:t>
            </w:r>
          </w:p>
        </w:tc>
        <w:tc>
          <w:tcPr>
            <w:tcW w:type="dxa" w:w="1568"/>
          </w:tcPr>
          <w:p>
            <w:r>
              <w:rPr>
                <w:rFonts w:ascii="Meiryo UI" w:hAnsi="Meiryo UI"/>
                <w:sz w:val="18"/>
              </w:rPr>
              <w:t>¥23,800</w:t>
            </w:r>
          </w:p>
        </w:tc>
        <w:tc>
          <w:tcPr>
            <w:tcW w:type="dxa" w:w="1568"/>
          </w:tcPr>
          <w:p>
            <w:r>
              <w:rPr>
                <w:rFonts w:ascii="Meiryo UI" w:hAnsi="Meiryo UI"/>
                <w:sz w:val="18"/>
              </w:rPr>
              <w:t>+54.0%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6.56%</w:t>
            </w:r>
          </w:p>
        </w:tc>
        <w:tc>
          <w:tcPr>
            <w:tcW w:type="dxa" w:w="1568"/>
            <w:shd w:val="clear" w:color="auto" w:fill="DDEBF7"/>
          </w:tcPr>
          <w:p>
            <w:r>
              <w:rPr>
                <w:rFonts w:ascii="Meiryo UI" w:hAnsi="Meiryo UI"/>
                <w:sz w:val="18"/>
              </w:rPr>
              <w:t>4.58%</w:t>
            </w:r>
          </w:p>
        </w:tc>
        <w:tc>
          <w:tcPr>
            <w:tcW w:type="dxa" w:w="1568"/>
            <w:shd w:val="clear" w:color="auto" w:fill="DDEBF7"/>
          </w:tcPr>
          <w:p>
            <w:r>
              <w:rPr>
                <w:rFonts w:ascii="Meiryo UI" w:hAnsi="Meiryo UI"/>
                <w:sz w:val="18"/>
              </w:rPr>
              <w:t>¥20,500</w:t>
            </w:r>
          </w:p>
        </w:tc>
        <w:tc>
          <w:tcPr>
            <w:tcW w:type="dxa" w:w="1568"/>
            <w:shd w:val="clear" w:color="auto" w:fill="DDEBF7"/>
          </w:tcPr>
          <w:p>
            <w:r>
              <w:rPr>
                <w:rFonts w:ascii="Meiryo UI" w:hAnsi="Meiryo UI"/>
                <w:sz w:val="18"/>
              </w:rPr>
              <w:t>+32.7%</w:t>
            </w:r>
          </w:p>
        </w:tc>
      </w:tr>
      <w:tr>
        <w:tc>
          <w:tcPr>
            <w:tcW w:type="dxa" w:w="1568"/>
          </w:tcPr>
          <w:p>
            <w:r>
              <w:rPr>
                <w:rFonts w:ascii="Meiryo UI" w:hAnsi="Meiryo UI"/>
                <w:sz w:val="18"/>
              </w:rPr>
              <w:t>Rf -0.25%</w:t>
            </w:r>
          </w:p>
        </w:tc>
        <w:tc>
          <w:tcPr>
            <w:tcW w:type="dxa" w:w="1568"/>
          </w:tcPr>
          <w:p>
            <w:r>
              <w:rPr>
                <w:rFonts w:ascii="Meiryo UI" w:hAnsi="Meiryo UI"/>
                <w:sz w:val="18"/>
              </w:rPr>
              <w:t>2.136%</w:t>
            </w:r>
          </w:p>
        </w:tc>
        <w:tc>
          <w:tcPr>
            <w:tcW w:type="dxa" w:w="1568"/>
          </w:tcPr>
          <w:p>
            <w:r>
              <w:rPr>
                <w:rFonts w:ascii="Meiryo UI" w:hAnsi="Meiryo UI"/>
                <w:sz w:val="18"/>
              </w:rPr>
              <w:t>6.81%</w:t>
            </w:r>
          </w:p>
        </w:tc>
        <w:tc>
          <w:tcPr>
            <w:tcW w:type="dxa" w:w="1568"/>
          </w:tcPr>
          <w:p>
            <w:r>
              <w:rPr>
                <w:rFonts w:ascii="Meiryo UI" w:hAnsi="Meiryo UI"/>
                <w:sz w:val="18"/>
              </w:rPr>
              <w:t>4.83%</w:t>
            </w:r>
          </w:p>
        </w:tc>
        <w:tc>
          <w:tcPr>
            <w:tcW w:type="dxa" w:w="1568"/>
          </w:tcPr>
          <w:p>
            <w:r>
              <w:rPr>
                <w:rFonts w:ascii="Meiryo UI" w:hAnsi="Meiryo UI"/>
                <w:sz w:val="18"/>
              </w:rPr>
              <w:t>¥19,100</w:t>
            </w:r>
          </w:p>
        </w:tc>
        <w:tc>
          <w:tcPr>
            <w:tcW w:type="dxa" w:w="1568"/>
          </w:tcPr>
          <w:p>
            <w:r>
              <w:rPr>
                <w:rFonts w:ascii="Meiryo UI" w:hAnsi="Meiryo UI"/>
                <w:sz w:val="18"/>
              </w:rPr>
              <w:t>+23.6%</w:t>
            </w:r>
          </w:p>
        </w:tc>
      </w:tr>
      <w:tr>
        <w:tc>
          <w:tcPr>
            <w:tcW w:type="dxa" w:w="1568"/>
            <w:shd w:val="clear" w:color="auto" w:fill="DDEBF7"/>
          </w:tcPr>
          <w:p>
            <w:r>
              <w:rPr>
                <w:rFonts w:ascii="Meiryo UI" w:hAnsi="Meiryo UI"/>
                <w:sz w:val="18"/>
              </w:rPr>
              <w:t>Rf 基準（現在）</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7.06%</w:t>
            </w:r>
          </w:p>
        </w:tc>
        <w:tc>
          <w:tcPr>
            <w:tcW w:type="dxa" w:w="1568"/>
            <w:shd w:val="clear" w:color="auto" w:fill="DDEBF7"/>
          </w:tcPr>
          <w:p>
            <w:r>
              <w:rPr>
                <w:rFonts w:ascii="Meiryo UI" w:hAnsi="Meiryo UI"/>
                <w:sz w:val="18"/>
              </w:rPr>
              <w:t>5.08%</w:t>
            </w:r>
          </w:p>
        </w:tc>
        <w:tc>
          <w:tcPr>
            <w:tcW w:type="dxa" w:w="1568"/>
            <w:shd w:val="clear" w:color="auto" w:fill="DDEBF7"/>
          </w:tcPr>
          <w:p>
            <w:r>
              <w:rPr>
                <w:rFonts w:ascii="Meiryo UI" w:hAnsi="Meiryo UI"/>
                <w:sz w:val="18"/>
              </w:rPr>
              <w:t>¥18,200</w:t>
            </w:r>
          </w:p>
        </w:tc>
        <w:tc>
          <w:tcPr>
            <w:tcW w:type="dxa" w:w="1568"/>
            <w:shd w:val="clear" w:color="auto" w:fill="DDEBF7"/>
          </w:tcPr>
          <w:p>
            <w:r>
              <w:rPr>
                <w:rFonts w:ascii="Meiryo UI" w:hAnsi="Meiryo UI"/>
                <w:sz w:val="18"/>
              </w:rPr>
              <w:t>+17.8%</w:t>
            </w:r>
          </w:p>
        </w:tc>
      </w:tr>
      <w:tr>
        <w:tc>
          <w:tcPr>
            <w:tcW w:type="dxa" w:w="1568"/>
          </w:tcPr>
          <w:p>
            <w:r>
              <w:rPr>
                <w:rFonts w:ascii="Meiryo UI" w:hAnsi="Meiryo UI"/>
                <w:sz w:val="18"/>
              </w:rPr>
              <w:t>Rf +0.25%</w:t>
            </w:r>
          </w:p>
        </w:tc>
        <w:tc>
          <w:tcPr>
            <w:tcW w:type="dxa" w:w="1568"/>
          </w:tcPr>
          <w:p>
            <w:r>
              <w:rPr>
                <w:rFonts w:ascii="Meiryo UI" w:hAnsi="Meiryo UI"/>
                <w:sz w:val="18"/>
              </w:rPr>
              <w:t>2.636%</w:t>
            </w:r>
          </w:p>
        </w:tc>
        <w:tc>
          <w:tcPr>
            <w:tcW w:type="dxa" w:w="1568"/>
          </w:tcPr>
          <w:p>
            <w:r>
              <w:rPr>
                <w:rFonts w:ascii="Meiryo UI" w:hAnsi="Meiryo UI"/>
                <w:sz w:val="18"/>
              </w:rPr>
              <w:t>7.31%</w:t>
            </w:r>
          </w:p>
        </w:tc>
        <w:tc>
          <w:tcPr>
            <w:tcW w:type="dxa" w:w="1568"/>
          </w:tcPr>
          <w:p>
            <w:r>
              <w:rPr>
                <w:rFonts w:ascii="Meiryo UI" w:hAnsi="Meiryo UI"/>
                <w:sz w:val="18"/>
              </w:rPr>
              <w:t>5.33%</w:t>
            </w:r>
          </w:p>
        </w:tc>
        <w:tc>
          <w:tcPr>
            <w:tcW w:type="dxa" w:w="1568"/>
          </w:tcPr>
          <w:p>
            <w:r>
              <w:rPr>
                <w:rFonts w:ascii="Meiryo UI" w:hAnsi="Meiryo UI"/>
                <w:sz w:val="18"/>
              </w:rPr>
              <w:t>¥17,200</w:t>
            </w:r>
          </w:p>
        </w:tc>
        <w:tc>
          <w:tcPr>
            <w:tcW w:type="dxa" w:w="1568"/>
          </w:tcPr>
          <w:p>
            <w:r>
              <w:rPr>
                <w:rFonts w:ascii="Meiryo UI" w:hAnsi="Meiryo UI"/>
                <w:sz w:val="18"/>
              </w:rPr>
              <w:t>+11.3%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7.56%</w:t>
            </w:r>
          </w:p>
        </w:tc>
        <w:tc>
          <w:tcPr>
            <w:tcW w:type="dxa" w:w="1568"/>
            <w:shd w:val="clear" w:color="auto" w:fill="DDEBF7"/>
          </w:tcPr>
          <w:p>
            <w:r>
              <w:rPr>
                <w:rFonts w:ascii="Meiryo UI" w:hAnsi="Meiryo UI"/>
                <w:sz w:val="18"/>
              </w:rPr>
              <w:t>5.58%</w:t>
            </w:r>
          </w:p>
        </w:tc>
        <w:tc>
          <w:tcPr>
            <w:tcW w:type="dxa" w:w="1568"/>
            <w:shd w:val="clear" w:color="auto" w:fill="DDEBF7"/>
          </w:tcPr>
          <w:p>
            <w:r>
              <w:rPr>
                <w:rFonts w:ascii="Meiryo UI" w:hAnsi="Meiryo UI"/>
                <w:sz w:val="18"/>
              </w:rPr>
              <w:t>¥16,200</w:t>
            </w:r>
          </w:p>
        </w:tc>
        <w:tc>
          <w:tcPr>
            <w:tcW w:type="dxa" w:w="1568"/>
            <w:shd w:val="clear" w:color="auto" w:fill="DDEBF7"/>
          </w:tcPr>
          <w:p>
            <w:r>
              <w:rPr>
                <w:rFonts w:ascii="Meiryo UI" w:hAnsi="Meiryo UI"/>
                <w:sz w:val="18"/>
              </w:rPr>
              <w:t>+4.8%</w:t>
            </w:r>
          </w:p>
        </w:tc>
      </w:tr>
      <w:tr>
        <w:tc>
          <w:tcPr>
            <w:tcW w:type="dxa" w:w="1568"/>
          </w:tcPr>
          <w:p>
            <w:r>
              <w:rPr>
                <w:rFonts w:ascii="Meiryo UI" w:hAnsi="Meiryo UI"/>
                <w:sz w:val="18"/>
              </w:rPr>
              <w:t>Rf +1.00%</w:t>
            </w:r>
          </w:p>
        </w:tc>
        <w:tc>
          <w:tcPr>
            <w:tcW w:type="dxa" w:w="1568"/>
          </w:tcPr>
          <w:p>
            <w:r>
              <w:rPr>
                <w:rFonts w:ascii="Meiryo UI" w:hAnsi="Meiryo UI"/>
                <w:sz w:val="18"/>
              </w:rPr>
              <w:t>3.386%</w:t>
            </w:r>
          </w:p>
        </w:tc>
        <w:tc>
          <w:tcPr>
            <w:tcW w:type="dxa" w:w="1568"/>
          </w:tcPr>
          <w:p>
            <w:r>
              <w:rPr>
                <w:rFonts w:ascii="Meiryo UI" w:hAnsi="Meiryo UI"/>
                <w:sz w:val="18"/>
              </w:rPr>
              <w:t>8.06%</w:t>
            </w:r>
          </w:p>
        </w:tc>
        <w:tc>
          <w:tcPr>
            <w:tcW w:type="dxa" w:w="1568"/>
          </w:tcPr>
          <w:p>
            <w:r>
              <w:rPr>
                <w:rFonts w:ascii="Meiryo UI" w:hAnsi="Meiryo UI"/>
                <w:sz w:val="18"/>
              </w:rPr>
              <w:t>6.07%</w:t>
            </w:r>
          </w:p>
        </w:tc>
        <w:tc>
          <w:tcPr>
            <w:tcW w:type="dxa" w:w="1568"/>
          </w:tcPr>
          <w:p>
            <w:r>
              <w:rPr>
                <w:rFonts w:ascii="Meiryo UI" w:hAnsi="Meiryo UI"/>
                <w:sz w:val="18"/>
              </w:rPr>
              <w:t>¥14,300</w:t>
            </w:r>
          </w:p>
        </w:tc>
        <w:tc>
          <w:tcPr>
            <w:tcW w:type="dxa" w:w="1568"/>
          </w:tcPr>
          <w:p>
            <w:r>
              <w:rPr>
                <w:rFonts w:ascii="Meiryo UI" w:hAnsi="Meiryo UI"/>
                <w:sz w:val="18"/>
              </w:rPr>
              <w:t>-7.4%</w:t>
            </w:r>
          </w:p>
        </w:tc>
      </w:tr>
    </w:tbl>
    <w:p/>
    <w:p>
      <w:r>
        <w:rPr>
          <w:rFonts w:ascii="Meiryo UI" w:hAnsi="Meiryo UI"/>
          <w:sz w:val="20"/>
        </w:rPr>
        <w:t>テーブル補足：</w:t>
      </w:r>
    </w:p>
    <w:p/>
    <w:p>
      <w:pPr>
        <w:shd w:val="clear" w:color="auto" w:fill="F2F2F2"/>
      </w:pPr>
      <w:r>
        <w:rPr>
          <w:rFonts w:ascii="Courier New" w:hAnsi="Courier New"/>
          <w:sz w:val="16"/>
        </w:rPr>
        <w:t>WACC計算詳細（各シナリオ）:</w:t>
        <w:br/>
        <w:t xml:space="preserve">  Re = Rf + 0.85 × 5.5%（ERP固定）</w:t>
        <w:br/>
        <w:t xml:space="preserve">  WACC = 0.60 × Re + 0.40 × 2.10%（Rd税後固定）</w:t>
        <w:br/>
        <w:br/>
        <w:t>ターミナルバリュー計算:</w:t>
        <w:br/>
        <w:t xml:space="preserve">  TV = FCF_terminal × (1+g) / (WACC - g)</w:t>
        <w:br/>
        <w:t xml:space="preserve">  FCF_terminal = ¥640億（FY2030）、g = 2.5%（基本固定）</w:t>
        <w:br/>
        <w:br/>
        <w:t>金利+1.00%（Rf=3.386%, WACC=6.07%）:</w:t>
        <w:br/>
        <w:t xml:space="preserve">  WACC - g = 6.07% - 2.50% = 3.57%</w:t>
        <w:br/>
        <w:t xml:space="preserve">  TV = 640 × 1.025 / 0.0357 = ¥18,367億（基準比▲約33%）</w:t>
        <w:br/>
        <w:t xml:space="preserve">  理論株価: ≈¥14,300（MoS価格 ¥14,560を下回る → 金利急騰時は慎重姿勢要）</w:t>
      </w:r>
    </w:p>
    <w:p/>
    <w:p>
      <w:r>
        <w:rPr>
          <w:rFonts w:ascii="Meiryo UI" w:hAnsi="Meiryo UI"/>
          <w:sz w:val="20"/>
        </w:rPr>
        <w:t>金利感応度の解釈:</w:t>
      </w:r>
    </w:p>
    <w:p/>
    <w:p>
      <w:pPr>
        <w:shd w:val="clear" w:color="auto" w:fill="F2F2F2"/>
      </w:pPr>
      <w:r>
        <w:rPr>
          <w:rFonts w:ascii="Courier New" w:hAnsi="Courier New"/>
          <w:sz w:val="16"/>
        </w:rPr>
        <w:t>現在のRf 2.386%から:</w:t>
        <w:br/>
        <w:t xml:space="preserve">  +0.50%上昇（BOJ追加利上げ1〜2回分）→ 理論株価 ¥16,200 → 現在株価比 +4.8%（上値余地縮小）</w:t>
        <w:br/>
        <w:t xml:space="preserve">  +1.00%上昇（大幅引締め）           → 理論株価 ¥14,300 → 現在株価比 -7.4%（下値リスク）</w:t>
        <w:br/>
        <w:t xml:space="preserve">  -0.50%低下（BOJ緩和回帰）          → 理論株価 ¥20,500 → 現在株価比 +32.7%（追い風）</w:t>
        <w:br/>
        <w:br/>
        <w:t>→ BOJ金利政策がMODEC株価の重要な外生変数であることを確認</w:t>
        <w:br/>
        <w:t xml:space="preserve">   現在のRf水準は「ニュートラル〜若干アゲインスト」の水準</w:t>
        <w:br/>
        <w:t xml:space="preserve">   利上げ+0.50%以上でバリュエーション上値余地が急速に縮小することに注意</w:t>
      </w:r>
    </w:p>
    <w:p/>
    <w:p>
      <w:r>
        <w:t>──────────────────────────────────────────────────</w:t>
      </w:r>
    </w:p>
    <w:p/>
    <w:p>
      <w:pPr>
        <w:pStyle w:val="Heading1"/>
      </w:pPr>
      <w:r>
        <w:rPr>
          <w:rFonts w:ascii="Meiryo UI" w:hAnsi="Meiryo UI"/>
          <w:color w:val="1F3864"/>
        </w:rPr>
        <w:t>10. 総合評価サマリー</w:t>
      </w:r>
    </w:p>
    <w:p/>
    <w:p>
      <w:pPr>
        <w:pStyle w:val="Heading2"/>
      </w:pPr>
      <w:r>
        <w:rPr>
          <w:rFonts w:ascii="Meiryo UI" w:hAnsi="Meiryo UI"/>
          <w:color w:val="2E74B5"/>
        </w:rPr>
        <w:t>深井の最終所見</w:t>
      </w:r>
    </w:p>
    <w:p/>
    <w:p>
      <w:pPr>
        <w:shd w:val="clear" w:color="auto" w:fill="F2F2F2"/>
      </w:pPr>
      <w:r>
        <w:rPr>
          <w:rFonts w:ascii="Courier New" w:hAnsi="Courier New"/>
          <w:sz w:val="16"/>
        </w:rPr>
        <w:t>★★★★☆ BUY — 理論株価 ¥18,200（基本ケース）</w:t>
        <w:br/>
        <w:br/>
        <w:t>MODECは「原油株」という表層的な分類に反して、</w:t>
        <w:br/>
        <w:t>実態は「浮体式インフラREIT」と呼ぶべきキャッシュフロー構造を持つ。</w:t>
        <w:br/>
        <w:br/>
        <w:t>O&amp;M収益67%を占める長期固定契約は、WTI急落シナリオでも</w:t>
        <w:br/>
        <w:t>収益の「床」を形成し、競合の石油E&amp;P企業とは本質的に異なるリスクプロファイルを示す。</w:t>
        <w:br/>
        <w:br/>
        <w:t>現在の強気材料:</w:t>
        <w:br/>
        <w:t xml:space="preserve">  ① WTI $113/bbl環境 → EPC新規受注サイクル全開</w:t>
        <w:br/>
        <w:t xml:space="preserve">  ② ガイアナ深海拡張 → ペトロブラス依存低下・成長多様化</w:t>
        <w:br/>
        <w:t xml:space="preserve">  ③ ROE 30.6% × GGMで適正PBR 5.23倍 → 現在PBR 4.64倍は-11%ディスカウント</w:t>
        <w:br/>
        <w:t xml:space="preserve">  ④ 日本市場での認知度不足 → アナリストカバレッジ空白域のアルファ機会</w:t>
        <w:br/>
        <w:br/>
        <w:t>最大リスク:</w:t>
        <w:br/>
        <w:t xml:space="preserve">  ① ペトロブラス複数件同時打ち切り（確率&lt;5%）</w:t>
        <w:br/>
        <w:t xml:space="preserve">  ② WTI$60急落 × USD/JPY 130円進行</w:t>
        <w:br/>
        <w:t xml:space="preserve">  ③ EPC新規案件の建造コスト超過（2019〜2021年の再来）</w:t>
        <w:br/>
        <w:t xml:space="preserve">  ④ BOJ利上げ +1.00%以上（理論株価が現在株価を下回る水準）</w:t>
        <w:br/>
        <w:br/>
        <w:t>推奨: ¥14,800〜¥15,500でフェーズ1エントリー（ポートフォリオ5〜8%上限）</w:t>
        <w:br/>
        <w:t xml:space="preserve">      ¥13,500〜¥14,000への押し目でフェーズ2積み増し</w:t>
        <w:br/>
        <w:t xml:space="preserve">      損切り: ¥12,800</w:t>
        <w:br/>
        <w:t xml:space="preserve">      目標: ¥18,000（Target1）→ ¥21,000（Target2）</w:t>
      </w:r>
    </w:p>
    <w:p/>
    <w:p>
      <w:r>
        <w:t>──────────────────────────────────────────────────</w:t>
      </w:r>
    </w:p>
    <w:p/>
    <w:p>
      <w:r>
        <w:rPr>
          <w:rFonts w:ascii="Meiryo UI" w:hAnsi="Meiryo UI"/>
          <w:sz w:val="20"/>
        </w:rPr>
        <w:t>【免責事項】</w:t>
      </w:r>
    </w:p>
    <w:p>
      <w:r>
        <w:rPr>
          <w:rFonts w:ascii="Meiryo UI" w:hAnsi="Meiryo UI"/>
          <w:sz w:val="20"/>
        </w:rPr>
        <w:t>本レポートは竹村トレードカンパニー深井による分析資料であり、投資勧誘を目的としたものではありません。財務指標は2026-04-07時点のyfinance取得値を使用しています。実際の投資判断はご自身の責任のもと、最新情報を確認の上で行ってください。DCF理論株価はモデル前提に基づく試算値であり、将来の実際の株価を保証するものではありません。</w:t>
      </w:r>
    </w:p>
    <w:p/>
    <w:p>
      <w:r>
        <w:t>──────────────────────────────────────────────────</w:t>
      </w:r>
    </w:p>
    <w:p>
      <w:r>
        <w:rPr>
          <w:rFonts w:ascii="Meiryo UI" w:hAnsi="Meiryo UI"/>
          <w:sz w:val="20"/>
        </w:rPr>
        <w:t>レポート作成: 深井 ／ 竹村トレードカンパニー アナリスト部門 ／ 2026-04-07 作成完了</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08:16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6269_三井海洋開発(M_BUY_DeepResearch_20260407.md を出力しました。</w:t>
      </w:r>
    </w:p>
    <w:p>
      <w:r>
        <w:rPr>
          <w:rFonts w:ascii="Meiryo UI" w:hAnsi="Meiryo UI"/>
          <w:sz w:val="20"/>
        </w:rPr>
        <w:t>浅井スコア +0 の銘柄 [6269]三井海洋開発(MODEC) についてDeepResearch完了。</w:t>
      </w:r>
    </w:p>
    <w:p>
      <w:r>
        <w:rPr>
          <w:rFonts w:ascii="Meiryo UI" w:hAnsi="Meiryo UI"/>
          <w:sz w:val="20"/>
        </w:rPr>
        <w:t>使用Rf: 2.386%（取得: 2026-04-07 08:16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