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[62790] 瑞光</w:t>
      </w:r>
    </w:p>
    <w:p/>
    <w:p/>
    <w:p>
      <w:pPr>
        <w:jc w:val="center"/>
      </w:pPr>
      <w:r>
        <w:rPr>
          <w:rFonts w:ascii="Meiryo UI" w:hAnsi="Meiryo UI"/>
          <w:sz w:val="24"/>
        </w:rPr>
        <w:t>アナリスト：深井</w:t>
      </w:r>
    </w:p>
    <w:p>
      <w:pPr>
        <w:jc w:val="center"/>
      </w:pPr>
      <w:r>
        <w:rPr>
          <w:rFonts w:ascii="Meiryo UI" w:hAnsi="Meiryo UI"/>
          <w:sz w:val="24"/>
        </w:rPr>
        <w:t>分析日：2026-04-04</w:t>
      </w:r>
    </w:p>
    <w:p>
      <w:r>
        <w:br w:type="page"/>
      </w:r>
    </w:p>
    <w:p>
      <w:pPr>
        <w:pStyle w:val="Heading1"/>
      </w:pPr>
      <w:r>
        <w:rPr>
          <w:rFonts w:ascii="Meiryo UI" w:hAnsi="Meiryo UI"/>
          <w:color w:val="1F3864"/>
        </w:rPr>
        <w:t>深井 DeepResearchレポート — [62790] 瑞光</w:t>
      </w:r>
    </w:p>
    <w:p>
      <w:r>
        <w:rPr>
          <w:rFonts w:ascii="Meiryo UI" w:hAnsi="Meiryo UI"/>
          <w:sz w:val="20"/>
        </w:rPr>
        <w:t>作成日: 2026-04-04  |  アナリスト: 深井  |  分類: BUY</w:t>
      </w:r>
    </w:p>
    <w:p>
      <w:r>
        <w:rPr>
          <w:rFonts w:ascii="Meiryo UI" w:hAnsi="Meiryo UI"/>
          <w:sz w:val="20"/>
        </w:rPr>
        <w:t>浅井スコア: +55  |  ソース: TDnet + 公開情報 + 浅井マスターDB</w:t>
      </w:r>
    </w:p>
    <w:p/>
    <w:p>
      <w:r>
        <w:t>──────────────────────────────────────────────────</w:t>
      </w:r>
    </w:p>
    <w:p/>
    <w:p>
      <w:pPr>
        <w:pStyle w:val="Heading1"/>
      </w:pPr>
      <w:r>
        <w:rPr>
          <w:rFonts w:ascii="Meiryo UI" w:hAnsi="Meiryo UI"/>
          <w:color w:val="1F3864"/>
        </w:rPr>
        <w:t>深井レポート｜DeepResearch No.2026-0404-6279</w:t>
      </w:r>
    </w:p>
    <w:p>
      <w:pPr>
        <w:pStyle w:val="Heading2"/>
      </w:pPr>
      <w:r>
        <w:rPr>
          <w:rFonts w:ascii="Meiryo UI" w:hAnsi="Meiryo UI"/>
          <w:color w:val="2E74B5"/>
        </w:rPr>
        <w:t>竹村トレードカンパニー｜アナリスト：深井</w:t>
      </w:r>
    </w:p>
    <w:p/>
    <w:p>
      <w:r>
        <w:t>──────────────────────────────────────────────────</w:t>
      </w:r>
    </w:p>
    <w:p/>
    <w:p>
      <w:r>
        <w:rPr>
          <w:rFonts w:ascii="Meiryo UI" w:hAnsi="Meiryo UI"/>
          <w:sz w:val="20"/>
        </w:rPr>
        <w:t>&gt; 作成日: 2026年4月4日</w:t>
      </w:r>
    </w:p>
    <w:p>
      <w:r>
        <w:rPr>
          <w:rFonts w:ascii="Meiryo UI" w:hAnsi="Meiryo UI"/>
          <w:sz w:val="20"/>
        </w:rPr>
        <w:t>&gt; 銘柄: 瑞光（Zuiko Corp.）｜東証プライム｜ティッカー：6279</w:t>
      </w:r>
    </w:p>
    <w:p>
      <w:r>
        <w:rPr>
          <w:rFonts w:ascii="Meiryo UI" w:hAnsi="Meiryo UI"/>
          <w:sz w:val="20"/>
        </w:rPr>
        <w:t>&gt; 通貨: JPY</w:t>
      </w:r>
    </w:p>
    <w:p>
      <w:r>
        <w:rPr>
          <w:rFonts w:ascii="Meiryo UI" w:hAnsi="Meiryo UI"/>
          <w:sz w:val="20"/>
        </w:rPr>
        <w:t>&gt; トリガー: 剰余金の配当（増配）に関するお知らせ</w:t>
      </w:r>
    </w:p>
    <w:p>
      <w:r>
        <w:rPr>
          <w:rFonts w:ascii="Meiryo UI" w:hAnsi="Meiryo UI"/>
          <w:sz w:val="20"/>
        </w:rPr>
        <w:t>&gt; 浅井速報スコア: +55（BUY）</w:t>
      </w:r>
    </w:p>
    <w:p>
      <w:r>
        <w:rPr>
          <w:rFonts w:ascii="Meiryo UI" w:hAnsi="Meiryo UI"/>
          <w:sz w:val="20"/>
        </w:rPr>
        <w:t>&gt; レーティング（深井）: ★★★★☆ 買い（BUY）</w:t>
      </w:r>
    </w:p>
    <w:p>
      <w:r>
        <w:rPr>
          <w:rFonts w:ascii="Meiryo UI" w:hAnsi="Meiryo UI"/>
          <w:sz w:val="20"/>
        </w:rPr>
        <w:t>&gt; 目標株価（深井DCF）: 3,800〜4,400円（基本シナリオ：4,100円）</w:t>
      </w:r>
    </w:p>
    <w:p>
      <w:r>
        <w:rPr>
          <w:rFonts w:ascii="Meiryo UI" w:hAnsi="Meiryo UI"/>
          <w:sz w:val="20"/>
        </w:rPr>
        <w:t>&gt; 現在株価（参照）: 約3,200円前後（2026年4月初旬推定レンジ）</w:t>
      </w:r>
    </w:p>
    <w:p>
      <w:r>
        <w:rPr>
          <w:rFonts w:ascii="Meiryo UI" w:hAnsi="Meiryo UI"/>
          <w:sz w:val="20"/>
        </w:rPr>
        <w:t>&gt; 投資時間軸: 12〜18ヶ月</w:t>
      </w:r>
    </w:p>
    <w:p/>
    <w:p>
      <w:r>
        <w:t>──────────────────────────────────────────────────</w:t>
      </w:r>
    </w:p>
    <w:p/>
    <w:p>
      <w:pPr>
        <w:pStyle w:val="Heading2"/>
      </w:pPr>
      <w:r>
        <w:rPr>
          <w:rFonts w:ascii="Meiryo UI" w:hAnsi="Meiryo UI"/>
          <w:color w:val="2E74B5"/>
        </w:rPr>
        <w:t>免責事項</w:t>
      </w:r>
    </w:p>
    <w:p/>
    <w:p>
      <w:r>
        <w:rPr>
          <w:rFonts w:ascii="Meiryo UI" w:hAnsi="Meiryo UI"/>
          <w:sz w:val="20"/>
        </w:rPr>
        <w:t>&gt; 本レポートは竹村トレードカンパニー内部調査資料です。公開情報・決算資料・業界知識をベースに深井が独自に作成したものであり、投資勧誘を目的としません。数値は公開情報に基づく推定を含みます。最終的な投資判断はお客様ご自身の責任において行ってください。</w:t>
      </w:r>
    </w:p>
    <w:p/>
    <w:p>
      <w:r>
        <w:t>──────────────────────────────────────────────────</w:t>
      </w:r>
    </w:p>
    <w:p/>
    <w:p>
      <w:pPr>
        <w:pStyle w:val="Heading2"/>
      </w:pPr>
      <w:r>
        <w:rPr>
          <w:rFonts w:ascii="Meiryo UI" w:hAnsi="Meiryo UI"/>
          <w:color w:val="2E74B5"/>
        </w:rPr>
        <w:t>目次</w:t>
      </w:r>
    </w:p>
    <w:p/>
    <w:p>
      <w:pPr>
        <w:pStyle w:val="ListNumber"/>
      </w:pPr>
      <w:r>
        <w:rPr>
          <w:rFonts w:ascii="Meiryo UI" w:hAnsi="Meiryo UI"/>
          <w:sz w:val="20"/>
        </w:rPr>
        <w:t>[エグゼクティブサマリー](#1)</w:t>
      </w:r>
    </w:p>
    <w:p>
      <w:pPr>
        <w:pStyle w:val="ListNumber"/>
      </w:pPr>
      <w:r>
        <w:rPr>
          <w:rFonts w:ascii="Meiryo UI" w:hAnsi="Meiryo UI"/>
          <w:sz w:val="20"/>
        </w:rPr>
        <w:t>[企業概要・事業分析](#2)</w:t>
      </w:r>
    </w:p>
    <w:p>
      <w:pPr>
        <w:pStyle w:val="ListNumber"/>
      </w:pPr>
      <w:r>
        <w:rPr>
          <w:rFonts w:ascii="Meiryo UI" w:hAnsi="Meiryo UI"/>
          <w:sz w:val="20"/>
        </w:rPr>
        <w:t>[市場ポジションと競合分析](#3)</w:t>
      </w:r>
    </w:p>
    <w:p>
      <w:pPr>
        <w:pStyle w:val="ListNumber"/>
      </w:pPr>
      <w:r>
        <w:rPr>
          <w:rFonts w:ascii="Meiryo UI" w:hAnsi="Meiryo UI"/>
          <w:sz w:val="20"/>
        </w:rPr>
        <w:t>[財務ハイライト](#4)</w:t>
      </w:r>
    </w:p>
    <w:p>
      <w:pPr>
        <w:pStyle w:val="ListNumber"/>
      </w:pPr>
      <w:r>
        <w:rPr>
          <w:rFonts w:ascii="Meiryo UI" w:hAnsi="Meiryo UI"/>
          <w:sz w:val="20"/>
        </w:rPr>
        <w:t>[DCFバリュエーション](#5)</w:t>
      </w:r>
    </w:p>
    <w:p>
      <w:pPr>
        <w:pStyle w:val="ListNumber"/>
      </w:pPr>
      <w:r>
        <w:rPr>
          <w:rFonts w:ascii="Meiryo UI" w:hAnsi="Meiryo UI"/>
          <w:sz w:val="20"/>
        </w:rPr>
        <w:t>[理論株価と投資判断](#6)</w:t>
      </w:r>
    </w:p>
    <w:p>
      <w:pPr>
        <w:pStyle w:val="ListNumber"/>
      </w:pPr>
      <w:r>
        <w:rPr>
          <w:rFonts w:ascii="Meiryo UI" w:hAnsi="Meiryo UI"/>
          <w:sz w:val="20"/>
        </w:rPr>
        <w:t>[メインシナリオ vs リスクシナリオ（3ケース）](#7)</w:t>
      </w:r>
    </w:p>
    <w:p>
      <w:pPr>
        <w:pStyle w:val="ListNumber"/>
      </w:pPr>
      <w:r>
        <w:rPr>
          <w:rFonts w:ascii="Meiryo UI" w:hAnsi="Meiryo UI"/>
          <w:sz w:val="20"/>
        </w:rPr>
        <w:t>[浅井速報との統合評価](#8)</w:t>
      </w:r>
    </w:p>
    <w:p>
      <w:pPr>
        <w:pStyle w:val="ListNumber"/>
      </w:pPr>
      <w:r>
        <w:rPr>
          <w:rFonts w:ascii="Meiryo UI" w:hAnsi="Meiryo UI"/>
          <w:sz w:val="20"/>
        </w:rPr>
        <w:t>[社長への推奨アクション](#9)</w:t>
      </w:r>
    </w:p>
    <w:p>
      <w:pPr>
        <w:pStyle w:val="ListNumber"/>
      </w:pPr>
      <w:r>
        <w:rPr>
          <w:rFonts w:ascii="Meiryo UI" w:hAnsi="Meiryo UI"/>
          <w:sz w:val="20"/>
        </w:rPr>
        <w:t>[付録：前提条件サマリー](#10)</w:t>
      </w:r>
    </w:p>
    <w:p/>
    <w:p>
      <w:r>
        <w:t>──────────────────────────────────────────────────</w:t>
      </w:r>
    </w:p>
    <w:p/>
    <w:p>
      <w:pPr>
        <w:pStyle w:val="Heading2"/>
      </w:pPr>
      <w:r>
        <w:rPr>
          <w:rFonts w:ascii="Meiryo UI" w:hAnsi="Meiryo UI"/>
          <w:color w:val="2E74B5"/>
        </w:rPr>
        <w:t>1. エグゼクティブサマリー</w:t>
      </w:r>
    </w:p>
    <w:p/>
    <w:p>
      <w:r>
        <w:rPr>
          <w:rFonts w:ascii="Meiryo UI" w:hAnsi="Meiryo UI"/>
          <w:sz w:val="20"/>
        </w:rPr>
        <w:t>瑞光（6279）は、紙おむつ・生理用品等の衛生材料製造機械に特化した国内最大手メーカーである。グローバルでも数少ないフルラインサプライヤーとして、中国・東南アジアの衛生材料需要拡大を主な成長ドライバーとする。</w:t>
      </w:r>
    </w:p>
    <w:p/>
    <w:p>
      <w:r>
        <w:rPr>
          <w:rFonts w:ascii="Meiryo UI" w:hAnsi="Meiryo UI"/>
          <w:sz w:val="20"/>
        </w:rPr>
        <w:t>今回のトリガーである増配発表は、同社の財務健全性と株主還元姿勢の強化を示すポジティブシグナルである。PBR1倍割れが続いてきた局面において、配当利回りの向上はバリュー面での下値支持要因となる。</w:t>
      </w:r>
    </w:p>
    <w:p/>
    <w:p>
      <w:r>
        <w:rPr>
          <w:rFonts w:ascii="Meiryo UI" w:hAnsi="Meiryo UI"/>
          <w:sz w:val="20"/>
        </w:rPr>
        <w:t>深井の評価：</w:t>
      </w:r>
    </w:p>
    <w:p>
      <w:pPr>
        <w:pStyle w:val="ListBullet"/>
      </w:pPr>
      <w:r>
        <w:rPr>
          <w:rFonts w:ascii="Meiryo UI" w:hAnsi="Meiryo UI"/>
          <w:sz w:val="20"/>
        </w:rPr>
        <w:t>本源的価値（DCF基本シナリオ）：4,100円</w:t>
      </w:r>
    </w:p>
    <w:p>
      <w:pPr>
        <w:pStyle w:val="ListBullet"/>
      </w:pPr>
      <w:r>
        <w:rPr>
          <w:rFonts w:ascii="Meiryo UI" w:hAnsi="Meiryo UI"/>
          <w:sz w:val="20"/>
        </w:rPr>
        <w:t>現在株価比アップサイド：約+28%</w:t>
      </w:r>
    </w:p>
    <w:p>
      <w:pPr>
        <w:pStyle w:val="ListBullet"/>
      </w:pPr>
      <w:r>
        <w:rPr>
          <w:rFonts w:ascii="Meiryo UI" w:hAnsi="Meiryo UI"/>
          <w:sz w:val="20"/>
        </w:rPr>
        <w:t>浅井速報スコア+55と整合的な「買い」推奨を維持</w:t>
      </w:r>
    </w:p>
    <w:p>
      <w:pPr>
        <w:pStyle w:val="ListBullet"/>
      </w:pPr>
      <w:r>
        <w:rPr>
          <w:rFonts w:ascii="Meiryo UI" w:hAnsi="Meiryo UI"/>
          <w:sz w:val="20"/>
        </w:rPr>
        <w:t>ただし、受注サイクルの変動リスクと中国景気鈍化リスクには注意が必要</w:t>
      </w:r>
    </w:p>
    <w:p/>
    <w:p>
      <w:r>
        <w:t>──────────────────────────────────────────────────</w:t>
      </w:r>
    </w:p>
    <w:p/>
    <w:p>
      <w:pPr>
        <w:pStyle w:val="Heading2"/>
      </w:pPr>
      <w:r>
        <w:rPr>
          <w:rFonts w:ascii="Meiryo UI" w:hAnsi="Meiryo UI"/>
          <w:color w:val="2E74B5"/>
        </w:rPr>
        <w:t>2. 企業概要・事業分析</w:t>
      </w:r>
    </w:p>
    <w:p/>
    <w:p>
      <w:pPr>
        <w:pStyle w:val="Heading3"/>
      </w:pPr>
      <w:r>
        <w:rPr>
          <w:rFonts w:ascii="Meiryo UI" w:hAnsi="Meiryo UI"/>
          <w:color w:val="2E74B5"/>
        </w:rPr>
        <w:t>2.1 会社プロフィール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株式会社瑞光（Zuiko Corporation）</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1961年</w:t>
            </w:r>
          </w:p>
        </w:tc>
      </w:tr>
      <w:tr>
        <w:tc>
          <w:tcPr>
            <w:tcW w:type="dxa" w:w="4703"/>
          </w:tcPr>
          <w:p>
            <w:r>
              <w:rPr>
                <w:rFonts w:ascii="Meiryo UI" w:hAnsi="Meiryo UI"/>
                <w:sz w:val="18"/>
              </w:rPr>
              <w:t>本社</w:t>
            </w:r>
          </w:p>
        </w:tc>
        <w:tc>
          <w:tcPr>
            <w:tcW w:type="dxa" w:w="4703"/>
          </w:tcPr>
          <w:p>
            <w:r>
              <w:rPr>
                <w:rFonts w:ascii="Meiryo UI" w:hAnsi="Meiryo UI"/>
                <w:sz w:val="18"/>
              </w:rPr>
              <w:t>大阪府大阪市</w:t>
            </w:r>
          </w:p>
        </w:tc>
      </w:tr>
      <w:tr>
        <w:tc>
          <w:tcPr>
            <w:tcW w:type="dxa" w:w="4703"/>
            <w:shd w:val="clear" w:color="auto" w:fill="DDEBF7"/>
          </w:tcPr>
          <w:p>
            <w:r>
              <w:rPr>
                <w:rFonts w:ascii="Meiryo UI" w:hAnsi="Meiryo UI"/>
                <w:sz w:val="18"/>
              </w:rPr>
              <w:t>上場市場</w:t>
            </w:r>
          </w:p>
        </w:tc>
        <w:tc>
          <w:tcPr>
            <w:tcW w:type="dxa" w:w="4703"/>
            <w:shd w:val="clear" w:color="auto" w:fill="DDEBF7"/>
          </w:tcPr>
          <w:p>
            <w:r>
              <w:rPr>
                <w:rFonts w:ascii="Meiryo UI" w:hAnsi="Meiryo UI"/>
                <w:sz w:val="18"/>
              </w:rPr>
              <w:t>東証プライム（6279）</w:t>
            </w:r>
          </w:p>
        </w:tc>
      </w:tr>
      <w:tr>
        <w:tc>
          <w:tcPr>
            <w:tcW w:type="dxa" w:w="4703"/>
          </w:tcPr>
          <w:p>
            <w:r>
              <w:rPr>
                <w:rFonts w:ascii="Meiryo UI" w:hAnsi="Meiryo UI"/>
                <w:sz w:val="18"/>
              </w:rPr>
              <w:t>従業員数</w:t>
            </w:r>
          </w:p>
        </w:tc>
        <w:tc>
          <w:tcPr>
            <w:tcW w:type="dxa" w:w="4703"/>
          </w:tcPr>
          <w:p>
            <w:r>
              <w:rPr>
                <w:rFonts w:ascii="Meiryo UI" w:hAnsi="Meiryo UI"/>
                <w:sz w:val="18"/>
              </w:rPr>
              <w:t>約800〜900名（単体・連結）</w:t>
            </w:r>
          </w:p>
        </w:tc>
      </w:tr>
      <w:tr>
        <w:tc>
          <w:tcPr>
            <w:tcW w:type="dxa" w:w="4703"/>
            <w:shd w:val="clear" w:color="auto" w:fill="DDEBF7"/>
          </w:tcPr>
          <w:p>
            <w:r>
              <w:rPr>
                <w:rFonts w:ascii="Meiryo UI" w:hAnsi="Meiryo UI"/>
                <w:sz w:val="18"/>
              </w:rPr>
              <w:t>事業領域</w:t>
            </w:r>
          </w:p>
        </w:tc>
        <w:tc>
          <w:tcPr>
            <w:tcW w:type="dxa" w:w="4703"/>
            <w:shd w:val="clear" w:color="auto" w:fill="DDEBF7"/>
          </w:tcPr>
          <w:p>
            <w:r>
              <w:rPr>
                <w:rFonts w:ascii="Meiryo UI" w:hAnsi="Meiryo UI"/>
                <w:sz w:val="18"/>
              </w:rPr>
              <w:t>衛生材料製造機械、自動化機械</w:t>
            </w:r>
          </w:p>
        </w:tc>
      </w:tr>
    </w:tbl>
    <w:p/>
    <w:p>
      <w:pPr>
        <w:pStyle w:val="Heading3"/>
      </w:pPr>
      <w:r>
        <w:rPr>
          <w:rFonts w:ascii="Meiryo UI" w:hAnsi="Meiryo UI"/>
          <w:color w:val="2E74B5"/>
        </w:rPr>
        <w:t>2.2 セグメント・プロダクト構成</w:t>
      </w:r>
    </w:p>
    <w:p/>
    <w:p>
      <w:r>
        <w:rPr>
          <w:rFonts w:ascii="Meiryo UI" w:hAnsi="Meiryo UI"/>
          <w:sz w:val="20"/>
        </w:rPr>
        <w:t>瑞光の事業は実質的に1セグメント集中型——衛生材料製造機械——であり、これが強みでもあり、集中リスクでもある。</w:t>
      </w:r>
    </w:p>
    <w:p/>
    <w:p>
      <w:pPr>
        <w:shd w:val="clear" w:color="auto" w:fill="F2F2F2"/>
      </w:pPr>
      <w:r>
        <w:rPr>
          <w:rFonts w:ascii="Courier New" w:hAnsi="Courier New"/>
          <w:sz w:val="16"/>
        </w:rPr>
        <w:t>【売上高構成（推定）】</w:t>
        <w:br/>
        <w:t>┌─────────────────────────────────┐</w:t>
        <w:br/>
        <w:t>│ 衛生材料製造機械          約90%  │</w:t>
        <w:br/>
        <w:t>│  ├─ 紙おむつ（乳児用）    約45%  │</w:t>
        <w:br/>
        <w:t>│  ├─ 大人用おむつ          約30%  │</w:t>
        <w:br/>
        <w:t>│  └─ 生理用品・その他      約15%  │</w:t>
        <w:br/>
        <w:t>│ アフターサービス・部品      約10%  │</w:t>
        <w:br/>
        <w:t>└─────────────────────────────────┘</w:t>
      </w:r>
    </w:p>
    <w:p/>
    <w:p>
      <w:pPr>
        <w:pStyle w:val="Heading4"/>
      </w:pPr>
      <w:r>
        <w:rPr>
          <w:rFonts w:ascii="Meiryo UI" w:hAnsi="Meiryo UI"/>
          <w:color w:val="2E74B5"/>
        </w:rPr>
        <w:t>主力プロダクト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製品カテゴリ</w:t>
            </w:r>
          </w:p>
        </w:tc>
        <w:tc>
          <w:tcPr>
            <w:tcW w:type="dxa" w:w="4703"/>
            <w:shd w:val="clear" w:color="auto" w:fill="2E74B5"/>
          </w:tcPr>
          <w:p>
            <w:r>
              <w:rPr>
                <w:rFonts w:ascii="Meiryo UI" w:hAnsi="Meiryo UI"/>
                <w:b/>
                <w:color w:val="FFFFFF"/>
                <w:sz w:val="18"/>
              </w:rPr>
              <w:t>特徴</w:t>
            </w:r>
          </w:p>
        </w:tc>
      </w:tr>
      <w:tr>
        <w:tc>
          <w:tcPr>
            <w:tcW w:type="dxa" w:w="4703"/>
          </w:tcPr>
          <w:p>
            <w:r>
              <w:rPr>
                <w:rFonts w:ascii="Meiryo UI" w:hAnsi="Meiryo UI"/>
                <w:sz w:val="18"/>
              </w:rPr>
              <w:t>乳児用おむつ製造機</w:t>
            </w:r>
          </w:p>
        </w:tc>
        <w:tc>
          <w:tcPr>
            <w:tcW w:type="dxa" w:w="4703"/>
          </w:tcPr>
          <w:p>
            <w:r>
              <w:rPr>
                <w:rFonts w:ascii="Meiryo UI" w:hAnsi="Meiryo UI"/>
                <w:sz w:val="18"/>
              </w:rPr>
              <w:t>高速・高精度。1分間に最大1,000枚以上の生産能力</w:t>
            </w:r>
          </w:p>
        </w:tc>
      </w:tr>
      <w:tr>
        <w:tc>
          <w:tcPr>
            <w:tcW w:type="dxa" w:w="4703"/>
            <w:shd w:val="clear" w:color="auto" w:fill="DDEBF7"/>
          </w:tcPr>
          <w:p>
            <w:r>
              <w:rPr>
                <w:rFonts w:ascii="Meiryo UI" w:hAnsi="Meiryo UI"/>
                <w:sz w:val="18"/>
              </w:rPr>
              <w:t>成人用おむつ製造機</w:t>
            </w:r>
          </w:p>
        </w:tc>
        <w:tc>
          <w:tcPr>
            <w:tcW w:type="dxa" w:w="4703"/>
            <w:shd w:val="clear" w:color="auto" w:fill="DDEBF7"/>
          </w:tcPr>
          <w:p>
            <w:r>
              <w:rPr>
                <w:rFonts w:ascii="Meiryo UI" w:hAnsi="Meiryo UI"/>
                <w:sz w:val="18"/>
              </w:rPr>
              <w:t>人口高齢化に対応した成長市場向け。付加価値高</w:t>
            </w:r>
          </w:p>
        </w:tc>
      </w:tr>
      <w:tr>
        <w:tc>
          <w:tcPr>
            <w:tcW w:type="dxa" w:w="4703"/>
          </w:tcPr>
          <w:p>
            <w:r>
              <w:rPr>
                <w:rFonts w:ascii="Meiryo UI" w:hAnsi="Meiryo UI"/>
                <w:sz w:val="18"/>
              </w:rPr>
              <w:t>生理用品製造機</w:t>
            </w:r>
          </w:p>
        </w:tc>
        <w:tc>
          <w:tcPr>
            <w:tcW w:type="dxa" w:w="4703"/>
          </w:tcPr>
          <w:p>
            <w:r>
              <w:rPr>
                <w:rFonts w:ascii="Meiryo UI" w:hAnsi="Meiryo UI"/>
                <w:sz w:val="18"/>
              </w:rPr>
              <w:t>新興国向け需要拡大中</w:t>
            </w:r>
          </w:p>
        </w:tc>
      </w:tr>
      <w:tr>
        <w:tc>
          <w:tcPr>
            <w:tcW w:type="dxa" w:w="4703"/>
            <w:shd w:val="clear" w:color="auto" w:fill="DDEBF7"/>
          </w:tcPr>
          <w:p>
            <w:r>
              <w:rPr>
                <w:rFonts w:ascii="Meiryo UI" w:hAnsi="Meiryo UI"/>
                <w:sz w:val="18"/>
              </w:rPr>
              <w:t>ウェットティッシュ製造機</w:t>
            </w:r>
          </w:p>
        </w:tc>
        <w:tc>
          <w:tcPr>
            <w:tcW w:type="dxa" w:w="4703"/>
            <w:shd w:val="clear" w:color="auto" w:fill="DDEBF7"/>
          </w:tcPr>
          <w:p>
            <w:r>
              <w:rPr>
                <w:rFonts w:ascii="Meiryo UI" w:hAnsi="Meiryo UI"/>
                <w:sz w:val="18"/>
              </w:rPr>
              <w:t>コロナ以降需要底堅い</w:t>
            </w:r>
          </w:p>
        </w:tc>
      </w:tr>
    </w:tbl>
    <w:p/>
    <w:p>
      <w:pPr>
        <w:pStyle w:val="Heading3"/>
      </w:pPr>
      <w:r>
        <w:rPr>
          <w:rFonts w:ascii="Meiryo UI" w:hAnsi="Meiryo UI"/>
          <w:color w:val="2E74B5"/>
        </w:rPr>
        <w:t>2.3 競合優位性（経済的堀）</w:t>
      </w:r>
    </w:p>
    <w:p/>
    <w:p>
      <w:r>
        <w:rPr>
          <w:rFonts w:ascii="Meiryo UI" w:hAnsi="Meiryo UI"/>
          <w:sz w:val="20"/>
        </w:rPr>
        <w:t>①技術の深さ×ニッチ性</w:t>
      </w:r>
    </w:p>
    <w:p>
      <w:r>
        <w:rPr>
          <w:rFonts w:ascii="Meiryo UI" w:hAnsi="Meiryo UI"/>
          <w:sz w:val="20"/>
        </w:rPr>
        <w:t>衛生材料製造機械は「動く精密機械」であり、素材（不織布・吸水ポリマー）の挙動を熟知した上での機械設計が求められる。参入障壁が極めて高く、グローバルで競合できる企業は数社に限られる。</w:t>
      </w:r>
    </w:p>
    <w:p/>
    <w:p>
      <w:r>
        <w:rPr>
          <w:rFonts w:ascii="Meiryo UI" w:hAnsi="Meiryo UI"/>
          <w:sz w:val="20"/>
        </w:rPr>
        <w:t>②グローバルサービスネットワーク</w:t>
      </w:r>
    </w:p>
    <w:p>
      <w:r>
        <w:rPr>
          <w:rFonts w:ascii="Meiryo UI" w:hAnsi="Meiryo UI"/>
          <w:sz w:val="20"/>
        </w:rPr>
        <w:t>中国・東南アジア・インド等に販売・サービス拠点を持ち、部品供給とメンテナンスで継続収益（リカーリング的要素）を確保。</w:t>
      </w:r>
    </w:p>
    <w:p/>
    <w:p>
      <w:r>
        <w:rPr>
          <w:rFonts w:ascii="Meiryo UI" w:hAnsi="Meiryo UI"/>
          <w:sz w:val="20"/>
        </w:rPr>
        <w:t>③顧客の乗り換えコスト（スイッチングコスト）</w:t>
      </w:r>
    </w:p>
    <w:p>
      <w:r>
        <w:rPr>
          <w:rFonts w:ascii="Meiryo UI" w:hAnsi="Meiryo UI"/>
          <w:sz w:val="20"/>
        </w:rPr>
        <w:t>製造機械は工場ラインに深く組み込まれるため、顧客の設備投資意思決定は慎重かつ長期的。一度採用されると継続受注が見込める。</w:t>
      </w:r>
    </w:p>
    <w:p/>
    <w:p>
      <w:r>
        <w:rPr>
          <w:rFonts w:ascii="Meiryo UI" w:hAnsi="Meiryo UI"/>
          <w:sz w:val="20"/>
        </w:rPr>
        <w:t>④インド・東南アジアの新興国市場</w:t>
      </w:r>
    </w:p>
    <w:p>
      <w:r>
        <w:rPr>
          <w:rFonts w:ascii="Meiryo UI" w:hAnsi="Meiryo UI"/>
          <w:sz w:val="20"/>
        </w:rPr>
        <w:t>人口増加と衛生意識向上により、おむつ普及率の低い市場での需要拡大が長期テーマ。瑞光はこの成長フロンティアで先行ポジションを持つ。</w:t>
      </w:r>
    </w:p>
    <w:p/>
    <w:p>
      <w:pPr>
        <w:pStyle w:val="Heading3"/>
      </w:pPr>
      <w:r>
        <w:rPr>
          <w:rFonts w:ascii="Meiryo UI" w:hAnsi="Meiryo UI"/>
          <w:color w:val="2E74B5"/>
        </w:rPr>
        <w:t>2.4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増配発表（今回トリガー）</w:t>
            </w:r>
          </w:p>
        </w:tc>
        <w:tc>
          <w:tcPr>
            <w:tcW w:type="dxa" w:w="3135"/>
          </w:tcPr>
          <w:p>
            <w:r>
              <w:rPr>
                <w:rFonts w:ascii="Meiryo UI" w:hAnsi="Meiryo UI"/>
                <w:sz w:val="18"/>
              </w:rPr>
              <w:t>株主還元強化の明示</w:t>
            </w:r>
          </w:p>
        </w:tc>
        <w:tc>
          <w:tcPr>
            <w:tcW w:type="dxa" w:w="3135"/>
          </w:tcPr>
          <w:p>
            <w:r>
              <w:rPr>
                <w:rFonts w:ascii="Meiryo UI" w:hAnsi="Meiryo UI"/>
                <w:sz w:val="18"/>
              </w:rPr>
              <w:t>✅ ポジティブ</w:t>
            </w:r>
          </w:p>
        </w:tc>
      </w:tr>
      <w:tr>
        <w:tc>
          <w:tcPr>
            <w:tcW w:type="dxa" w:w="3135"/>
            <w:shd w:val="clear" w:color="auto" w:fill="DDEBF7"/>
          </w:tcPr>
          <w:p>
            <w:r>
              <w:rPr>
                <w:rFonts w:ascii="Meiryo UI" w:hAnsi="Meiryo UI"/>
                <w:sz w:val="18"/>
              </w:rPr>
              <w:t>大人用おむつ市場拡大</w:t>
            </w:r>
          </w:p>
        </w:tc>
        <w:tc>
          <w:tcPr>
            <w:tcW w:type="dxa" w:w="3135"/>
            <w:shd w:val="clear" w:color="auto" w:fill="DDEBF7"/>
          </w:tcPr>
          <w:p>
            <w:r>
              <w:rPr>
                <w:rFonts w:ascii="Meiryo UI" w:hAnsi="Meiryo UI"/>
                <w:sz w:val="18"/>
              </w:rPr>
              <w:t>日本・中国の高齢化加速</w:t>
            </w:r>
          </w:p>
        </w:tc>
        <w:tc>
          <w:tcPr>
            <w:tcW w:type="dxa" w:w="3135"/>
            <w:shd w:val="clear" w:color="auto" w:fill="DDEBF7"/>
          </w:tcPr>
          <w:p>
            <w:r>
              <w:rPr>
                <w:rFonts w:ascii="Meiryo UI" w:hAnsi="Meiryo UI"/>
                <w:sz w:val="18"/>
              </w:rPr>
              <w:t>✅ 中長期ポジティブ</w:t>
            </w:r>
          </w:p>
        </w:tc>
      </w:tr>
      <w:tr>
        <w:tc>
          <w:tcPr>
            <w:tcW w:type="dxa" w:w="3135"/>
          </w:tcPr>
          <w:p>
            <w:r>
              <w:rPr>
                <w:rFonts w:ascii="Meiryo UI" w:hAnsi="Meiryo UI"/>
                <w:sz w:val="18"/>
              </w:rPr>
              <w:t>インド市場開拓</w:t>
            </w:r>
          </w:p>
        </w:tc>
        <w:tc>
          <w:tcPr>
            <w:tcW w:type="dxa" w:w="3135"/>
          </w:tcPr>
          <w:p>
            <w:r>
              <w:rPr>
                <w:rFonts w:ascii="Meiryo UI" w:hAnsi="Meiryo UI"/>
                <w:sz w:val="18"/>
              </w:rPr>
              <w:t>低普及率市場への参入加速</w:t>
            </w:r>
          </w:p>
        </w:tc>
        <w:tc>
          <w:tcPr>
            <w:tcW w:type="dxa" w:w="3135"/>
          </w:tcPr>
          <w:p>
            <w:r>
              <w:rPr>
                <w:rFonts w:ascii="Meiryo UI" w:hAnsi="Meiryo UI"/>
                <w:sz w:val="18"/>
              </w:rPr>
              <w:t>✅ 中期ポジティブ</w:t>
            </w:r>
          </w:p>
        </w:tc>
      </w:tr>
      <w:tr>
        <w:tc>
          <w:tcPr>
            <w:tcW w:type="dxa" w:w="3135"/>
            <w:shd w:val="clear" w:color="auto" w:fill="DDEBF7"/>
          </w:tcPr>
          <w:p>
            <w:r>
              <w:rPr>
                <w:rFonts w:ascii="Meiryo UI" w:hAnsi="Meiryo UI"/>
                <w:sz w:val="18"/>
              </w:rPr>
              <w:t>中国景気鈍化</w:t>
            </w:r>
          </w:p>
        </w:tc>
        <w:tc>
          <w:tcPr>
            <w:tcW w:type="dxa" w:w="3135"/>
            <w:shd w:val="clear" w:color="auto" w:fill="DDEBF7"/>
          </w:tcPr>
          <w:p>
            <w:r>
              <w:rPr>
                <w:rFonts w:ascii="Meiryo UI" w:hAnsi="Meiryo UI"/>
                <w:sz w:val="18"/>
              </w:rPr>
              <w:t>主要市場での受注減少リスク</w:t>
            </w:r>
          </w:p>
        </w:tc>
        <w:tc>
          <w:tcPr>
            <w:tcW w:type="dxa" w:w="3135"/>
            <w:shd w:val="clear" w:color="auto" w:fill="DDEBF7"/>
          </w:tcPr>
          <w:p>
            <w:r>
              <w:rPr>
                <w:rFonts w:ascii="Meiryo UI" w:hAnsi="Meiryo UI"/>
                <w:sz w:val="18"/>
              </w:rPr>
              <w:t>⚠️ 要注視</w:t>
            </w:r>
          </w:p>
        </w:tc>
      </w:tr>
      <w:tr>
        <w:tc>
          <w:tcPr>
            <w:tcW w:type="dxa" w:w="3135"/>
          </w:tcPr>
          <w:p>
            <w:r>
              <w:rPr>
                <w:rFonts w:ascii="Meiryo UI" w:hAnsi="Meiryo UI"/>
                <w:sz w:val="18"/>
              </w:rPr>
              <w:t>円高進行</w:t>
            </w:r>
          </w:p>
        </w:tc>
        <w:tc>
          <w:tcPr>
            <w:tcW w:type="dxa" w:w="3135"/>
          </w:tcPr>
          <w:p>
            <w:r>
              <w:rPr>
                <w:rFonts w:ascii="Meiryo UI" w:hAnsi="Meiryo UI"/>
                <w:sz w:val="18"/>
              </w:rPr>
              <w:t>輸出採算悪化リスク</w:t>
            </w:r>
          </w:p>
        </w:tc>
        <w:tc>
          <w:tcPr>
            <w:tcW w:type="dxa" w:w="3135"/>
          </w:tcPr>
          <w:p>
            <w:r>
              <w:rPr>
                <w:rFonts w:ascii="Meiryo UI" w:hAnsi="Meiryo UI"/>
                <w:sz w:val="18"/>
              </w:rPr>
              <w:t>⚠️ 要注視</w:t>
            </w:r>
          </w:p>
        </w:tc>
      </w:tr>
    </w:tbl>
    <w:p/>
    <w:p>
      <w:r>
        <w:t>──────────────────────────────────────────────────</w:t>
      </w:r>
    </w:p>
    <w:p/>
    <w:p>
      <w:pPr>
        <w:pStyle w:val="Heading2"/>
      </w:pPr>
      <w:r>
        <w:rPr>
          <w:rFonts w:ascii="Meiryo UI" w:hAnsi="Meiryo UI"/>
          <w:color w:val="2E74B5"/>
        </w:rPr>
        <w:t>3. 市場ポジションと競合分析</w:t>
      </w:r>
    </w:p>
    <w:p/>
    <w:p>
      <w:pPr>
        <w:pStyle w:val="Heading3"/>
      </w:pPr>
      <w:r>
        <w:rPr>
          <w:rFonts w:ascii="Meiryo UI" w:hAnsi="Meiryo UI"/>
          <w:color w:val="2E74B5"/>
        </w:rPr>
        <w:t>3.1 グローバル市場構造</w:t>
      </w:r>
    </w:p>
    <w:p/>
    <w:p>
      <w:r>
        <w:rPr>
          <w:rFonts w:ascii="Meiryo UI" w:hAnsi="Meiryo UI"/>
          <w:sz w:val="20"/>
        </w:rPr>
        <w:t>世界の使い捨て衛生材料製造機械市場における主要プレーヤーは以下の通り：</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企業</w:t>
            </w:r>
          </w:p>
        </w:tc>
        <w:tc>
          <w:tcPr>
            <w:tcW w:type="dxa" w:w="3135"/>
            <w:shd w:val="clear" w:color="auto" w:fill="2E74B5"/>
          </w:tcPr>
          <w:p>
            <w:r>
              <w:rPr>
                <w:rFonts w:ascii="Meiryo UI" w:hAnsi="Meiryo UI"/>
                <w:b/>
                <w:color w:val="FFFFFF"/>
                <w:sz w:val="18"/>
              </w:rPr>
              <w:t>国籍</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瑞光（Zuiko）</w:t>
            </w:r>
          </w:p>
        </w:tc>
        <w:tc>
          <w:tcPr>
            <w:tcW w:type="dxa" w:w="3135"/>
          </w:tcPr>
          <w:p>
            <w:r>
              <w:rPr>
                <w:rFonts w:ascii="Meiryo UI" w:hAnsi="Meiryo UI"/>
                <w:sz w:val="18"/>
              </w:rPr>
              <w:t>日本</w:t>
            </w:r>
          </w:p>
        </w:tc>
        <w:tc>
          <w:tcPr>
            <w:tcW w:type="dxa" w:w="3135"/>
          </w:tcPr>
          <w:p>
            <w:r>
              <w:rPr>
                <w:rFonts w:ascii="Meiryo UI" w:hAnsi="Meiryo UI"/>
                <w:sz w:val="18"/>
              </w:rPr>
              <w:t>フルライン、高速・高精度、Asia特化</w:t>
            </w:r>
          </w:p>
        </w:tc>
      </w:tr>
      <w:tr>
        <w:tc>
          <w:tcPr>
            <w:tcW w:type="dxa" w:w="3135"/>
            <w:shd w:val="clear" w:color="auto" w:fill="DDEBF7"/>
          </w:tcPr>
          <w:p>
            <w:r>
              <w:rPr>
                <w:rFonts w:ascii="Meiryo UI" w:hAnsi="Meiryo UI"/>
                <w:sz w:val="18"/>
              </w:rPr>
              <w:t>Fameccanica（GDM Group）</w:t>
            </w:r>
          </w:p>
        </w:tc>
        <w:tc>
          <w:tcPr>
            <w:tcW w:type="dxa" w:w="3135"/>
            <w:shd w:val="clear" w:color="auto" w:fill="DDEBF7"/>
          </w:tcPr>
          <w:p>
            <w:r>
              <w:rPr>
                <w:rFonts w:ascii="Meiryo UI" w:hAnsi="Meiryo UI"/>
                <w:sz w:val="18"/>
              </w:rPr>
              <w:t>イタリア</w:t>
            </w:r>
          </w:p>
        </w:tc>
        <w:tc>
          <w:tcPr>
            <w:tcW w:type="dxa" w:w="3135"/>
            <w:shd w:val="clear" w:color="auto" w:fill="DDEBF7"/>
          </w:tcPr>
          <w:p>
            <w:r>
              <w:rPr>
                <w:rFonts w:ascii="Meiryo UI" w:hAnsi="Meiryo UI"/>
                <w:sz w:val="18"/>
              </w:rPr>
              <w:t>欧州最大手、技術力高い</w:t>
            </w:r>
          </w:p>
        </w:tc>
      </w:tr>
      <w:tr>
        <w:tc>
          <w:tcPr>
            <w:tcW w:type="dxa" w:w="3135"/>
          </w:tcPr>
          <w:p>
            <w:r>
              <w:rPr>
                <w:rFonts w:ascii="Meiryo UI" w:hAnsi="Meiryo UI"/>
                <w:sz w:val="18"/>
              </w:rPr>
              <w:t>Curt G. Joa</w:t>
            </w:r>
          </w:p>
        </w:tc>
        <w:tc>
          <w:tcPr>
            <w:tcW w:type="dxa" w:w="3135"/>
          </w:tcPr>
          <w:p>
            <w:r>
              <w:rPr>
                <w:rFonts w:ascii="Meiryo UI" w:hAnsi="Meiryo UI"/>
                <w:sz w:val="18"/>
              </w:rPr>
              <w:t>米国</w:t>
            </w:r>
          </w:p>
        </w:tc>
        <w:tc>
          <w:tcPr>
            <w:tcW w:type="dxa" w:w="3135"/>
          </w:tcPr>
          <w:p>
            <w:r>
              <w:rPr>
                <w:rFonts w:ascii="Meiryo UI" w:hAnsi="Meiryo UI"/>
                <w:sz w:val="18"/>
              </w:rPr>
              <w:t>北米中心、高機能</w:t>
            </w:r>
          </w:p>
        </w:tc>
      </w:tr>
      <w:tr>
        <w:tc>
          <w:tcPr>
            <w:tcW w:type="dxa" w:w="3135"/>
            <w:shd w:val="clear" w:color="auto" w:fill="DDEBF7"/>
          </w:tcPr>
          <w:p>
            <w:r>
              <w:rPr>
                <w:rFonts w:ascii="Meiryo UI" w:hAnsi="Meiryo UI"/>
                <w:sz w:val="18"/>
              </w:rPr>
              <w:t>瑞安機械（中国系）</w:t>
            </w:r>
          </w:p>
        </w:tc>
        <w:tc>
          <w:tcPr>
            <w:tcW w:type="dxa" w:w="3135"/>
            <w:shd w:val="clear" w:color="auto" w:fill="DDEBF7"/>
          </w:tcPr>
          <w:p>
            <w:r>
              <w:rPr>
                <w:rFonts w:ascii="Meiryo UI" w:hAnsi="Meiryo UI"/>
                <w:sz w:val="18"/>
              </w:rPr>
              <w:t>中国</w:t>
            </w:r>
          </w:p>
        </w:tc>
        <w:tc>
          <w:tcPr>
            <w:tcW w:type="dxa" w:w="3135"/>
            <w:shd w:val="clear" w:color="auto" w:fill="DDEBF7"/>
          </w:tcPr>
          <w:p>
            <w:r>
              <w:rPr>
                <w:rFonts w:ascii="Meiryo UI" w:hAnsi="Meiryo UI"/>
                <w:sz w:val="18"/>
              </w:rPr>
              <w:t>低価格帯、新興国浸透中</w:t>
            </w:r>
          </w:p>
        </w:tc>
      </w:tr>
      <w:tr>
        <w:tc>
          <w:tcPr>
            <w:tcW w:type="dxa" w:w="3135"/>
          </w:tcPr>
          <w:p>
            <w:r>
              <w:rPr>
                <w:rFonts w:ascii="Meiryo UI" w:hAnsi="Meiryo UI"/>
                <w:sz w:val="18"/>
              </w:rPr>
              <w:t>日本・桂精機等</w:t>
            </w:r>
          </w:p>
        </w:tc>
        <w:tc>
          <w:tcPr>
            <w:tcW w:type="dxa" w:w="3135"/>
          </w:tcPr>
          <w:p>
            <w:r>
              <w:rPr>
                <w:rFonts w:ascii="Meiryo UI" w:hAnsi="Meiryo UI"/>
                <w:sz w:val="18"/>
              </w:rPr>
              <w:t>日本</w:t>
            </w:r>
          </w:p>
        </w:tc>
        <w:tc>
          <w:tcPr>
            <w:tcW w:type="dxa" w:w="3135"/>
          </w:tcPr>
          <w:p>
            <w:r>
              <w:rPr>
                <w:rFonts w:ascii="Meiryo UI" w:hAnsi="Meiryo UI"/>
                <w:sz w:val="18"/>
              </w:rPr>
              <w:t>ニッチ領域特化</w:t>
            </w:r>
          </w:p>
        </w:tc>
      </w:tr>
    </w:tbl>
    <w:p/>
    <w:p>
      <w:r>
        <w:rPr>
          <w:rFonts w:ascii="Meiryo UI" w:hAnsi="Meiryo UI"/>
          <w:sz w:val="20"/>
        </w:rPr>
        <w:t>瑞光の相対的ポジション：</w:t>
      </w:r>
    </w:p>
    <w:p>
      <w:pPr>
        <w:pStyle w:val="ListBullet"/>
      </w:pPr>
      <w:r>
        <w:rPr>
          <w:rFonts w:ascii="Meiryo UI" w:hAnsi="Meiryo UI"/>
          <w:sz w:val="20"/>
        </w:rPr>
        <w:t>アジア市場では圧倒的シェア首位と推定</w:t>
      </w:r>
    </w:p>
    <w:p>
      <w:pPr>
        <w:pStyle w:val="ListBullet"/>
      </w:pPr>
      <w:r>
        <w:rPr>
          <w:rFonts w:ascii="Meiryo UI" w:hAnsi="Meiryo UI"/>
          <w:sz w:val="20"/>
        </w:rPr>
        <w:t>欧州系との差別化軸は「高速生産」「メンテナンス対応の速さ」「アジア言語対応」</w:t>
      </w:r>
    </w:p>
    <w:p>
      <w:pPr>
        <w:pStyle w:val="ListBullet"/>
      </w:pPr>
      <w:r>
        <w:rPr>
          <w:rFonts w:ascii="Meiryo UI" w:hAnsi="Meiryo UI"/>
          <w:sz w:val="20"/>
        </w:rPr>
        <w:t>中国ローカル勢との差別化は「品質・耐久性・技術サポート」</w:t>
      </w:r>
    </w:p>
    <w:p/>
    <w:p>
      <w:pPr>
        <w:pStyle w:val="Heading3"/>
      </w:pPr>
      <w:r>
        <w:rPr>
          <w:rFonts w:ascii="Meiryo UI" w:hAnsi="Meiryo UI"/>
          <w:color w:val="2E74B5"/>
        </w:rPr>
        <w:t>3.2 国内市場</w:t>
      </w:r>
    </w:p>
    <w:p/>
    <w:p>
      <w:r>
        <w:rPr>
          <w:rFonts w:ascii="Meiryo UI" w:hAnsi="Meiryo UI"/>
          <w:sz w:val="20"/>
        </w:rPr>
        <w:t>国内は既存顧客への更新需要が中心。成長性は限定的だが、安定的キャッシュフロー基盤を形成。</w:t>
      </w:r>
    </w:p>
    <w:p/>
    <w:p>
      <w:pPr>
        <w:pStyle w:val="Heading3"/>
      </w:pPr>
      <w:r>
        <w:rPr>
          <w:rFonts w:ascii="Meiryo UI" w:hAnsi="Meiryo UI"/>
          <w:color w:val="2E74B5"/>
        </w:rPr>
        <w:t>3.3 成長市場マップ</w:t>
      </w:r>
    </w:p>
    <w:p/>
    <w:p>
      <w:pPr>
        <w:shd w:val="clear" w:color="auto" w:fill="F2F2F2"/>
      </w:pPr>
      <w:r>
        <w:rPr>
          <w:rFonts w:ascii="Courier New" w:hAnsi="Courier New"/>
          <w:sz w:val="16"/>
        </w:rPr>
        <w:t>【衛生材料浸透率と成長ポテンシャル】</w:t>
        <w:br/>
        <w:br/>
        <w:t>高浸透率（成熟）     低浸透率（成長余地大）</w:t>
        <w:br/>
        <w:t>│                        │</w:t>
        <w:br/>
        <w:t>├─ 日本（国内）          ├─ インド</w:t>
        <w:br/>
        <w:t>├─ 欧米                  ├─ アフリカ</w:t>
        <w:br/>
        <w:t>└─ 韓国                  ├─ 東南アジア（一部）</w:t>
        <w:br/>
        <w:t xml:space="preserve">                          └─ 中東・中央アジア</w:t>
      </w:r>
    </w:p>
    <w:p/>
    <w:p>
      <w:r>
        <w:rPr>
          <w:rFonts w:ascii="Meiryo UI" w:hAnsi="Meiryo UI"/>
          <w:sz w:val="20"/>
        </w:rPr>
        <w:t>中国は「高浸透率への移行期」＋「大人用需要急拡大」という2つのベクトルを持つ重要市場。</w:t>
      </w:r>
    </w:p>
    <w:p/>
    <w:p>
      <w:r>
        <w:t>──────────────────────────────────────────────────</w:t>
      </w:r>
    </w:p>
    <w:p/>
    <w:p>
      <w:pPr>
        <w:pStyle w:val="Heading2"/>
      </w:pPr>
      <w:r>
        <w:rPr>
          <w:rFonts w:ascii="Meiryo UI" w:hAnsi="Meiryo UI"/>
          <w:color w:val="2E74B5"/>
        </w:rPr>
        <w:t>4. 財務ハイライト</w:t>
      </w:r>
    </w:p>
    <w:p/>
    <w:p>
      <w:r>
        <w:rPr>
          <w:rFonts w:ascii="Meiryo UI" w:hAnsi="Meiryo UI"/>
          <w:sz w:val="20"/>
        </w:rPr>
        <w:t>&gt; ⚠️ 以下数値は公開決算資料・適時開示情報をベースに深井が推計・整理したものです。最新IR資料との照合を推奨します。</w:t>
      </w:r>
    </w:p>
    <w:p/>
    <w:p>
      <w:pPr>
        <w:pStyle w:val="Heading3"/>
      </w:pPr>
      <w:r>
        <w:rPr>
          <w:rFonts w:ascii="Meiryo UI" w:hAnsi="Meiryo UI"/>
          <w:color w:val="2E74B5"/>
        </w:rPr>
        <w:t>4.1 損益計算書（PL）ハイライト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FY2022実績</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FY2025予（推定）</w:t>
            </w:r>
          </w:p>
        </w:tc>
      </w:tr>
      <w:tr>
        <w:tc>
          <w:tcPr>
            <w:tcW w:type="dxa" w:w="1881"/>
          </w:tcPr>
          <w:p>
            <w:r>
              <w:rPr>
                <w:rFonts w:ascii="Meiryo UI" w:hAnsi="Meiryo UI"/>
                <w:sz w:val="18"/>
              </w:rPr>
              <w:t>売上高（億円）</w:t>
            </w:r>
          </w:p>
        </w:tc>
        <w:tc>
          <w:tcPr>
            <w:tcW w:type="dxa" w:w="1881"/>
          </w:tcPr>
          <w:p>
            <w:r>
              <w:rPr>
                <w:rFonts w:ascii="Meiryo UI" w:hAnsi="Meiryo UI"/>
                <w:sz w:val="18"/>
              </w:rPr>
              <w:t>約350</w:t>
            </w:r>
          </w:p>
        </w:tc>
        <w:tc>
          <w:tcPr>
            <w:tcW w:type="dxa" w:w="1881"/>
          </w:tcPr>
          <w:p>
            <w:r>
              <w:rPr>
                <w:rFonts w:ascii="Meiryo UI" w:hAnsi="Meiryo UI"/>
                <w:sz w:val="18"/>
              </w:rPr>
              <w:t>約380</w:t>
            </w:r>
          </w:p>
        </w:tc>
        <w:tc>
          <w:tcPr>
            <w:tcW w:type="dxa" w:w="1881"/>
          </w:tcPr>
          <w:p>
            <w:r>
              <w:rPr>
                <w:rFonts w:ascii="Meiryo UI" w:hAnsi="Meiryo UI"/>
                <w:sz w:val="18"/>
              </w:rPr>
              <w:t>約420</w:t>
            </w:r>
          </w:p>
        </w:tc>
        <w:tc>
          <w:tcPr>
            <w:tcW w:type="dxa" w:w="1881"/>
          </w:tcPr>
          <w:p>
            <w:r>
              <w:rPr>
                <w:rFonts w:ascii="Meiryo UI" w:hAnsi="Meiryo UI"/>
                <w:sz w:val="18"/>
              </w:rPr>
              <w:t>約440〜460</w:t>
            </w:r>
          </w:p>
        </w:tc>
      </w:tr>
      <w:tr>
        <w:tc>
          <w:tcPr>
            <w:tcW w:type="dxa" w:w="1881"/>
            <w:shd w:val="clear" w:color="auto" w:fill="DDEBF7"/>
          </w:tcPr>
          <w:p>
            <w:r>
              <w:rPr>
                <w:rFonts w:ascii="Meiryo UI" w:hAnsi="Meiryo UI"/>
                <w:sz w:val="18"/>
              </w:rPr>
              <w:t>営業利益（億円）</w:t>
            </w:r>
          </w:p>
        </w:tc>
        <w:tc>
          <w:tcPr>
            <w:tcW w:type="dxa" w:w="1881"/>
            <w:shd w:val="clear" w:color="auto" w:fill="DDEBF7"/>
          </w:tcPr>
          <w:p>
            <w:r>
              <w:rPr>
                <w:rFonts w:ascii="Meiryo UI" w:hAnsi="Meiryo UI"/>
                <w:sz w:val="18"/>
              </w:rPr>
              <w:t>約25</w:t>
            </w:r>
          </w:p>
        </w:tc>
        <w:tc>
          <w:tcPr>
            <w:tcW w:type="dxa" w:w="1881"/>
            <w:shd w:val="clear" w:color="auto" w:fill="DDEBF7"/>
          </w:tcPr>
          <w:p>
            <w:r>
              <w:rPr>
                <w:rFonts w:ascii="Meiryo UI" w:hAnsi="Meiryo UI"/>
                <w:sz w:val="18"/>
              </w:rPr>
              <w:t>約30</w:t>
            </w:r>
          </w:p>
        </w:tc>
        <w:tc>
          <w:tcPr>
            <w:tcW w:type="dxa" w:w="1881"/>
            <w:shd w:val="clear" w:color="auto" w:fill="DDEBF7"/>
          </w:tcPr>
          <w:p>
            <w:r>
              <w:rPr>
                <w:rFonts w:ascii="Meiryo UI" w:hAnsi="Meiryo UI"/>
                <w:sz w:val="18"/>
              </w:rPr>
              <w:t>約38</w:t>
            </w:r>
          </w:p>
        </w:tc>
        <w:tc>
          <w:tcPr>
            <w:tcW w:type="dxa" w:w="1881"/>
            <w:shd w:val="clear" w:color="auto" w:fill="DDEBF7"/>
          </w:tcPr>
          <w:p>
            <w:r>
              <w:rPr>
                <w:rFonts w:ascii="Meiryo UI" w:hAnsi="Meiryo UI"/>
                <w:sz w:val="18"/>
              </w:rPr>
              <w:t>約42〜48</w:t>
            </w:r>
          </w:p>
        </w:tc>
      </w:tr>
      <w:tr>
        <w:tc>
          <w:tcPr>
            <w:tcW w:type="dxa" w:w="1881"/>
          </w:tcPr>
          <w:p>
            <w:r>
              <w:rPr>
                <w:rFonts w:ascii="Meiryo UI" w:hAnsi="Meiryo UI"/>
                <w:sz w:val="18"/>
              </w:rPr>
              <w:t>営業利益率</w:t>
            </w:r>
          </w:p>
        </w:tc>
        <w:tc>
          <w:tcPr>
            <w:tcW w:type="dxa" w:w="1881"/>
          </w:tcPr>
          <w:p>
            <w:r>
              <w:rPr>
                <w:rFonts w:ascii="Meiryo UI" w:hAnsi="Meiryo UI"/>
                <w:sz w:val="18"/>
              </w:rPr>
              <w:t>約7.1%</w:t>
            </w:r>
          </w:p>
        </w:tc>
        <w:tc>
          <w:tcPr>
            <w:tcW w:type="dxa" w:w="1881"/>
          </w:tcPr>
          <w:p>
            <w:r>
              <w:rPr>
                <w:rFonts w:ascii="Meiryo UI" w:hAnsi="Meiryo UI"/>
                <w:sz w:val="18"/>
              </w:rPr>
              <w:t>約7.9%</w:t>
            </w:r>
          </w:p>
        </w:tc>
        <w:tc>
          <w:tcPr>
            <w:tcW w:type="dxa" w:w="1881"/>
          </w:tcPr>
          <w:p>
            <w:r>
              <w:rPr>
                <w:rFonts w:ascii="Meiryo UI" w:hAnsi="Meiryo UI"/>
                <w:sz w:val="18"/>
              </w:rPr>
              <w:t>約9.0%</w:t>
            </w:r>
          </w:p>
        </w:tc>
        <w:tc>
          <w:tcPr>
            <w:tcW w:type="dxa" w:w="1881"/>
          </w:tcPr>
          <w:p>
            <w:r>
              <w:rPr>
                <w:rFonts w:ascii="Meiryo UI" w:hAnsi="Meiryo UI"/>
                <w:sz w:val="18"/>
              </w:rPr>
              <w:t>約9.5〜10.5%</w:t>
            </w:r>
          </w:p>
        </w:tc>
      </w:tr>
      <w:tr>
        <w:tc>
          <w:tcPr>
            <w:tcW w:type="dxa" w:w="1881"/>
            <w:shd w:val="clear" w:color="auto" w:fill="DDEBF7"/>
          </w:tcPr>
          <w:p>
            <w:r>
              <w:rPr>
                <w:rFonts w:ascii="Meiryo UI" w:hAnsi="Meiryo UI"/>
                <w:sz w:val="18"/>
              </w:rPr>
              <w:t>経常利益（億円）</w:t>
            </w:r>
          </w:p>
        </w:tc>
        <w:tc>
          <w:tcPr>
            <w:tcW w:type="dxa" w:w="1881"/>
            <w:shd w:val="clear" w:color="auto" w:fill="DDEBF7"/>
          </w:tcPr>
          <w:p>
            <w:r>
              <w:rPr>
                <w:rFonts w:ascii="Meiryo UI" w:hAnsi="Meiryo UI"/>
                <w:sz w:val="18"/>
              </w:rPr>
              <w:t>約28</w:t>
            </w:r>
          </w:p>
        </w:tc>
        <w:tc>
          <w:tcPr>
            <w:tcW w:type="dxa" w:w="1881"/>
            <w:shd w:val="clear" w:color="auto" w:fill="DDEBF7"/>
          </w:tcPr>
          <w:p>
            <w:r>
              <w:rPr>
                <w:rFonts w:ascii="Meiryo UI" w:hAnsi="Meiryo UI"/>
                <w:sz w:val="18"/>
              </w:rPr>
              <w:t>約33</w:t>
            </w:r>
          </w:p>
        </w:tc>
        <w:tc>
          <w:tcPr>
            <w:tcW w:type="dxa" w:w="1881"/>
            <w:shd w:val="clear" w:color="auto" w:fill="DDEBF7"/>
          </w:tcPr>
          <w:p>
            <w:r>
              <w:rPr>
                <w:rFonts w:ascii="Meiryo UI" w:hAnsi="Meiryo UI"/>
                <w:sz w:val="18"/>
              </w:rPr>
              <w:t>約42</w:t>
            </w:r>
          </w:p>
        </w:tc>
        <w:tc>
          <w:tcPr>
            <w:tcW w:type="dxa" w:w="1881"/>
            <w:shd w:val="clear" w:color="auto" w:fill="DDEBF7"/>
          </w:tcPr>
          <w:p>
            <w:r>
              <w:rPr>
                <w:rFonts w:ascii="Meiryo UI" w:hAnsi="Meiryo UI"/>
                <w:sz w:val="18"/>
              </w:rPr>
              <w:t>約45〜52</w:t>
            </w:r>
          </w:p>
        </w:tc>
      </w:tr>
      <w:tr>
        <w:tc>
          <w:tcPr>
            <w:tcW w:type="dxa" w:w="1881"/>
          </w:tcPr>
          <w:p>
            <w:r>
              <w:rPr>
                <w:rFonts w:ascii="Meiryo UI" w:hAnsi="Meiryo UI"/>
                <w:sz w:val="18"/>
              </w:rPr>
              <w:t>純利益（億円）</w:t>
            </w:r>
          </w:p>
        </w:tc>
        <w:tc>
          <w:tcPr>
            <w:tcW w:type="dxa" w:w="1881"/>
          </w:tcPr>
          <w:p>
            <w:r>
              <w:rPr>
                <w:rFonts w:ascii="Meiryo UI" w:hAnsi="Meiryo UI"/>
                <w:sz w:val="18"/>
              </w:rPr>
              <w:t>約18</w:t>
            </w:r>
          </w:p>
        </w:tc>
        <w:tc>
          <w:tcPr>
            <w:tcW w:type="dxa" w:w="1881"/>
          </w:tcPr>
          <w:p>
            <w:r>
              <w:rPr>
                <w:rFonts w:ascii="Meiryo UI" w:hAnsi="Meiryo UI"/>
                <w:sz w:val="18"/>
              </w:rPr>
              <w:t>約22</w:t>
            </w:r>
          </w:p>
        </w:tc>
        <w:tc>
          <w:tcPr>
            <w:tcW w:type="dxa" w:w="1881"/>
          </w:tcPr>
          <w:p>
            <w:r>
              <w:rPr>
                <w:rFonts w:ascii="Meiryo UI" w:hAnsi="Meiryo UI"/>
                <w:sz w:val="18"/>
              </w:rPr>
              <w:t>約28</w:t>
            </w:r>
          </w:p>
        </w:tc>
        <w:tc>
          <w:tcPr>
            <w:tcW w:type="dxa" w:w="1881"/>
          </w:tcPr>
          <w:p>
            <w:r>
              <w:rPr>
                <w:rFonts w:ascii="Meiryo UI" w:hAnsi="Meiryo UI"/>
                <w:sz w:val="18"/>
              </w:rPr>
              <w:t>約30〜35</w:t>
            </w:r>
          </w:p>
        </w:tc>
      </w:tr>
    </w:tbl>
    <w:p/>
    <w:p>
      <w:r>
        <w:rPr>
          <w:rFonts w:ascii="Meiryo UI" w:hAnsi="Meiryo UI"/>
          <w:sz w:val="20"/>
        </w:rPr>
        <w:t>トレンド評価：売上・利益ともに右肩上がりのモメンタム。営業利益率の改善が顕著で、製品ミックスの高付加価値化（大人用おむつ機の比率上昇）と為替メリットが寄与。</w:t>
      </w:r>
    </w:p>
    <w:p/>
    <w:p>
      <w:pPr>
        <w:pStyle w:val="Heading3"/>
      </w:pPr>
      <w:r>
        <w:rPr>
          <w:rFonts w:ascii="Meiryo UI" w:hAnsi="Meiryo UI"/>
          <w:color w:val="2E74B5"/>
        </w:rPr>
        <w:t>4.2 貸借対照表（BS）ハイライト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直近FY推定</w:t>
            </w:r>
          </w:p>
        </w:tc>
      </w:tr>
      <w:tr>
        <w:tc>
          <w:tcPr>
            <w:tcW w:type="dxa" w:w="4703"/>
          </w:tcPr>
          <w:p>
            <w:r>
              <w:rPr>
                <w:rFonts w:ascii="Meiryo UI" w:hAnsi="Meiryo UI"/>
                <w:sz w:val="18"/>
              </w:rPr>
              <w:t>総資産（億円）</w:t>
            </w:r>
          </w:p>
        </w:tc>
        <w:tc>
          <w:tcPr>
            <w:tcW w:type="dxa" w:w="4703"/>
          </w:tcPr>
          <w:p>
            <w:r>
              <w:rPr>
                <w:rFonts w:ascii="Meiryo UI" w:hAnsi="Meiryo UI"/>
                <w:sz w:val="18"/>
              </w:rPr>
              <w:t>約500〜550</w:t>
            </w:r>
          </w:p>
        </w:tc>
      </w:tr>
      <w:tr>
        <w:tc>
          <w:tcPr>
            <w:tcW w:type="dxa" w:w="4703"/>
            <w:shd w:val="clear" w:color="auto" w:fill="DDEBF7"/>
          </w:tcPr>
          <w:p>
            <w:r>
              <w:rPr>
                <w:rFonts w:ascii="Meiryo UI" w:hAnsi="Meiryo UI"/>
                <w:sz w:val="18"/>
              </w:rPr>
              <w:t>自己資本（億円）</w:t>
            </w:r>
          </w:p>
        </w:tc>
        <w:tc>
          <w:tcPr>
            <w:tcW w:type="dxa" w:w="4703"/>
            <w:shd w:val="clear" w:color="auto" w:fill="DDEBF7"/>
          </w:tcPr>
          <w:p>
            <w:r>
              <w:rPr>
                <w:rFonts w:ascii="Meiryo UI" w:hAnsi="Meiryo UI"/>
                <w:sz w:val="18"/>
              </w:rPr>
              <w:t>約300〜330</w:t>
            </w:r>
          </w:p>
        </w:tc>
      </w:tr>
      <w:tr>
        <w:tc>
          <w:tcPr>
            <w:tcW w:type="dxa" w:w="4703"/>
          </w:tcPr>
          <w:p>
            <w:r>
              <w:rPr>
                <w:rFonts w:ascii="Meiryo UI" w:hAnsi="Meiryo UI"/>
                <w:sz w:val="18"/>
              </w:rPr>
              <w:t>自己資本比率</w:t>
            </w:r>
          </w:p>
        </w:tc>
        <w:tc>
          <w:tcPr>
            <w:tcW w:type="dxa" w:w="4703"/>
          </w:tcPr>
          <w:p>
            <w:r>
              <w:rPr>
                <w:rFonts w:ascii="Meiryo UI" w:hAnsi="Meiryo UI"/>
                <w:sz w:val="18"/>
              </w:rPr>
              <w:t>約60〜65%</w:t>
            </w:r>
          </w:p>
        </w:tc>
      </w:tr>
      <w:tr>
        <w:tc>
          <w:tcPr>
            <w:tcW w:type="dxa" w:w="4703"/>
            <w:shd w:val="clear" w:color="auto" w:fill="DDEBF7"/>
          </w:tcPr>
          <w:p>
            <w:r>
              <w:rPr>
                <w:rFonts w:ascii="Meiryo UI" w:hAnsi="Meiryo UI"/>
                <w:sz w:val="18"/>
              </w:rPr>
              <w:t>有利子負債（億円）</w:t>
            </w:r>
          </w:p>
        </w:tc>
        <w:tc>
          <w:tcPr>
            <w:tcW w:type="dxa" w:w="4703"/>
            <w:shd w:val="clear" w:color="auto" w:fill="DDEBF7"/>
          </w:tcPr>
          <w:p>
            <w:r>
              <w:rPr>
                <w:rFonts w:ascii="Meiryo UI" w:hAnsi="Meiryo UI"/>
                <w:sz w:val="18"/>
              </w:rPr>
              <w:t>約20〜40（実質無借金に近い）</w:t>
            </w:r>
          </w:p>
        </w:tc>
      </w:tr>
      <w:tr>
        <w:tc>
          <w:tcPr>
            <w:tcW w:type="dxa" w:w="4703"/>
          </w:tcPr>
          <w:p>
            <w:r>
              <w:rPr>
                <w:rFonts w:ascii="Meiryo UI" w:hAnsi="Meiryo UI"/>
                <w:sz w:val="18"/>
              </w:rPr>
              <w:t>現金・現金同等物（億円）</w:t>
            </w:r>
          </w:p>
        </w:tc>
        <w:tc>
          <w:tcPr>
            <w:tcW w:type="dxa" w:w="4703"/>
          </w:tcPr>
          <w:p>
            <w:r>
              <w:rPr>
                <w:rFonts w:ascii="Meiryo UI" w:hAnsi="Meiryo UI"/>
                <w:sz w:val="18"/>
              </w:rPr>
              <w:t>約100〜130</w:t>
            </w:r>
          </w:p>
        </w:tc>
      </w:tr>
      <w:tr>
        <w:tc>
          <w:tcPr>
            <w:tcW w:type="dxa" w:w="4703"/>
            <w:shd w:val="clear" w:color="auto" w:fill="DDEBF7"/>
          </w:tcPr>
          <w:p>
            <w:r>
              <w:rPr>
                <w:rFonts w:ascii="Meiryo UI" w:hAnsi="Meiryo UI"/>
                <w:sz w:val="18"/>
              </w:rPr>
              <w:t>PBR（推定）</w:t>
            </w:r>
          </w:p>
        </w:tc>
        <w:tc>
          <w:tcPr>
            <w:tcW w:type="dxa" w:w="4703"/>
            <w:shd w:val="clear" w:color="auto" w:fill="DDEBF7"/>
          </w:tcPr>
          <w:p>
            <w:r>
              <w:rPr>
                <w:rFonts w:ascii="Meiryo UI" w:hAnsi="Meiryo UI"/>
                <w:sz w:val="18"/>
              </w:rPr>
              <w:t>約0.9〜1.1倍</w:t>
            </w:r>
          </w:p>
        </w:tc>
      </w:tr>
    </w:tbl>
    <w:p/>
    <w:p>
      <w:r>
        <w:rPr>
          <w:rFonts w:ascii="Meiryo UI" w:hAnsi="Meiryo UI"/>
          <w:sz w:val="20"/>
        </w:rPr>
        <w:t>BSの特徴：実質無借金・現金リッチな財務体質。この余剰資金が今回の増配原資にもなっており、さらなる株主還元余地を示唆。</w:t>
      </w:r>
    </w:p>
    <w:p/>
    <w:p>
      <w:pPr>
        <w:pStyle w:val="Heading3"/>
      </w:pPr>
      <w:r>
        <w:rPr>
          <w:rFonts w:ascii="Meiryo UI" w:hAnsi="Meiryo UI"/>
          <w:color w:val="2E74B5"/>
        </w:rPr>
        <w:t>4.3 キャッシュフロー（CF）ハイライト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直近FY推定</w:t>
            </w:r>
          </w:p>
        </w:tc>
      </w:tr>
      <w:tr>
        <w:tc>
          <w:tcPr>
            <w:tcW w:type="dxa" w:w="4703"/>
          </w:tcPr>
          <w:p>
            <w:r>
              <w:rPr>
                <w:rFonts w:ascii="Meiryo UI" w:hAnsi="Meiryo UI"/>
                <w:sz w:val="18"/>
              </w:rPr>
              <w:t>営業CF（億円）</w:t>
            </w:r>
          </w:p>
        </w:tc>
        <w:tc>
          <w:tcPr>
            <w:tcW w:type="dxa" w:w="4703"/>
          </w:tcPr>
          <w:p>
            <w:r>
              <w:rPr>
                <w:rFonts w:ascii="Meiryo UI" w:hAnsi="Meiryo UI"/>
                <w:sz w:val="18"/>
              </w:rPr>
              <w:t>約35〜45</w:t>
            </w:r>
          </w:p>
        </w:tc>
      </w:tr>
      <w:tr>
        <w:tc>
          <w:tcPr>
            <w:tcW w:type="dxa" w:w="4703"/>
            <w:shd w:val="clear" w:color="auto" w:fill="DDEBF7"/>
          </w:tcPr>
          <w:p>
            <w:r>
              <w:rPr>
                <w:rFonts w:ascii="Meiryo UI" w:hAnsi="Meiryo UI"/>
                <w:sz w:val="18"/>
              </w:rPr>
              <w:t>投資CF（億円）</w:t>
            </w:r>
          </w:p>
        </w:tc>
        <w:tc>
          <w:tcPr>
            <w:tcW w:type="dxa" w:w="4703"/>
            <w:shd w:val="clear" w:color="auto" w:fill="DDEBF7"/>
          </w:tcPr>
          <w:p>
            <w:r>
              <w:rPr>
                <w:rFonts w:ascii="Meiryo UI" w:hAnsi="Meiryo UI"/>
                <w:sz w:val="18"/>
              </w:rPr>
              <w:t>△10〜△15（設備投資・開発投資）</w:t>
            </w:r>
          </w:p>
        </w:tc>
      </w:tr>
      <w:tr>
        <w:tc>
          <w:tcPr>
            <w:tcW w:type="dxa" w:w="4703"/>
          </w:tcPr>
          <w:p>
            <w:r>
              <w:rPr>
                <w:rFonts w:ascii="Meiryo UI" w:hAnsi="Meiryo UI"/>
                <w:sz w:val="18"/>
              </w:rPr>
              <w:t>FCF（億円）</w:t>
            </w:r>
          </w:p>
        </w:tc>
        <w:tc>
          <w:tcPr>
            <w:tcW w:type="dxa" w:w="4703"/>
          </w:tcPr>
          <w:p>
            <w:r>
              <w:rPr>
                <w:rFonts w:ascii="Meiryo UI" w:hAnsi="Meiryo UI"/>
                <w:sz w:val="18"/>
              </w:rPr>
              <w:t>約20〜30</w:t>
            </w:r>
          </w:p>
        </w:tc>
      </w:tr>
      <w:tr>
        <w:tc>
          <w:tcPr>
            <w:tcW w:type="dxa" w:w="4703"/>
            <w:shd w:val="clear" w:color="auto" w:fill="DDEBF7"/>
          </w:tcPr>
          <w:p>
            <w:r>
              <w:rPr>
                <w:rFonts w:ascii="Meiryo UI" w:hAnsi="Meiryo UI"/>
                <w:sz w:val="18"/>
              </w:rPr>
              <w:t>FCFマージン</w:t>
            </w:r>
          </w:p>
        </w:tc>
        <w:tc>
          <w:tcPr>
            <w:tcW w:type="dxa" w:w="4703"/>
            <w:shd w:val="clear" w:color="auto" w:fill="DDEBF7"/>
          </w:tcPr>
          <w:p>
            <w:r>
              <w:rPr>
                <w:rFonts w:ascii="Meiryo UI" w:hAnsi="Meiryo UI"/>
                <w:sz w:val="18"/>
              </w:rPr>
              <w:t>約5〜7%</w:t>
            </w:r>
          </w:p>
        </w:tc>
      </w:tr>
      <w:tr>
        <w:tc>
          <w:tcPr>
            <w:tcW w:type="dxa" w:w="4703"/>
          </w:tcPr>
          <w:p>
            <w:r>
              <w:rPr>
                <w:rFonts w:ascii="Meiryo UI" w:hAnsi="Meiryo UI"/>
                <w:sz w:val="18"/>
              </w:rPr>
              <w:t>配当総額（億円）</w:t>
            </w:r>
          </w:p>
        </w:tc>
        <w:tc>
          <w:tcPr>
            <w:tcW w:type="dxa" w:w="4703"/>
          </w:tcPr>
          <w:p>
            <w:r>
              <w:rPr>
                <w:rFonts w:ascii="Meiryo UI" w:hAnsi="Meiryo UI"/>
                <w:sz w:val="18"/>
              </w:rPr>
              <w:t>約5〜8（増配後推定）</w:t>
            </w:r>
          </w:p>
        </w:tc>
      </w:tr>
      <w:tr>
        <w:tc>
          <w:tcPr>
            <w:tcW w:type="dxa" w:w="4703"/>
            <w:shd w:val="clear" w:color="auto" w:fill="DDEBF7"/>
          </w:tcPr>
          <w:p>
            <w:r>
              <w:rPr>
                <w:rFonts w:ascii="Meiryo UI" w:hAnsi="Meiryo UI"/>
                <w:sz w:val="18"/>
              </w:rPr>
              <w:t>配当性向</w:t>
            </w:r>
          </w:p>
        </w:tc>
        <w:tc>
          <w:tcPr>
            <w:tcW w:type="dxa" w:w="4703"/>
            <w:shd w:val="clear" w:color="auto" w:fill="DDEBF7"/>
          </w:tcPr>
          <w:p>
            <w:r>
              <w:rPr>
                <w:rFonts w:ascii="Meiryo UI" w:hAnsi="Meiryo UI"/>
                <w:sz w:val="18"/>
              </w:rPr>
              <w:t>約20〜25% → 増配により引き上げ余地あり</w:t>
            </w:r>
          </w:p>
        </w:tc>
      </w:tr>
    </w:tbl>
    <w:p/>
    <w:p>
      <w:r>
        <w:rPr>
          <w:rFonts w:ascii="Meiryo UI" w:hAnsi="Meiryo UI"/>
          <w:sz w:val="20"/>
        </w:rPr>
        <w:t>FCF評価：製造業としてFCFマージン5〜7%は平均的〜やや良好なレベル。余剰FCFが蓄積されており、増配・自社株買い余地は十分。</w:t>
      </w:r>
    </w:p>
    <w:p/>
    <w:p>
      <w:pPr>
        <w:pStyle w:val="Heading3"/>
      </w:pPr>
      <w:r>
        <w:rPr>
          <w:rFonts w:ascii="Meiryo UI" w:hAnsi="Meiryo UI"/>
          <w:color w:val="2E74B5"/>
        </w:rPr>
        <w:t>4.4 バリュエーション指標（現在株価ベース）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PER（FY2025予）</w:t>
            </w:r>
          </w:p>
        </w:tc>
        <w:tc>
          <w:tcPr>
            <w:tcW w:type="dxa" w:w="3135"/>
          </w:tcPr>
          <w:p>
            <w:r>
              <w:rPr>
                <w:rFonts w:ascii="Meiryo UI" w:hAnsi="Meiryo UI"/>
                <w:sz w:val="18"/>
              </w:rPr>
              <w:t>約12〜15倍</w:t>
            </w:r>
          </w:p>
        </w:tc>
        <w:tc>
          <w:tcPr>
            <w:tcW w:type="dxa" w:w="3135"/>
          </w:tcPr>
          <w:p>
            <w:r>
              <w:rPr>
                <w:rFonts w:ascii="Meiryo UI" w:hAnsi="Meiryo UI"/>
                <w:sz w:val="18"/>
              </w:rPr>
              <w:t>製造業平均対比やや割安</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約0.9〜1.1倍</w:t>
            </w:r>
          </w:p>
        </w:tc>
        <w:tc>
          <w:tcPr>
            <w:tcW w:type="dxa" w:w="3135"/>
            <w:shd w:val="clear" w:color="auto" w:fill="DDEBF7"/>
          </w:tcPr>
          <w:p>
            <w:r>
              <w:rPr>
                <w:rFonts w:ascii="Meiryo UI" w:hAnsi="Meiryo UI"/>
                <w:sz w:val="18"/>
              </w:rPr>
              <w:t>解散価値近傍、下値限定的</w:t>
            </w:r>
          </w:p>
        </w:tc>
      </w:tr>
      <w:tr>
        <w:tc>
          <w:tcPr>
            <w:tcW w:type="dxa" w:w="3135"/>
          </w:tcPr>
          <w:p>
            <w:r>
              <w:rPr>
                <w:rFonts w:ascii="Meiryo UI" w:hAnsi="Meiryo UI"/>
                <w:sz w:val="18"/>
              </w:rPr>
              <w:t>EV/EBITDA</w:t>
            </w:r>
          </w:p>
        </w:tc>
        <w:tc>
          <w:tcPr>
            <w:tcW w:type="dxa" w:w="3135"/>
          </w:tcPr>
          <w:p>
            <w:r>
              <w:rPr>
                <w:rFonts w:ascii="Meiryo UI" w:hAnsi="Meiryo UI"/>
                <w:sz w:val="18"/>
              </w:rPr>
              <w:t>約6〜8倍</w:t>
            </w:r>
          </w:p>
        </w:tc>
        <w:tc>
          <w:tcPr>
            <w:tcW w:type="dxa" w:w="3135"/>
          </w:tcPr>
          <w:p>
            <w:r>
              <w:rPr>
                <w:rFonts w:ascii="Meiryo UI" w:hAnsi="Meiryo UI"/>
                <w:sz w:val="18"/>
              </w:rPr>
              <w:t>割安レンジ</w:t>
            </w:r>
          </w:p>
        </w:tc>
      </w:tr>
      <w:tr>
        <w:tc>
          <w:tcPr>
            <w:tcW w:type="dxa" w:w="3135"/>
            <w:shd w:val="clear" w:color="auto" w:fill="DDEBF7"/>
          </w:tcPr>
          <w:p>
            <w:r>
              <w:rPr>
                <w:rFonts w:ascii="Meiryo UI" w:hAnsi="Meiryo UI"/>
                <w:sz w:val="18"/>
              </w:rPr>
              <w:t>配当利回り（増配後）</w:t>
            </w:r>
          </w:p>
        </w:tc>
        <w:tc>
          <w:tcPr>
            <w:tcW w:type="dxa" w:w="3135"/>
            <w:shd w:val="clear" w:color="auto" w:fill="DDEBF7"/>
          </w:tcPr>
          <w:p>
            <w:r>
              <w:rPr>
                <w:rFonts w:ascii="Meiryo UI" w:hAnsi="Meiryo UI"/>
                <w:sz w:val="18"/>
              </w:rPr>
              <w:t>約2.0〜2.5%</w:t>
            </w:r>
          </w:p>
        </w:tc>
        <w:tc>
          <w:tcPr>
            <w:tcW w:type="dxa" w:w="3135"/>
            <w:shd w:val="clear" w:color="auto" w:fill="DDEBF7"/>
          </w:tcPr>
          <w:p>
            <w:r>
              <w:rPr>
                <w:rFonts w:ascii="Meiryo UI" w:hAnsi="Meiryo UI"/>
                <w:sz w:val="18"/>
              </w:rPr>
              <w:t>増配後は魅力的な水準へ</w:t>
            </w:r>
          </w:p>
        </w:tc>
      </w:tr>
      <w:tr>
        <w:tc>
          <w:tcPr>
            <w:tcW w:type="dxa" w:w="3135"/>
          </w:tcPr>
          <w:p>
            <w:r>
              <w:rPr>
                <w:rFonts w:ascii="Meiryo UI" w:hAnsi="Meiryo UI"/>
                <w:sz w:val="18"/>
              </w:rPr>
              <w:t>ROE</w:t>
            </w:r>
          </w:p>
        </w:tc>
        <w:tc>
          <w:tcPr>
            <w:tcW w:type="dxa" w:w="3135"/>
          </w:tcPr>
          <w:p>
            <w:r>
              <w:rPr>
                <w:rFonts w:ascii="Meiryo UI" w:hAnsi="Meiryo UI"/>
                <w:sz w:val="18"/>
              </w:rPr>
              <w:t>約8〜10%</w:t>
            </w:r>
          </w:p>
        </w:tc>
        <w:tc>
          <w:tcPr>
            <w:tcW w:type="dxa" w:w="3135"/>
          </w:tcPr>
          <w:p>
            <w:r>
              <w:rPr>
                <w:rFonts w:ascii="Meiryo UI" w:hAnsi="Meiryo UI"/>
                <w:sz w:val="18"/>
              </w:rPr>
              <w:t>改善傾向、PBR1倍超えへの布石</w:t>
            </w:r>
          </w:p>
        </w:tc>
      </w:tr>
    </w:tbl>
    <w:p/>
    <w:p>
      <w:r>
        <w:t>──────────────────────────────────────────────────</w:t>
      </w:r>
    </w:p>
    <w:p/>
    <w:p>
      <w:pPr>
        <w:pStyle w:val="Heading2"/>
      </w:pPr>
      <w:r>
        <w:rPr>
          <w:rFonts w:ascii="Meiryo UI" w:hAnsi="Meiryo UI"/>
          <w:color w:val="2E74B5"/>
        </w:rPr>
        <w:t>5. DCFバリュエーション</w:t>
      </w:r>
    </w:p>
    <w:p/>
    <w:p>
      <w:pPr>
        <w:pStyle w:val="Heading3"/>
      </w:pPr>
      <w:r>
        <w:rPr>
          <w:rFonts w:ascii="Meiryo UI" w:hAnsi="Meiryo UI"/>
          <w:color w:val="2E74B5"/>
        </w:rPr>
        <w:t>5.1 前提条件（全明記）</w:t>
      </w:r>
    </w:p>
    <w:p/>
    <w:p>
      <w:pPr>
        <w:pStyle w:val="Heading4"/>
      </w:pPr>
      <w:r>
        <w:rPr>
          <w:rFonts w:ascii="Meiryo UI" w:hAnsi="Meiryo UI"/>
          <w:color w:val="2E74B5"/>
        </w:rPr>
        <w:t>マクロ前提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リスクフリーレート（Rf）</w:t>
            </w:r>
          </w:p>
        </w:tc>
        <w:tc>
          <w:tcPr>
            <w:tcW w:type="dxa" w:w="3135"/>
          </w:tcPr>
          <w:p>
            <w:r>
              <w:rPr>
                <w:rFonts w:ascii="Meiryo UI" w:hAnsi="Meiryo UI"/>
                <w:sz w:val="18"/>
              </w:rPr>
              <w:t>1.5%</w:t>
            </w:r>
          </w:p>
        </w:tc>
        <w:tc>
          <w:tcPr>
            <w:tcW w:type="dxa" w:w="3135"/>
          </w:tcPr>
          <w:p>
            <w:r>
              <w:rPr>
                <w:rFonts w:ascii="Meiryo UI" w:hAnsi="Meiryo UI"/>
                <w:sz w:val="18"/>
              </w:rPr>
              <w:t>JGB10年利回り（現在約1.5%、社内規定準拠）</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日本株長期ERP（Damodaran推計ベース：5.0〜6.0%の中央値）</w:t>
            </w:r>
          </w:p>
        </w:tc>
      </w:tr>
      <w:tr>
        <w:tc>
          <w:tcPr>
            <w:tcW w:type="dxa" w:w="3135"/>
          </w:tcPr>
          <w:p>
            <w:r>
              <w:rPr>
                <w:rFonts w:ascii="Meiryo UI" w:hAnsi="Meiryo UI"/>
                <w:sz w:val="18"/>
              </w:rPr>
              <w:t>ベータ（β）</w:t>
            </w:r>
          </w:p>
        </w:tc>
        <w:tc>
          <w:tcPr>
            <w:tcW w:type="dxa" w:w="3135"/>
          </w:tcPr>
          <w:p>
            <w:r>
              <w:rPr>
                <w:rFonts w:ascii="Meiryo UI" w:hAnsi="Meiryo UI"/>
                <w:sz w:val="18"/>
              </w:rPr>
              <w:t>0.85</w:t>
            </w:r>
          </w:p>
        </w:tc>
        <w:tc>
          <w:tcPr>
            <w:tcW w:type="dxa" w:w="3135"/>
          </w:tcPr>
          <w:p>
            <w:r>
              <w:rPr>
                <w:rFonts w:ascii="Meiryo UI" w:hAnsi="Meiryo UI"/>
                <w:sz w:val="18"/>
              </w:rPr>
              <w:t>製造業・輸出系小型株。市場平均より若干低い安定株（推定）。類似上場企業比較ベース</w:t>
            </w:r>
          </w:p>
        </w:tc>
      </w:tr>
      <w:tr>
        <w:tc>
          <w:tcPr>
            <w:tcW w:type="dxa" w:w="3135"/>
            <w:shd w:val="clear" w:color="auto" w:fill="DDEBF7"/>
          </w:tcPr>
          <w:p>
            <w:r>
              <w:rPr>
                <w:rFonts w:ascii="Meiryo UI" w:hAnsi="Meiryo UI"/>
                <w:sz w:val="18"/>
              </w:rPr>
              <w:t>株主資本コスト（Ke）</w:t>
            </w:r>
          </w:p>
        </w:tc>
        <w:tc>
          <w:tcPr>
            <w:tcW w:type="dxa" w:w="3135"/>
            <w:shd w:val="clear" w:color="auto" w:fill="DDEBF7"/>
          </w:tcPr>
          <w:p>
            <w:r>
              <w:rPr>
                <w:rFonts w:ascii="Meiryo UI" w:hAnsi="Meiryo UI"/>
                <w:sz w:val="18"/>
              </w:rPr>
              <w:t>6.175%</w:t>
            </w:r>
          </w:p>
        </w:tc>
        <w:tc>
          <w:tcPr>
            <w:tcW w:type="dxa" w:w="3135"/>
            <w:shd w:val="clear" w:color="auto" w:fill="DDEBF7"/>
          </w:tcPr>
          <w:p>
            <w:r>
              <w:rPr>
                <w:rFonts w:ascii="Meiryo UI" w:hAnsi="Meiryo UI"/>
                <w:sz w:val="18"/>
              </w:rPr>
              <w:t>Rf + β × ERP = 1.5% + 0.85 × 5.5% = 6.175%</w:t>
            </w:r>
          </w:p>
        </w:tc>
      </w:tr>
      <w:tr>
        <w:tc>
          <w:tcPr>
            <w:tcW w:type="dxa" w:w="3135"/>
          </w:tcPr>
          <w:p>
            <w:r>
              <w:rPr>
                <w:rFonts w:ascii="Meiryo UI" w:hAnsi="Meiryo UI"/>
                <w:sz w:val="18"/>
              </w:rPr>
              <w:t>負債コスト（Kd）</w:t>
            </w:r>
          </w:p>
        </w:tc>
        <w:tc>
          <w:tcPr>
            <w:tcW w:type="dxa" w:w="3135"/>
          </w:tcPr>
          <w:p>
            <w:r>
              <w:rPr>
                <w:rFonts w:ascii="Meiryo UI" w:hAnsi="Meiryo UI"/>
                <w:sz w:val="18"/>
              </w:rPr>
              <w:t>1.0%</w:t>
            </w:r>
          </w:p>
        </w:tc>
        <w:tc>
          <w:tcPr>
            <w:tcW w:type="dxa" w:w="3135"/>
          </w:tcPr>
          <w:p>
            <w:r>
              <w:rPr>
                <w:rFonts w:ascii="Meiryo UI" w:hAnsi="Meiryo UI"/>
                <w:sz w:val="18"/>
              </w:rPr>
              <w:t>実質無借金のため低位設定（短期借入金の適用利率ベース）</w:t>
            </w:r>
          </w:p>
        </w:tc>
      </w:tr>
      <w:tr>
        <w:tc>
          <w:tcPr>
            <w:tcW w:type="dxa" w:w="3135"/>
            <w:shd w:val="clear" w:color="auto" w:fill="DDEBF7"/>
          </w:tcPr>
          <w:p>
            <w:r>
              <w:rPr>
                <w:rFonts w:ascii="Meiryo UI" w:hAnsi="Meiryo UI"/>
                <w:sz w:val="18"/>
              </w:rPr>
              <w:t>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日本法人税率標準</w:t>
            </w:r>
          </w:p>
        </w:tc>
      </w:tr>
      <w:tr>
        <w:tc>
          <w:tcPr>
            <w:tcW w:type="dxa" w:w="3135"/>
          </w:tcPr>
          <w:p>
            <w:r>
              <w:rPr>
                <w:rFonts w:ascii="Meiryo UI" w:hAnsi="Meiryo UI"/>
                <w:sz w:val="18"/>
              </w:rPr>
              <w:t>D/E比率（目標資本構成）</w:t>
            </w:r>
          </w:p>
        </w:tc>
        <w:tc>
          <w:tcPr>
            <w:tcW w:type="dxa" w:w="3135"/>
          </w:tcPr>
          <w:p>
            <w:r>
              <w:rPr>
                <w:rFonts w:ascii="Meiryo UI" w:hAnsi="Meiryo UI"/>
                <w:sz w:val="18"/>
              </w:rPr>
              <w:t>5/95</w:t>
            </w:r>
          </w:p>
        </w:tc>
        <w:tc>
          <w:tcPr>
            <w:tcW w:type="dxa" w:w="3135"/>
          </w:tcPr>
          <w:p>
            <w:r>
              <w:rPr>
                <w:rFonts w:ascii="Meiryo UI" w:hAnsi="Meiryo UI"/>
                <w:sz w:val="18"/>
              </w:rPr>
              <w:t>自己資本比率約65%ベース。ほぼ全額エクイティ</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5.98%</w:t>
            </w:r>
          </w:p>
        </w:tc>
        <w:tc>
          <w:tcPr>
            <w:tcW w:type="dxa" w:w="3135"/>
            <w:shd w:val="clear" w:color="auto" w:fill="DDEBF7"/>
          </w:tcPr>
          <w:p>
            <w:r>
              <w:rPr>
                <w:rFonts w:ascii="Meiryo UI" w:hAnsi="Meiryo UI"/>
                <w:sz w:val="18"/>
              </w:rPr>
              <w:t>後述計算</w:t>
            </w:r>
          </w:p>
        </w:tc>
      </w:tr>
    </w:tbl>
    <w:p/>
    <w:p>
      <w:pPr>
        <w:pStyle w:val="Heading4"/>
      </w:pPr>
      <w:r>
        <w:rPr>
          <w:rFonts w:ascii="Meiryo UI" w:hAnsi="Meiryo UI"/>
          <w:color w:val="2E74B5"/>
        </w:rPr>
        <w:t>WACC計算詳細</w:t>
      </w:r>
    </w:p>
    <w:p/>
    <w:p>
      <w:pPr>
        <w:shd w:val="clear" w:color="auto" w:fill="F2F2F2"/>
      </w:pPr>
      <w:r>
        <w:rPr>
          <w:rFonts w:ascii="Courier New" w:hAnsi="Courier New"/>
          <w:sz w:val="16"/>
        </w:rPr>
        <w:t>WACC = Ke × (E/V) + Kd × (1-t) × (D/V)</w:t>
        <w:br/>
        <w:br/>
        <w:t>E/V = 95%、D/V = 5%</w:t>
        <w:br/>
        <w:t>Ke = 1.5% + 0.85 × 5.5% = 6.175%</w:t>
        <w:br/>
        <w:t>Kd × (1-t) = 1.0% × (1-0.30) = 0.70%</w:t>
        <w:br/>
        <w:br/>
        <w:t>WACC = 6.175% × 0.95 + 0.70% × 0.05</w:t>
        <w:br/>
        <w:t xml:space="preserve">     = 5.866% + 0.035%</w:t>
        <w:br/>
        <w:t xml:space="preserve">     ≈ 5.90%（四捨五入後、保守的に5.9%使用）</w:t>
      </w:r>
    </w:p>
    <w:p/>
    <w:p>
      <w:pPr>
        <w:pStyle w:val="Heading4"/>
      </w:pPr>
      <w:r>
        <w:rPr>
          <w:rFonts w:ascii="Meiryo UI" w:hAnsi="Meiryo UI"/>
          <w:color w:val="2E74B5"/>
        </w:rPr>
        <w:t>成長率前提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フェーズ1成長率（1〜5年）</w:t>
            </w:r>
          </w:p>
        </w:tc>
        <w:tc>
          <w:tcPr>
            <w:tcW w:type="dxa" w:w="2351"/>
            <w:shd w:val="clear" w:color="auto" w:fill="2E74B5"/>
          </w:tcPr>
          <w:p>
            <w:r>
              <w:rPr>
                <w:rFonts w:ascii="Meiryo UI" w:hAnsi="Meiryo UI"/>
                <w:b/>
                <w:color w:val="FFFFFF"/>
                <w:sz w:val="18"/>
              </w:rPr>
              <w:t>フェーズ2成長率（6〜10年）</w:t>
            </w:r>
          </w:p>
        </w:tc>
        <w:tc>
          <w:tcPr>
            <w:tcW w:type="dxa" w:w="2351"/>
            <w:shd w:val="clear" w:color="auto" w:fill="2E74B5"/>
          </w:tcPr>
          <w:p>
            <w:r>
              <w:rPr>
                <w:rFonts w:ascii="Meiryo UI" w:hAnsi="Meiryo UI"/>
                <w:b/>
                <w:color w:val="FFFFFF"/>
                <w:sz w:val="18"/>
              </w:rPr>
              <w:t>永続成長率（g）</w:t>
            </w:r>
          </w:p>
        </w:tc>
      </w:tr>
      <w:tr>
        <w:tc>
          <w:tcPr>
            <w:tcW w:type="dxa" w:w="2351"/>
          </w:tcPr>
          <w:p>
            <w:r>
              <w:rPr>
                <w:rFonts w:ascii="Meiryo UI" w:hAnsi="Meiryo UI"/>
                <w:sz w:val="18"/>
              </w:rPr>
              <w:t>強気</w:t>
            </w:r>
          </w:p>
        </w:tc>
        <w:tc>
          <w:tcPr>
            <w:tcW w:type="dxa" w:w="2351"/>
          </w:tcPr>
          <w:p>
            <w:r>
              <w:rPr>
                <w:rFonts w:ascii="Meiryo UI" w:hAnsi="Meiryo UI"/>
                <w:sz w:val="18"/>
              </w:rPr>
              <w:t>8%</w:t>
            </w:r>
          </w:p>
        </w:tc>
        <w:tc>
          <w:tcPr>
            <w:tcW w:type="dxa" w:w="2351"/>
          </w:tcPr>
          <w:p>
            <w:r>
              <w:rPr>
                <w:rFonts w:ascii="Meiryo UI" w:hAnsi="Meiryo UI"/>
                <w:sz w:val="18"/>
              </w:rPr>
              <w:t>5%</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3%</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弱気</w:t>
            </w:r>
          </w:p>
        </w:tc>
        <w:tc>
          <w:tcPr>
            <w:tcW w:type="dxa" w:w="2351"/>
          </w:tcPr>
          <w:p>
            <w:r>
              <w:rPr>
                <w:rFonts w:ascii="Meiryo UI" w:hAnsi="Meiryo UI"/>
                <w:sz w:val="18"/>
              </w:rPr>
              <w:t>2%</w:t>
            </w:r>
          </w:p>
        </w:tc>
        <w:tc>
          <w:tcPr>
            <w:tcW w:type="dxa" w:w="2351"/>
          </w:tcPr>
          <w:p>
            <w:r>
              <w:rPr>
                <w:rFonts w:ascii="Meiryo UI" w:hAnsi="Meiryo UI"/>
                <w:sz w:val="18"/>
              </w:rPr>
              <w:t>1%</w:t>
            </w:r>
          </w:p>
        </w:tc>
        <w:tc>
          <w:tcPr>
            <w:tcW w:type="dxa" w:w="2351"/>
          </w:tcPr>
          <w:p>
            <w:r>
              <w:rPr>
                <w:rFonts w:ascii="Meiryo UI" w:hAnsi="Meiryo UI"/>
                <w:sz w:val="18"/>
              </w:rPr>
              <w:t>1.0%</w:t>
            </w:r>
          </w:p>
        </w:tc>
      </w:tr>
    </w:tbl>
    <w:p/>
    <w:p>
      <w:r>
        <w:rPr>
          <w:rFonts w:ascii="Meiryo UI" w:hAnsi="Meiryo UI"/>
          <w:sz w:val="20"/>
        </w:rPr>
        <w:t>&gt; 永続成長率2.0%の根拠：日本GDP成長率（長期）約1〜1.5%に、アジア新興国市場プレミアム0.5%を加算。</w:t>
      </w:r>
    </w:p>
    <w:p/>
    <w:p>
      <w:pPr>
        <w:pStyle w:val="Heading3"/>
      </w:pPr>
      <w:r>
        <w:rPr>
          <w:rFonts w:ascii="Meiryo UI" w:hAnsi="Meiryo UI"/>
          <w:color w:val="2E74B5"/>
        </w:rPr>
        <w:t>5.2 DCF計算（基本シナリオ）</w:t>
      </w:r>
    </w:p>
    <w:p/>
    <w:p>
      <w:r>
        <w:rPr>
          <w:rFonts w:ascii="Meiryo UI" w:hAnsi="Meiryo UI"/>
          <w:sz w:val="20"/>
        </w:rPr>
        <w:t>ベースFCF: 約25億円（直近FY実績・中央値）</w:t>
      </w:r>
    </w:p>
    <w:p/>
    <w:p>
      <w:pPr>
        <w:shd w:val="clear" w:color="auto" w:fill="F2F2F2"/>
      </w:pPr>
      <w:r>
        <w:rPr>
          <w:rFonts w:ascii="Courier New" w:hAnsi="Courier New"/>
          <w:sz w:val="16"/>
        </w:rPr>
        <w:t>【基本シナリオ DCFモデル】</w:t>
        <w:br/>
        <w:t>WACC = 5.90%、フェーズ1成長率5%、フェーズ2成長率3%、g=2.0%</w:t>
        <w:br/>
        <w:br/>
        <w:t>年度  FCF（億円）  割引係数    現在価値（億円）</w:t>
        <w:br/>
        <w:t>1年目  26.3       0.9443      24.8</w:t>
        <w:br/>
        <w:t>2年目  27.6       0.8917      24.6</w:t>
        <w:br/>
        <w:t>3年目  28.9       0.8421      24.4</w:t>
        <w:br/>
        <w:t>4年目  30.4       0.7952      24.2</w:t>
        <w:br/>
        <w:t>5年目  31.9       0.7509      24.0</w:t>
        <w:br/>
        <w:t>──────────────────────────────────</w:t>
        <w:br/>
        <w:t>フェーズ1合計                  122.0</w:t>
        <w:br/>
        <w:br/>
        <w:t>6年目  32.9       0.7090      23.3</w:t>
        <w:br/>
        <w:t>7年目  33.9       0.6696      22.7</w:t>
        <w:br/>
        <w:t>8年目  34.9       0.6324      22.1</w:t>
        <w:br/>
        <w:t>9年目  35.9       0.5972      21.5</w:t>
        <w:br/>
        <w:t>10年目 37.1       0.5640      20.9</w:t>
        <w:br/>
        <w:t>──────────────────────────────────</w:t>
        <w:br/>
        <w:t>フェーズ2合計                  110.5</w:t>
        <w:br/>
        <w:br/>
        <w:t>ターミナルバリュー計算:</w:t>
        <w:br/>
        <w:t>TV = FCF11 × (1+g) / (WACC-g)</w:t>
        <w:br/>
        <w:t xml:space="preserve">   = 37.1 × 1.020 / (0.059 - 0.020)</w:t>
        <w:br/>
        <w:t xml:space="preserve">   = 37.8 / 0.039</w:t>
        <w:br/>
        <w:t xml:space="preserve">   ≈ 969億円</w:t>
        <w:br/>
        <w:br/>
        <w:t>PV(TV) = 969 × 0.5640 ≈ 547億円</w:t>
        <w:br/>
        <w:t>──────────────────────────────────</w:t>
        <w:br/>
        <w:t>事業価値合計（EV） ≈ 780億円</w:t>
        <w:br/>
        <w:t>+ ネットキャッシュ ≈ +100億円（現金130億円 - 有利子負債30億円）</w:t>
        <w:br/>
        <w:t>= 株式価値合計    ≈ 880億円</w:t>
        <w:br/>
        <w:t>──────────────────────────────────</w:t>
        <w:br/>
        <w:t>発行済株式数（推定）: 約2,100万株</w:t>
        <w:br/>
        <w:t>1株当たり理論株価 = 880億円 ÷ 2,100万株 ≈ 4,190円</w:t>
        <w:br/>
        <w:t>→ 基本シナリオ理論株価：約4,100〜4,200円（端数調整）</w:t>
      </w:r>
    </w:p>
    <w:p/>
    <w:p>
      <w:r>
        <w:t>──────────────────────────────────────────────────</w:t>
      </w:r>
    </w:p>
    <w:p/>
    <w:p>
      <w:pPr>
        <w:pStyle w:val="Heading2"/>
      </w:pPr>
      <w:r>
        <w:rPr>
          <w:rFonts w:ascii="Meiryo UI" w:hAnsi="Meiryo UI"/>
          <w:color w:val="2E74B5"/>
        </w:rPr>
        <w:t>6. 理論株価と投資判断</w:t>
      </w:r>
    </w:p>
    <w:p/>
    <w:p>
      <w:pPr>
        <w:pStyle w:val="Heading3"/>
      </w:pPr>
      <w:r>
        <w:rPr>
          <w:rFonts w:ascii="Meiryo UI" w:hAnsi="Meiryo UI"/>
          <w:color w:val="2E74B5"/>
        </w:rPr>
        <w:t>6.1 シナリオ別理論株価</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g</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現在株価比</w:t>
            </w:r>
          </w:p>
        </w:tc>
      </w:tr>
      <w:tr>
        <w:tc>
          <w:tcPr>
            <w:tcW w:type="dxa" w:w="1881"/>
          </w:tcPr>
          <w:p>
            <w:r>
              <w:rPr>
                <w:rFonts w:ascii="Meiryo UI" w:hAnsi="Meiryo UI"/>
                <w:sz w:val="18"/>
              </w:rPr>
              <w:t>強気（Bull）</w:t>
            </w:r>
          </w:p>
        </w:tc>
        <w:tc>
          <w:tcPr>
            <w:tcW w:type="dxa" w:w="1881"/>
          </w:tcPr>
          <w:p>
            <w:r>
              <w:rPr>
                <w:rFonts w:ascii="Meiryo UI" w:hAnsi="Meiryo UI"/>
                <w:sz w:val="18"/>
              </w:rPr>
              <w:t>5.5%</w:t>
            </w:r>
          </w:p>
        </w:tc>
        <w:tc>
          <w:tcPr>
            <w:tcW w:type="dxa" w:w="1881"/>
          </w:tcPr>
          <w:p>
            <w:r>
              <w:rPr>
                <w:rFonts w:ascii="Meiryo UI" w:hAnsi="Meiryo UI"/>
                <w:sz w:val="18"/>
              </w:rPr>
              <w:t>2.5%</w:t>
            </w:r>
          </w:p>
        </w:tc>
        <w:tc>
          <w:tcPr>
            <w:tcW w:type="dxa" w:w="1881"/>
          </w:tcPr>
          <w:p>
            <w:r>
              <w:rPr>
                <w:rFonts w:ascii="Meiryo UI" w:hAnsi="Meiryo UI"/>
                <w:sz w:val="18"/>
              </w:rPr>
              <w:t>5,200円</w:t>
            </w:r>
          </w:p>
        </w:tc>
        <w:tc>
          <w:tcPr>
            <w:tcW w:type="dxa" w:w="1881"/>
          </w:tcPr>
          <w:p>
            <w:r>
              <w:rPr>
                <w:rFonts w:ascii="Meiryo UI" w:hAnsi="Meiryo UI"/>
                <w:sz w:val="18"/>
              </w:rPr>
              <w:t>+63%</w:t>
            </w:r>
          </w:p>
        </w:tc>
      </w:tr>
      <w:tr>
        <w:tc>
          <w:tcPr>
            <w:tcW w:type="dxa" w:w="1881"/>
            <w:shd w:val="clear" w:color="auto" w:fill="DDEBF7"/>
          </w:tcPr>
          <w:p>
            <w:r>
              <w:rPr>
                <w:rFonts w:ascii="Meiryo UI" w:hAnsi="Meiryo UI"/>
                <w:sz w:val="18"/>
              </w:rPr>
              <w:t>基本（Base）</w:t>
            </w:r>
          </w:p>
        </w:tc>
        <w:tc>
          <w:tcPr>
            <w:tcW w:type="dxa" w:w="1881"/>
            <w:shd w:val="clear" w:color="auto" w:fill="DDEBF7"/>
          </w:tcPr>
          <w:p>
            <w:r>
              <w:rPr>
                <w:rFonts w:ascii="Meiryo UI" w:hAnsi="Meiryo UI"/>
                <w:sz w:val="18"/>
              </w:rPr>
              <w:t>5.9%</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4,100円</w:t>
            </w:r>
          </w:p>
        </w:tc>
        <w:tc>
          <w:tcPr>
            <w:tcW w:type="dxa" w:w="1881"/>
            <w:shd w:val="clear" w:color="auto" w:fill="DDEBF7"/>
          </w:tcPr>
          <w:p>
            <w:r>
              <w:rPr>
                <w:rFonts w:ascii="Meiryo UI" w:hAnsi="Meiryo UI"/>
                <w:sz w:val="18"/>
              </w:rPr>
              <w:t>+28%</w:t>
            </w:r>
          </w:p>
        </w:tc>
      </w:tr>
      <w:tr>
        <w:tc>
          <w:tcPr>
            <w:tcW w:type="dxa" w:w="1881"/>
          </w:tcPr>
          <w:p>
            <w:r>
              <w:rPr>
                <w:rFonts w:ascii="Meiryo UI" w:hAnsi="Meiryo UI"/>
                <w:sz w:val="18"/>
              </w:rPr>
              <w:t>弱気（Bear）</w:t>
            </w:r>
          </w:p>
        </w:tc>
        <w:tc>
          <w:tcPr>
            <w:tcW w:type="dxa" w:w="1881"/>
          </w:tcPr>
          <w:p>
            <w:r>
              <w:rPr>
                <w:rFonts w:ascii="Meiryo UI" w:hAnsi="Meiryo UI"/>
                <w:sz w:val="18"/>
              </w:rPr>
              <w:t>6.5%</w:t>
            </w:r>
          </w:p>
        </w:tc>
        <w:tc>
          <w:tcPr>
            <w:tcW w:type="dxa" w:w="1881"/>
          </w:tcPr>
          <w:p>
            <w:r>
              <w:rPr>
                <w:rFonts w:ascii="Meiryo UI" w:hAnsi="Meiryo UI"/>
                <w:sz w:val="18"/>
              </w:rPr>
              <w:t>1.0%</w:t>
            </w:r>
          </w:p>
        </w:tc>
        <w:tc>
          <w:tcPr>
            <w:tcW w:type="dxa" w:w="1881"/>
          </w:tcPr>
          <w:p>
            <w:r>
              <w:rPr>
                <w:rFonts w:ascii="Meiryo UI" w:hAnsi="Meiryo UI"/>
                <w:sz w:val="18"/>
              </w:rPr>
              <w:t>2,600円</w:t>
            </w:r>
          </w:p>
        </w:tc>
        <w:tc>
          <w:tcPr>
            <w:tcW w:type="dxa" w:w="1881"/>
          </w:tcPr>
          <w:p>
            <w:r>
              <w:rPr>
                <w:rFonts w:ascii="Meiryo UI" w:hAnsi="Meiryo UI"/>
                <w:sz w:val="18"/>
              </w:rPr>
              <w:t>△19%</w:t>
            </w:r>
          </w:p>
        </w:tc>
      </w:tr>
    </w:tbl>
    <w:p/>
    <w:p>
      <w:r>
        <w:rPr>
          <w:rFonts w:ascii="Meiryo UI" w:hAnsi="Meiryo UI"/>
          <w:sz w:val="20"/>
        </w:rPr>
        <w:t>理論株価レンジ（総合）：2,600〜5,200円、基本シナリオ：4,100円</w:t>
      </w:r>
    </w:p>
    <w:p/>
    <w:p>
      <w:pPr>
        <w:pStyle w:val="Heading3"/>
      </w:pPr>
      <w:r>
        <w:rPr>
          <w:rFonts w:ascii="Meiryo UI" w:hAnsi="Meiryo UI"/>
          <w:color w:val="2E74B5"/>
        </w:rPr>
        <w:t>6.2 マルチプル法による検証</w:t>
      </w:r>
    </w:p>
    <w:p/>
    <w:p>
      <w:pPr>
        <w:shd w:val="clear" w:color="auto" w:fill="F2F2F2"/>
      </w:pPr>
      <w:r>
        <w:rPr>
          <w:rFonts w:ascii="Courier New" w:hAnsi="Courier New"/>
          <w:sz w:val="16"/>
        </w:rPr>
        <w:t>【PERバリュエーション】</w:t>
        <w:br/>
        <w:t>FY2025予想EPS: 約140〜160円（純利益30〜35億円 ÷ 2,100万株）</w:t>
        <w:br/>
        <w:t>適正PER: 15〜18倍（輸出製造業・ニッチ特化・成長性考慮）</w:t>
        <w:br/>
        <w:t>理論株価: 140×15 〜 160×18 = 2,100〜2,880円（保守的）</w:t>
        <w:br/>
        <w:t xml:space="preserve">         145×18 〜 160×20 = 2,610〜3,200円（中立的）</w:t>
        <w:br/>
        <w:br/>
        <w:t>【EV/EBITDAバリュエーション】</w:t>
        <w:br/>
        <w:t>EBITDA（推定）: 約55〜65億円</w:t>
        <w:br/>
        <w:t>適正倍率: 8〜10倍（類似企業ベース）</w:t>
        <w:br/>
        <w:t>EV: 440〜650億円</w:t>
        <w:br/>
        <w:t>+ネットキャッシュ100億円 → 株式価値: 540〜750億円</w:t>
        <w:br/>
        <w:t>1株当たり: 2,570〜3,570円</w:t>
      </w:r>
    </w:p>
    <w:p/>
    <w:p>
      <w:r>
        <w:rPr>
          <w:rFonts w:ascii="Meiryo UI" w:hAnsi="Meiryo UI"/>
          <w:sz w:val="20"/>
        </w:rPr>
        <w:t>総合判断（DCF＋マルチプル加重平均）：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バリュエーション手法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ウェイト</w:t>
            </w:r>
          </w:p>
        </w:tc>
      </w:tr>
      <w:tr>
        <w:tc>
          <w:tcPr>
            <w:tcW w:type="dxa" w:w="3135"/>
          </w:tcPr>
          <w:p>
            <w:r>
              <w:rPr>
                <w:rFonts w:ascii="Meiryo UI" w:hAnsi="Meiryo UI"/>
                <w:sz w:val="18"/>
              </w:rPr>
              <w:t>DCF（基本）</w:t>
            </w:r>
          </w:p>
        </w:tc>
        <w:tc>
          <w:tcPr>
            <w:tcW w:type="dxa" w:w="3135"/>
          </w:tcPr>
          <w:p>
            <w:r>
              <w:rPr>
                <w:rFonts w:ascii="Meiryo UI" w:hAnsi="Meiryo UI"/>
                <w:sz w:val="18"/>
              </w:rPr>
              <w:t>4,100円</w:t>
            </w:r>
          </w:p>
        </w:tc>
        <w:tc>
          <w:tcPr>
            <w:tcW w:type="dxa" w:w="3135"/>
          </w:tcPr>
          <w:p>
            <w:r>
              <w:rPr>
                <w:rFonts w:ascii="Meiryo UI" w:hAnsi="Meiryo UI"/>
                <w:sz w:val="18"/>
              </w:rPr>
              <w:t>50%</w:t>
            </w:r>
          </w:p>
        </w:tc>
      </w:tr>
      <w:tr>
        <w:tc>
          <w:tcPr>
            <w:tcW w:type="dxa" w:w="3135"/>
            <w:shd w:val="clear" w:color="auto" w:fill="DDEBF7"/>
          </w:tcPr>
          <w:p>
            <w:r>
              <w:rPr>
                <w:rFonts w:ascii="Meiryo UI" w:hAnsi="Meiryo UI"/>
                <w:sz w:val="18"/>
              </w:rPr>
              <w:t>PER法</w:t>
            </w:r>
          </w:p>
        </w:tc>
        <w:tc>
          <w:tcPr>
            <w:tcW w:type="dxa" w:w="3135"/>
            <w:shd w:val="clear" w:color="auto" w:fill="DDEBF7"/>
          </w:tcPr>
          <w:p>
            <w:r>
              <w:rPr>
                <w:rFonts w:ascii="Meiryo UI" w:hAnsi="Meiryo UI"/>
                <w:sz w:val="18"/>
              </w:rPr>
              <w:t>2,900円</w:t>
            </w:r>
          </w:p>
        </w:tc>
        <w:tc>
          <w:tcPr>
            <w:tcW w:type="dxa" w:w="3135"/>
            <w:shd w:val="clear" w:color="auto" w:fill="DDEBF7"/>
          </w:tcPr>
          <w:p>
            <w:r>
              <w:rPr>
                <w:rFonts w:ascii="Meiryo UI" w:hAnsi="Meiryo UI"/>
                <w:sz w:val="18"/>
              </w:rPr>
              <w:t>25%</w:t>
            </w:r>
          </w:p>
        </w:tc>
      </w:tr>
      <w:tr>
        <w:tc>
          <w:tcPr>
            <w:tcW w:type="dxa" w:w="3135"/>
          </w:tcPr>
          <w:p>
            <w:r>
              <w:rPr>
                <w:rFonts w:ascii="Meiryo UI" w:hAnsi="Meiryo UI"/>
                <w:sz w:val="18"/>
              </w:rPr>
              <w:t>EV/EBITDA法</w:t>
            </w:r>
          </w:p>
        </w:tc>
        <w:tc>
          <w:tcPr>
            <w:tcW w:type="dxa" w:w="3135"/>
          </w:tcPr>
          <w:p>
            <w:r>
              <w:rPr>
                <w:rFonts w:ascii="Meiryo UI" w:hAnsi="Meiryo UI"/>
                <w:sz w:val="18"/>
              </w:rPr>
              <w:t>3,000円</w:t>
            </w:r>
          </w:p>
        </w:tc>
        <w:tc>
          <w:tcPr>
            <w:tcW w:type="dxa" w:w="3135"/>
          </w:tcPr>
          <w:p>
            <w:r>
              <w:rPr>
                <w:rFonts w:ascii="Meiryo UI" w:hAnsi="Meiryo UI"/>
                <w:sz w:val="18"/>
              </w:rPr>
              <w:t>25%</w:t>
            </w:r>
          </w:p>
        </w:tc>
      </w:tr>
      <w:tr>
        <w:tc>
          <w:tcPr>
            <w:tcW w:type="dxa" w:w="3135"/>
            <w:shd w:val="clear" w:color="auto" w:fill="DDEBF7"/>
          </w:tcPr>
          <w:p>
            <w:r>
              <w:rPr>
                <w:rFonts w:ascii="Meiryo UI" w:hAnsi="Meiryo UI"/>
                <w:sz w:val="18"/>
              </w:rPr>
              <w:t>加重平均理論株価</w:t>
            </w:r>
          </w:p>
        </w:tc>
        <w:tc>
          <w:tcPr>
            <w:tcW w:type="dxa" w:w="3135"/>
            <w:shd w:val="clear" w:color="auto" w:fill="DDEBF7"/>
          </w:tcPr>
          <w:p>
            <w:r>
              <w:rPr>
                <w:rFonts w:ascii="Meiryo UI" w:hAnsi="Meiryo UI"/>
                <w:sz w:val="18"/>
              </w:rPr>
              <w:t>3,500〜3,900円</w:t>
            </w:r>
          </w:p>
        </w:tc>
        <w:tc>
          <w:tcPr>
            <w:tcW w:type="dxa" w:w="3135"/>
            <w:shd w:val="clear" w:color="auto" w:fill="DDEBF7"/>
          </w:tcPr>
          <w:p>
            <w:r>
              <w:rPr>
                <w:rFonts w:ascii="Meiryo UI" w:hAnsi="Meiryo UI"/>
                <w:sz w:val="18"/>
              </w:rPr>
              <w:t>100%</w:t>
            </w:r>
          </w:p>
        </w:tc>
      </w:tr>
    </w:tbl>
    <w:p/>
    <w:p>
      <w:pPr>
        <w:pStyle w:val="Heading3"/>
      </w:pPr>
      <w:r>
        <w:rPr>
          <w:rFonts w:ascii="Meiryo UI" w:hAnsi="Meiryo UI"/>
          <w:color w:val="2E74B5"/>
        </w:rPr>
        <w:t>6.3 投資判断</w:t>
      </w:r>
    </w:p>
    <w:p/>
    <w:p>
      <w:pPr>
        <w:shd w:val="clear" w:color="auto" w:fill="F2F2F2"/>
      </w:pPr>
      <w:r>
        <w:rPr>
          <w:rFonts w:ascii="Courier New" w:hAnsi="Courier New"/>
          <w:sz w:val="16"/>
        </w:rPr>
        <w:t>┌─────────────────────────────────────────┐</w:t>
        <w:br/>
        <w:t>│                                         │</w:t>
        <w:br/>
        <w:t>│  レーティング：★★★★☆  BUY（買い）       │</w:t>
        <w:br/>
        <w:t>│                                         │</w:t>
        <w:br/>
        <w:t>│  目標株価（12ヶ月）：4,100円             │</w:t>
        <w:br/>
        <w:t>│  理論株価レンジ  ：3,500〜4,400円        │</w:t>
        <w:br/>
        <w:t>│  現在株価（推定）：約3,200円             │</w:t>
        <w:br/>
        <w:t>│  アップサイド   ：+約28%（DCF基本）      │</w:t>
        <w:br/>
        <w:t>│  下値目処（弱気）：2,600円               │</w:t>
        <w:br/>
        <w:t>│                                         │</w:t>
        <w:br/>
        <w:t>└─────────────────────────────────────────┘</w:t>
      </w:r>
    </w:p>
    <w:p/>
    <w:p>
      <w:r>
        <w:rPr>
          <w:rFonts w:ascii="Meiryo UI" w:hAnsi="Meiryo UI"/>
          <w:sz w:val="20"/>
        </w:rPr>
        <w:t>判断根拠：</w:t>
      </w:r>
    </w:p>
    <w:p>
      <w:pPr>
        <w:pStyle w:val="ListNumber"/>
      </w:pPr>
      <w:r>
        <w:rPr>
          <w:rFonts w:ascii="Meiryo UI" w:hAnsi="Meiryo UI"/>
          <w:sz w:val="20"/>
        </w:rPr>
        <w:t>DCF基本シナリオで+28%のアップサイド</w:t>
      </w:r>
    </w:p>
    <w:p>
      <w:pPr>
        <w:pStyle w:val="ListNumber"/>
      </w:pPr>
      <w:r>
        <w:rPr>
          <w:rFonts w:ascii="Meiryo UI" w:hAnsi="Meiryo UI"/>
          <w:sz w:val="20"/>
        </w:rPr>
        <w:t>PBR0.9〜1.1倍という解散価値近傍の下値限定的局面</w:t>
      </w:r>
    </w:p>
    <w:p>
      <w:pPr>
        <w:pStyle w:val="ListNumber"/>
      </w:pPr>
      <w:r>
        <w:rPr>
          <w:rFonts w:ascii="Meiryo UI" w:hAnsi="Meiryo UI"/>
          <w:sz w:val="20"/>
        </w:rPr>
        <w:t>増配による実質利回り改善と株主還元意欲の確認</w:t>
      </w:r>
    </w:p>
    <w:p>
      <w:pPr>
        <w:pStyle w:val="ListNumber"/>
      </w:pPr>
      <w:r>
        <w:rPr>
          <w:rFonts w:ascii="Meiryo UI" w:hAnsi="Meiryo UI"/>
          <w:sz w:val="20"/>
        </w:rPr>
        <w:t>大人用おむつ市場の構造的成長という長期テーマ</w:t>
      </w:r>
    </w:p>
    <w:p>
      <w:pPr>
        <w:pStyle w:val="ListNumber"/>
      </w:pPr>
      <w:r>
        <w:rPr>
          <w:rFonts w:ascii="Meiryo UI" w:hAnsi="Meiryo UI"/>
          <w:sz w:val="20"/>
        </w:rPr>
        <w:t>実質無借金・現金リッチなBSによる財務安全性</w:t>
      </w:r>
    </w:p>
    <w:p/>
    <w:p>
      <w:r>
        <w:t>──────────────────────────────────────────────────</w:t>
      </w:r>
    </w:p>
    <w:p/>
    <w:p>
      <w:pPr>
        <w:pStyle w:val="Heading2"/>
      </w:pPr>
      <w:r>
        <w:rPr>
          <w:rFonts w:ascii="Meiryo UI" w:hAnsi="Meiryo UI"/>
          <w:color w:val="2E74B5"/>
        </w:rPr>
        <w:t>7. メインシナリオ vs リスクシナリオ（3ケース）</w:t>
      </w:r>
    </w:p>
    <w:p/>
    <w:p>
      <w:pPr>
        <w:pStyle w:val="Heading3"/>
      </w:pPr>
      <w:r>
        <w:rPr>
          <w:rFonts w:ascii="Meiryo UI" w:hAnsi="Meiryo UI"/>
          <w:color w:val="2E74B5"/>
        </w:rPr>
        <w:t>7.1 強気シナリオ（Bull Case：確率25%）</w:t>
      </w:r>
    </w:p>
    <w:p/>
    <w:p>
      <w:r>
        <w:rPr>
          <w:rFonts w:ascii="Meiryo UI" w:hAnsi="Meiryo UI"/>
          <w:sz w:val="20"/>
        </w:rPr>
        <w:t>前提条件：</w:t>
      </w:r>
    </w:p>
    <w:p>
      <w:pPr>
        <w:pStyle w:val="ListBullet"/>
      </w:pPr>
      <w:r>
        <w:rPr>
          <w:rFonts w:ascii="Meiryo UI" w:hAnsi="Meiryo UI"/>
          <w:sz w:val="20"/>
        </w:rPr>
        <w:t>中国市場の受注回復＋インド市場が本格立ち上がり</w:t>
      </w:r>
    </w:p>
    <w:p>
      <w:pPr>
        <w:pStyle w:val="ListBullet"/>
      </w:pPr>
      <w:r>
        <w:rPr>
          <w:rFonts w:ascii="Meiryo UI" w:hAnsi="Meiryo UI"/>
          <w:sz w:val="20"/>
        </w:rPr>
        <w:t>大人用おむつ機の高付加価値製品が拡大し、営業利益率12%超達成</w:t>
      </w:r>
    </w:p>
    <w:p>
      <w:pPr>
        <w:pStyle w:val="ListBullet"/>
      </w:pPr>
      <w:r>
        <w:rPr>
          <w:rFonts w:ascii="Meiryo UI" w:hAnsi="Meiryo UI"/>
          <w:sz w:val="20"/>
        </w:rPr>
        <w:t>円安傾向継続（1ドル=145〜155円）</w:t>
      </w:r>
    </w:p>
    <w:p>
      <w:pPr>
        <w:pStyle w:val="ListBullet"/>
      </w:pPr>
      <w:r>
        <w:rPr>
          <w:rFonts w:ascii="Meiryo UI" w:hAnsi="Meiryo UI"/>
          <w:sz w:val="20"/>
        </w:rPr>
        <w:t>さらなる増配・自社株買いの実施</w:t>
      </w:r>
    </w:p>
    <w:p/>
    <w:p>
      <w:r>
        <w:rPr>
          <w:rFonts w:ascii="Meiryo UI" w:hAnsi="Meiryo UI"/>
          <w:sz w:val="20"/>
        </w:rPr>
        <w:t>業績イメージ：</w:t>
      </w:r>
    </w:p>
    <w:p>
      <w:pPr>
        <w:pStyle w:val="ListBullet"/>
      </w:pPr>
      <w:r>
        <w:rPr>
          <w:rFonts w:ascii="Meiryo UI" w:hAnsi="Meiryo UI"/>
          <w:sz w:val="20"/>
        </w:rPr>
        <w:t>売上高：500億円超</w:t>
      </w:r>
    </w:p>
    <w:p>
      <w:pPr>
        <w:pStyle w:val="ListBullet"/>
      </w:pPr>
      <w:r>
        <w:rPr>
          <w:rFonts w:ascii="Meiryo UI" w:hAnsi="Meiryo UI"/>
          <w:sz w:val="20"/>
        </w:rPr>
        <w:t>営業利益率：12%</w:t>
      </w:r>
    </w:p>
    <w:p>
      <w:pPr>
        <w:pStyle w:val="ListBullet"/>
      </w:pPr>
      <w:r>
        <w:rPr>
          <w:rFonts w:ascii="Meiryo UI" w:hAnsi="Meiryo UI"/>
          <w:sz w:val="20"/>
        </w:rPr>
        <w:t>FCF：40億円超</w:t>
      </w:r>
    </w:p>
    <w:p/>
    <w:p>
      <w:r>
        <w:rPr>
          <w:rFonts w:ascii="Meiryo UI" w:hAnsi="Meiryo UI"/>
          <w:sz w:val="20"/>
        </w:rPr>
        <w:t>目標株価：5,200円（現在比+63%）</w:t>
      </w:r>
    </w:p>
    <w:p/>
    <w:p>
      <w:r>
        <w:rPr>
          <w:rFonts w:ascii="Meiryo UI" w:hAnsi="Meiryo UI"/>
          <w:sz w:val="20"/>
        </w:rPr>
        <w:t>株価カタリスト：</w:t>
      </w:r>
    </w:p>
    <w:p>
      <w:pPr>
        <w:pStyle w:val="ListBullet"/>
      </w:pPr>
      <w:r>
        <w:rPr>
          <w:rFonts w:ascii="Meiryo UI" w:hAnsi="Meiryo UI"/>
          <w:sz w:val="20"/>
        </w:rPr>
        <w:t>インド大型受注の公表</w:t>
      </w:r>
    </w:p>
    <w:p>
      <w:pPr>
        <w:pStyle w:val="ListBullet"/>
      </w:pPr>
      <w:r>
        <w:rPr>
          <w:rFonts w:ascii="Meiryo UI" w:hAnsi="Meiryo UI"/>
          <w:sz w:val="20"/>
        </w:rPr>
        <w:t>自社株買いプログラムの発表</w:t>
      </w:r>
    </w:p>
    <w:p>
      <w:pPr>
        <w:pStyle w:val="ListBullet"/>
      </w:pPr>
      <w:r>
        <w:rPr>
          <w:rFonts w:ascii="Meiryo UI" w:hAnsi="Meiryo UI"/>
          <w:sz w:val="20"/>
        </w:rPr>
        <w:t>連続増配の確認</w:t>
      </w:r>
    </w:p>
    <w:p/>
    <w:p>
      <w:r>
        <w:t>──────────────────────────────────────────────────</w:t>
      </w:r>
    </w:p>
    <w:p/>
    <w:p>
      <w:pPr>
        <w:pStyle w:val="Heading3"/>
      </w:pPr>
      <w:r>
        <w:rPr>
          <w:rFonts w:ascii="Meiryo UI" w:hAnsi="Meiryo UI"/>
          <w:color w:val="2E74B5"/>
        </w:rPr>
        <w:t>7.2 基本シナリオ（Base Case：確率50%）</w:t>
      </w:r>
    </w:p>
    <w:p/>
    <w:p>
      <w:r>
        <w:rPr>
          <w:rFonts w:ascii="Meiryo UI" w:hAnsi="Meiryo UI"/>
          <w:sz w:val="20"/>
        </w:rPr>
        <w:t>前提条件：</w:t>
      </w:r>
    </w:p>
    <w:p>
      <w:pPr>
        <w:pStyle w:val="ListBullet"/>
      </w:pPr>
      <w:r>
        <w:rPr>
          <w:rFonts w:ascii="Meiryo UI" w:hAnsi="Meiryo UI"/>
          <w:sz w:val="20"/>
        </w:rPr>
        <w:t>中国市場は現状維持〜緩やかな成長</w:t>
      </w:r>
    </w:p>
    <w:p>
      <w:pPr>
        <w:pStyle w:val="ListBullet"/>
      </w:pPr>
      <w:r>
        <w:rPr>
          <w:rFonts w:ascii="Meiryo UI" w:hAnsi="Meiryo UI"/>
          <w:sz w:val="20"/>
        </w:rPr>
        <w:t>東南アジア・インドが中期的に寄与</w:t>
      </w:r>
    </w:p>
    <w:p>
      <w:pPr>
        <w:pStyle w:val="ListBullet"/>
      </w:pPr>
      <w:r>
        <w:rPr>
          <w:rFonts w:ascii="Meiryo UI" w:hAnsi="Meiryo UI"/>
          <w:sz w:val="20"/>
        </w:rPr>
        <w:t>為替は1ドル=135〜150円の安定推移</w:t>
      </w:r>
    </w:p>
    <w:p>
      <w:pPr>
        <w:pStyle w:val="ListBullet"/>
      </w:pPr>
      <w:r>
        <w:rPr>
          <w:rFonts w:ascii="Meiryo UI" w:hAnsi="Meiryo UI"/>
          <w:sz w:val="20"/>
        </w:rPr>
        <w:t>増配は継続（配当性向25〜30%へ緩やかに引き上げ）</w:t>
      </w:r>
    </w:p>
    <w:p/>
    <w:p>
      <w:r>
        <w:rPr>
          <w:rFonts w:ascii="Meiryo UI" w:hAnsi="Meiryo UI"/>
          <w:sz w:val="20"/>
        </w:rPr>
        <w:t>業績イメージ：</w:t>
      </w:r>
    </w:p>
    <w:p>
      <w:pPr>
        <w:pStyle w:val="ListBullet"/>
      </w:pPr>
      <w:r>
        <w:rPr>
          <w:rFonts w:ascii="Meiryo UI" w:hAnsi="Meiryo UI"/>
          <w:sz w:val="20"/>
        </w:rPr>
        <w:t>売上高：450〜470億円</w:t>
      </w:r>
    </w:p>
    <w:p>
      <w:pPr>
        <w:pStyle w:val="ListBullet"/>
      </w:pPr>
      <w:r>
        <w:rPr>
          <w:rFonts w:ascii="Meiryo UI" w:hAnsi="Meiryo UI"/>
          <w:sz w:val="20"/>
        </w:rPr>
        <w:t>営業利益率：9.5〜10.5%</w:t>
      </w:r>
    </w:p>
    <w:p>
      <w:pPr>
        <w:pStyle w:val="ListBullet"/>
      </w:pPr>
      <w:r>
        <w:rPr>
          <w:rFonts w:ascii="Meiryo UI" w:hAnsi="Meiryo UI"/>
          <w:sz w:val="20"/>
        </w:rPr>
        <w:t>FCF：25〜30億円</w:t>
      </w:r>
    </w:p>
    <w:p/>
    <w:p>
      <w:r>
        <w:rPr>
          <w:rFonts w:ascii="Meiryo UI" w:hAnsi="Meiryo UI"/>
          <w:sz w:val="20"/>
        </w:rPr>
        <w:t>目標株価：4,100円（現在比+28%）</w:t>
      </w:r>
    </w:p>
    <w:p/>
    <w:p>
      <w:r>
        <w:rPr>
          <w:rFonts w:ascii="Meiryo UI" w:hAnsi="Meiryo UI"/>
          <w:sz w:val="20"/>
        </w:rPr>
        <w:t>到達時間軸：12〜18ヶ月</w:t>
      </w:r>
    </w:p>
    <w:p/>
    <w:p>
      <w:r>
        <w:t>──────────────────────────────────────────────────</w:t>
      </w:r>
    </w:p>
    <w:p/>
    <w:p>
      <w:pPr>
        <w:pStyle w:val="Heading3"/>
      </w:pPr>
      <w:r>
        <w:rPr>
          <w:rFonts w:ascii="Meiryo UI" w:hAnsi="Meiryo UI"/>
          <w:color w:val="2E74B5"/>
        </w:rPr>
        <w:t>7.3 弱気シナリオ（Bear Case：確率25%）</w:t>
      </w:r>
    </w:p>
    <w:p/>
    <w:p>
      <w:r>
        <w:rPr>
          <w:rFonts w:ascii="Meiryo UI" w:hAnsi="Meiryo UI"/>
          <w:sz w:val="20"/>
        </w:rPr>
        <w:t>前提条件：</w:t>
      </w:r>
    </w:p>
    <w:p>
      <w:pPr>
        <w:pStyle w:val="ListBullet"/>
      </w:pPr>
      <w:r>
        <w:rPr>
          <w:rFonts w:ascii="Meiryo UI" w:hAnsi="Meiryo UI"/>
          <w:sz w:val="20"/>
        </w:rPr>
        <w:t>中国経済の大幅鈍化または地政学的リスクによる受注急減</w:t>
      </w:r>
    </w:p>
    <w:p>
      <w:pPr>
        <w:pStyle w:val="ListBullet"/>
      </w:pPr>
      <w:r>
        <w:rPr>
          <w:rFonts w:ascii="Meiryo UI" w:hAnsi="Meiryo UI"/>
          <w:sz w:val="20"/>
        </w:rPr>
        <w:t>円高進行（1ドル=110〜120円）で採算悪化</w:t>
      </w:r>
    </w:p>
    <w:p>
      <w:pPr>
        <w:pStyle w:val="ListBullet"/>
      </w:pPr>
      <w:r>
        <w:rPr>
          <w:rFonts w:ascii="Meiryo UI" w:hAnsi="Meiryo UI"/>
          <w:sz w:val="20"/>
        </w:rPr>
        <w:t>中国ローカル企業の技術追い上げにより価格競争激化</w:t>
      </w:r>
    </w:p>
    <w:p>
      <w:pPr>
        <w:pStyle w:val="ListBullet"/>
      </w:pPr>
      <w:r>
        <w:rPr>
          <w:rFonts w:ascii="Meiryo UI" w:hAnsi="Meiryo UI"/>
          <w:sz w:val="20"/>
        </w:rPr>
        <w:t>原材料費・人件費の上昇でマージン圧迫</w:t>
      </w:r>
    </w:p>
    <w:p/>
    <w:p>
      <w:r>
        <w:rPr>
          <w:rFonts w:ascii="Meiryo UI" w:hAnsi="Meiryo UI"/>
          <w:sz w:val="20"/>
        </w:rPr>
        <w:t>業績イメージ：</w:t>
      </w:r>
    </w:p>
    <w:p>
      <w:pPr>
        <w:pStyle w:val="ListBullet"/>
      </w:pPr>
      <w:r>
        <w:rPr>
          <w:rFonts w:ascii="Meiryo UI" w:hAnsi="Meiryo UI"/>
          <w:sz w:val="20"/>
        </w:rPr>
        <w:t>売上高：370〜390億円（前年割れ）</w:t>
      </w:r>
    </w:p>
    <w:p>
      <w:pPr>
        <w:pStyle w:val="ListBullet"/>
      </w:pPr>
      <w:r>
        <w:rPr>
          <w:rFonts w:ascii="Meiryo UI" w:hAnsi="Meiryo UI"/>
          <w:sz w:val="20"/>
        </w:rPr>
        <w:t>営業利益率：6〜7%</w:t>
      </w:r>
    </w:p>
    <w:p>
      <w:pPr>
        <w:pStyle w:val="ListBullet"/>
      </w:pPr>
      <w:r>
        <w:rPr>
          <w:rFonts w:ascii="Meiryo UI" w:hAnsi="Meiryo UI"/>
          <w:sz w:val="20"/>
        </w:rPr>
        <w:t>FCF：10〜15億円</w:t>
      </w:r>
    </w:p>
    <w:p/>
    <w:p>
      <w:r>
        <w:rPr>
          <w:rFonts w:ascii="Meiryo UI" w:hAnsi="Meiryo UI"/>
          <w:sz w:val="20"/>
        </w:rPr>
        <w:t>目標株価（下値目処）：2,600円（現在比△19%）</w:t>
      </w:r>
    </w:p>
    <w:p/>
    <w:p>
      <w:r>
        <w:rPr>
          <w:rFonts w:ascii="Meiryo UI" w:hAnsi="Meiryo UI"/>
          <w:sz w:val="20"/>
        </w:rPr>
        <w:t>リスク顕在化のシグナル：</w:t>
      </w:r>
    </w:p>
    <w:p>
      <w:pPr>
        <w:pStyle w:val="ListBullet"/>
      </w:pPr>
      <w:r>
        <w:rPr>
          <w:rFonts w:ascii="Meiryo UI" w:hAnsi="Meiryo UI"/>
          <w:sz w:val="20"/>
        </w:rPr>
        <w:t>中国向け受注残の大幅減少（IR開示）</w:t>
      </w:r>
    </w:p>
    <w:p>
      <w:pPr>
        <w:pStyle w:val="ListBullet"/>
      </w:pPr>
      <w:r>
        <w:rPr>
          <w:rFonts w:ascii="Meiryo UI" w:hAnsi="Meiryo UI"/>
          <w:sz w:val="20"/>
        </w:rPr>
        <w:t>為替が急速に円高方向へシフト</w:t>
      </w:r>
    </w:p>
    <w:p>
      <w:pPr>
        <w:pStyle w:val="ListBullet"/>
      </w:pPr>
      <w:r>
        <w:rPr>
          <w:rFonts w:ascii="Meiryo UI" w:hAnsi="Meiryo UI"/>
          <w:sz w:val="20"/>
        </w:rPr>
        <w:t>営業利益率が前年比2%pt以上悪化</w:t>
      </w:r>
    </w:p>
    <w:p/>
    <w:p>
      <w:r>
        <w:t>──────────────────────────────────────────────────</w:t>
      </w:r>
    </w:p>
    <w:p/>
    <w:p>
      <w:pPr>
        <w:pStyle w:val="Heading3"/>
      </w:pPr>
      <w:r>
        <w:rPr>
          <w:rFonts w:ascii="Meiryo UI" w:hAnsi="Meiryo UI"/>
          <w:color w:val="2E74B5"/>
        </w:rPr>
        <w:t>7.4 シナリオサマリー</w:t>
      </w:r>
    </w:p>
    <w:p/>
    <w:p>
      <w:pPr>
        <w:shd w:val="clear" w:color="auto" w:fill="F2F2F2"/>
      </w:pPr>
      <w:r>
        <w:rPr>
          <w:rFonts w:ascii="Courier New" w:hAnsi="Courier New"/>
          <w:sz w:val="16"/>
        </w:rPr>
        <w:t>株価水準イメージ</w:t>
        <w:br/>
        <w:t xml:space="preserve">  </w:t>
        <w:br/>
        <w:t>5,200円 ─────────────────────── Bull（+63%）</w:t>
        <w:br/>
        <w:t>4,400円 ────────────────── Bull下限</w:t>
        <w:br/>
        <w:t>4,100円 ───────────────── Base目標（+28%）</w:t>
        <w:br/>
        <w:t>3,500円 ──────────────　Base下限</w:t>
        <w:br/>
        <w:t>3,200円 ━━━━━━━━━━━━━━ 現在株価（推定）</w:t>
        <w:br/>
        <w:t>2,800円 ─────────── 損切りライン（推奨）</w:t>
        <w:br/>
        <w:t>2,600円 ─────────  Bear下値目処（△19%）</w:t>
      </w:r>
    </w:p>
    <w:p/>
    <w:p>
      <w:r>
        <w:t>──────────────────────────────────────────────────</w:t>
      </w:r>
    </w:p>
    <w:p/>
    <w:p>
      <w:pPr>
        <w:pStyle w:val="Heading2"/>
      </w:pPr>
      <w:r>
        <w:rPr>
          <w:rFonts w:ascii="Meiryo UI" w:hAnsi="Meiryo UI"/>
          <w:color w:val="2E74B5"/>
        </w:rPr>
        <w:t>8. 浅井速報との統合評価</w:t>
      </w:r>
    </w:p>
    <w:p/>
    <w:p>
      <w:pPr>
        <w:pStyle w:val="Heading3"/>
      </w:pPr>
      <w:r>
        <w:rPr>
          <w:rFonts w:ascii="Meiryo UI" w:hAnsi="Meiryo UI"/>
          <w:color w:val="2E74B5"/>
        </w:rPr>
        <w:t>8.1 浅井速報サマリー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スコア</w:t>
            </w:r>
          </w:p>
        </w:tc>
        <w:tc>
          <w:tcPr>
            <w:tcW w:type="dxa" w:w="4703"/>
          </w:tcPr>
          <w:p>
            <w:r>
              <w:rPr>
                <w:rFonts w:ascii="Meiryo UI" w:hAnsi="Meiryo UI"/>
                <w:sz w:val="18"/>
              </w:rPr>
              <w:t>+55（BUY）</w:t>
            </w:r>
          </w:p>
        </w:tc>
      </w:tr>
      <w:tr>
        <w:tc>
          <w:tcPr>
            <w:tcW w:type="dxa" w:w="4703"/>
            <w:shd w:val="clear" w:color="auto" w:fill="DDEBF7"/>
          </w:tcPr>
          <w:p>
            <w:r>
              <w:rPr>
                <w:rFonts w:ascii="Meiryo UI" w:hAnsi="Meiryo UI"/>
                <w:sz w:val="18"/>
              </w:rPr>
              <w:t>主論点</w:t>
            </w:r>
          </w:p>
        </w:tc>
        <w:tc>
          <w:tcPr>
            <w:tcW w:type="dxa" w:w="4703"/>
            <w:shd w:val="clear" w:color="auto" w:fill="DDEBF7"/>
          </w:tcPr>
          <w:p>
            <w:r>
              <w:rPr>
                <w:rFonts w:ascii="Meiryo UI" w:hAnsi="Meiryo UI"/>
                <w:sz w:val="18"/>
              </w:rPr>
              <w:t>配当発表は株主還元継続の確認。増配幅次第でポジティブ評価が高まる</w:t>
            </w:r>
          </w:p>
        </w:tc>
      </w:tr>
      <w:tr>
        <w:tc>
          <w:tcPr>
            <w:tcW w:type="dxa" w:w="4703"/>
          </w:tcPr>
          <w:p>
            <w:r>
              <w:rPr>
                <w:rFonts w:ascii="Meiryo UI" w:hAnsi="Meiryo UI"/>
                <w:sz w:val="18"/>
              </w:rPr>
              <w:t>センチメント</w:t>
            </w:r>
          </w:p>
        </w:tc>
        <w:tc>
          <w:tcPr>
            <w:tcW w:type="dxa" w:w="4703"/>
          </w:tcPr>
          <w:p>
            <w:r>
              <w:rPr>
                <w:rFonts w:ascii="Meiryo UI" w:hAnsi="Meiryo UI"/>
                <w:sz w:val="18"/>
              </w:rPr>
              <w:t>やや強気〜強気</w:t>
            </w:r>
          </w:p>
        </w:tc>
      </w:tr>
    </w:tbl>
    <w:p/>
    <w:p>
      <w:pPr>
        <w:pStyle w:val="Heading3"/>
      </w:pPr>
      <w:r>
        <w:rPr>
          <w:rFonts w:ascii="Meiryo UI" w:hAnsi="Meiryo UI"/>
          <w:color w:val="2E74B5"/>
        </w:rPr>
        <w:t>8.2 深井評価との比較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ギャップ評価</w:t>
            </w:r>
          </w:p>
        </w:tc>
      </w:tr>
      <w:tr>
        <w:tc>
          <w:tcPr>
            <w:tcW w:type="dxa" w:w="2351"/>
          </w:tcPr>
          <w:p>
            <w:r>
              <w:rPr>
                <w:rFonts w:ascii="Meiryo UI" w:hAnsi="Meiryo UI"/>
                <w:sz w:val="18"/>
              </w:rPr>
              <w:t>方向性</w:t>
            </w:r>
          </w:p>
        </w:tc>
        <w:tc>
          <w:tcPr>
            <w:tcW w:type="dxa" w:w="2351"/>
          </w:tcPr>
          <w:p>
            <w:r>
              <w:rPr>
                <w:rFonts w:ascii="Meiryo UI" w:hAnsi="Meiryo UI"/>
                <w:sz w:val="18"/>
              </w:rPr>
              <w:t>BUY</w:t>
            </w:r>
          </w:p>
        </w:tc>
        <w:tc>
          <w:tcPr>
            <w:tcW w:type="dxa" w:w="2351"/>
          </w:tcPr>
          <w:p>
            <w:r>
              <w:rPr>
                <w:rFonts w:ascii="Meiryo UI" w:hAnsi="Meiryo UI"/>
                <w:sz w:val="18"/>
              </w:rPr>
              <w:t>BUY</w:t>
            </w:r>
          </w:p>
        </w:tc>
        <w:tc>
          <w:tcPr>
            <w:tcW w:type="dxa" w:w="2351"/>
          </w:tcPr>
          <w:p>
            <w:r>
              <w:rPr>
                <w:rFonts w:ascii="Meiryo UI" w:hAnsi="Meiryo UI"/>
                <w:sz w:val="18"/>
              </w:rPr>
              <w:t>一致 ✅</w:t>
            </w:r>
          </w:p>
        </w:tc>
      </w:tr>
      <w:tr>
        <w:tc>
          <w:tcPr>
            <w:tcW w:type="dxa" w:w="2351"/>
            <w:shd w:val="clear" w:color="auto" w:fill="DDEBF7"/>
          </w:tcPr>
          <w:p>
            <w:r>
              <w:rPr>
                <w:rFonts w:ascii="Meiryo UI" w:hAnsi="Meiryo UI"/>
                <w:sz w:val="18"/>
              </w:rPr>
              <w:t>根拠</w:t>
            </w:r>
          </w:p>
        </w:tc>
        <w:tc>
          <w:tcPr>
            <w:tcW w:type="dxa" w:w="2351"/>
            <w:shd w:val="clear" w:color="auto" w:fill="DDEBF7"/>
          </w:tcPr>
          <w:p>
            <w:r>
              <w:rPr>
                <w:rFonts w:ascii="Meiryo UI" w:hAnsi="Meiryo UI"/>
                <w:sz w:val="18"/>
              </w:rPr>
              <w:t>センチメント・配当イベント</w:t>
            </w:r>
          </w:p>
        </w:tc>
        <w:tc>
          <w:tcPr>
            <w:tcW w:type="dxa" w:w="2351"/>
            <w:shd w:val="clear" w:color="auto" w:fill="DDEBF7"/>
          </w:tcPr>
          <w:p>
            <w:r>
              <w:rPr>
                <w:rFonts w:ascii="Meiryo UI" w:hAnsi="Meiryo UI"/>
                <w:sz w:val="18"/>
              </w:rPr>
              <w:t>本源的価値（DCF）</w:t>
            </w:r>
          </w:p>
        </w:tc>
        <w:tc>
          <w:tcPr>
            <w:tcW w:type="dxa" w:w="2351"/>
            <w:shd w:val="clear" w:color="auto" w:fill="DDEBF7"/>
          </w:tcPr>
          <w:p>
            <w:r>
              <w:rPr>
                <w:rFonts w:ascii="Meiryo UI" w:hAnsi="Meiryo UI"/>
                <w:sz w:val="18"/>
              </w:rPr>
              <w:t>相互補完</w:t>
            </w:r>
          </w:p>
        </w:tc>
      </w:tr>
      <w:tr>
        <w:tc>
          <w:tcPr>
            <w:tcW w:type="dxa" w:w="2351"/>
          </w:tcPr>
          <w:p>
            <w:r>
              <w:rPr>
                <w:rFonts w:ascii="Meiryo UI" w:hAnsi="Meiryo UI"/>
                <w:sz w:val="18"/>
              </w:rPr>
              <w:t>時間軸</w:t>
            </w:r>
          </w:p>
        </w:tc>
        <w:tc>
          <w:tcPr>
            <w:tcW w:type="dxa" w:w="2351"/>
          </w:tcPr>
          <w:p>
            <w:r>
              <w:rPr>
                <w:rFonts w:ascii="Meiryo UI" w:hAnsi="Meiryo UI"/>
                <w:sz w:val="18"/>
              </w:rPr>
              <w:t>短期〜中期</w:t>
            </w:r>
          </w:p>
        </w:tc>
        <w:tc>
          <w:tcPr>
            <w:tcW w:type="dxa" w:w="2351"/>
          </w:tcPr>
          <w:p>
            <w:r>
              <w:rPr>
                <w:rFonts w:ascii="Meiryo UI" w:hAnsi="Meiryo UI"/>
                <w:sz w:val="18"/>
              </w:rPr>
              <w:t>中期（12〜18M）</w:t>
            </w:r>
          </w:p>
        </w:tc>
        <w:tc>
          <w:tcPr>
            <w:tcW w:type="dxa" w:w="2351"/>
          </w:tcPr>
          <w:p>
            <w:r>
              <w:rPr>
                <w:rFonts w:ascii="Meiryo UI" w:hAnsi="Meiryo UI"/>
                <w:sz w:val="18"/>
              </w:rPr>
              <w:t>ほぼ一致</w:t>
            </w:r>
          </w:p>
        </w:tc>
      </w:tr>
      <w:tr>
        <w:tc>
          <w:tcPr>
            <w:tcW w:type="dxa" w:w="2351"/>
            <w:shd w:val="clear" w:color="auto" w:fill="DDEBF7"/>
          </w:tcPr>
          <w:p>
            <w:r>
              <w:rPr>
                <w:rFonts w:ascii="Meiryo UI" w:hAnsi="Meiryo UI"/>
                <w:sz w:val="18"/>
              </w:rPr>
              <w:t>上値目線</w:t>
            </w:r>
          </w:p>
        </w:tc>
        <w:tc>
          <w:tcPr>
            <w:tcW w:type="dxa" w:w="2351"/>
            <w:shd w:val="clear" w:color="auto" w:fill="DDEBF7"/>
          </w:tcPr>
          <w:p>
            <w:r>
              <w:rPr>
                <w:rFonts w:ascii="Meiryo UI" w:hAnsi="Meiryo UI"/>
                <w:sz w:val="18"/>
              </w:rPr>
              <w:t>増配幅依存</w:t>
            </w:r>
          </w:p>
        </w:tc>
        <w:tc>
          <w:tcPr>
            <w:tcW w:type="dxa" w:w="2351"/>
            <w:shd w:val="clear" w:color="auto" w:fill="DDEBF7"/>
          </w:tcPr>
          <w:p>
            <w:r>
              <w:rPr>
                <w:rFonts w:ascii="Meiryo UI" w:hAnsi="Meiryo UI"/>
                <w:sz w:val="18"/>
              </w:rPr>
              <w:t>4,100円（+28%）</w:t>
            </w:r>
          </w:p>
        </w:tc>
        <w:tc>
          <w:tcPr>
            <w:tcW w:type="dxa" w:w="2351"/>
            <w:shd w:val="clear" w:color="auto" w:fill="DDEBF7"/>
          </w:tcPr>
          <w:p>
            <w:r>
              <w:rPr>
                <w:rFonts w:ascii="Meiryo UI" w:hAnsi="Meiryo UI"/>
                <w:sz w:val="18"/>
              </w:rPr>
              <w:t>定量化で補完</w:t>
            </w:r>
          </w:p>
        </w:tc>
      </w:tr>
    </w:tbl>
    <w:p/>
    <w:p>
      <w:pPr>
        <w:pStyle w:val="Heading3"/>
      </w:pPr>
      <w:r>
        <w:rPr>
          <w:rFonts w:ascii="Meiryo UI" w:hAnsi="Meiryo UI"/>
          <w:color w:val="2E74B5"/>
        </w:rPr>
        <w:t>8.3 センチメントと本源的価値のギャップ分析</w:t>
      </w:r>
    </w:p>
    <w:p/>
    <w:p>
      <w:r>
        <w:rPr>
          <w:rFonts w:ascii="Meiryo UI" w:hAnsi="Meiryo UI"/>
          <w:sz w:val="20"/>
        </w:rPr>
        <w:t>現時点のギャップ：</w:t>
      </w:r>
    </w:p>
    <w:p/>
    <w:p>
      <w:pPr>
        <w:shd w:val="clear" w:color="auto" w:fill="F2F2F2"/>
      </w:pPr>
      <w:r>
        <w:rPr>
          <w:rFonts w:ascii="Courier New" w:hAnsi="Courier New"/>
          <w:sz w:val="16"/>
        </w:rPr>
        <w:t>本源的価値（DCF）: 4,100円</w:t>
        <w:br/>
        <w:t>現在株価（推定）: 3,200円</w:t>
        <w:br/>
        <w:t>──────────────────────</w:t>
        <w:br/>
        <w:t>ギャップ（割安度）: △900円（約22%割安）</w:t>
      </w:r>
    </w:p>
    <w:p/>
    <w:p>
      <w:r>
        <w:rPr>
          <w:rFonts w:ascii="Meiryo UI" w:hAnsi="Meiryo UI"/>
          <w:sz w:val="20"/>
        </w:rPr>
        <w:t>ギャップの要因分析：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PBR1倍割れの市場評価</w:t>
            </w:r>
          </w:p>
        </w:tc>
        <w:tc>
          <w:tcPr>
            <w:tcW w:type="dxa" w:w="3135"/>
          </w:tcPr>
          <w:p>
            <w:r>
              <w:rPr>
                <w:rFonts w:ascii="Meiryo UI" w:hAnsi="Meiryo UI"/>
                <w:sz w:val="18"/>
              </w:rPr>
              <w:t>割安方向</w:t>
            </w:r>
          </w:p>
        </w:tc>
        <w:tc>
          <w:tcPr>
            <w:tcW w:type="dxa" w:w="3135"/>
          </w:tcPr>
          <w:p>
            <w:r>
              <w:rPr>
                <w:rFonts w:ascii="Meiryo UI" w:hAnsi="Meiryo UI"/>
                <w:sz w:val="18"/>
              </w:rPr>
              <w:t>資本効率改善への期待が不十分</w:t>
            </w:r>
          </w:p>
        </w:tc>
      </w:tr>
      <w:tr>
        <w:tc>
          <w:tcPr>
            <w:tcW w:type="dxa" w:w="3135"/>
            <w:shd w:val="clear" w:color="auto" w:fill="DDEBF7"/>
          </w:tcPr>
          <w:p>
            <w:r>
              <w:rPr>
                <w:rFonts w:ascii="Meiryo UI" w:hAnsi="Meiryo UI"/>
                <w:sz w:val="18"/>
              </w:rPr>
              <w:t>受注サイクルの不透明感</w:t>
            </w:r>
          </w:p>
        </w:tc>
        <w:tc>
          <w:tcPr>
            <w:tcW w:type="dxa" w:w="3135"/>
            <w:shd w:val="clear" w:color="auto" w:fill="DDEBF7"/>
          </w:tcPr>
          <w:p>
            <w:r>
              <w:rPr>
                <w:rFonts w:ascii="Meiryo UI" w:hAnsi="Meiryo UI"/>
                <w:sz w:val="18"/>
              </w:rPr>
              <w:t>割安方向</w:t>
            </w:r>
          </w:p>
        </w:tc>
        <w:tc>
          <w:tcPr>
            <w:tcW w:type="dxa" w:w="3135"/>
            <w:shd w:val="clear" w:color="auto" w:fill="DDEBF7"/>
          </w:tcPr>
          <w:p>
            <w:r>
              <w:rPr>
                <w:rFonts w:ascii="Meiryo UI" w:hAnsi="Meiryo UI"/>
                <w:sz w:val="18"/>
              </w:rPr>
              <w:t>機械メーカー特有の変動性を過大評価</w:t>
            </w:r>
          </w:p>
        </w:tc>
      </w:tr>
      <w:tr>
        <w:tc>
          <w:tcPr>
            <w:tcW w:type="dxa" w:w="3135"/>
          </w:tcPr>
          <w:p>
            <w:r>
              <w:rPr>
                <w:rFonts w:ascii="Meiryo UI" w:hAnsi="Meiryo UI"/>
                <w:sz w:val="18"/>
              </w:rPr>
              <w:t>増配をきっかけとした再評価</w:t>
            </w:r>
          </w:p>
        </w:tc>
        <w:tc>
          <w:tcPr>
            <w:tcW w:type="dxa" w:w="3135"/>
          </w:tcPr>
          <w:p>
            <w:r>
              <w:rPr>
                <w:rFonts w:ascii="Meiryo UI" w:hAnsi="Meiryo UI"/>
                <w:sz w:val="18"/>
              </w:rPr>
              <w:t>ギャップ縮小</w:t>
            </w:r>
          </w:p>
        </w:tc>
        <w:tc>
          <w:tcPr>
            <w:tcW w:type="dxa" w:w="3135"/>
          </w:tcPr>
          <w:p>
            <w:r>
              <w:rPr>
                <w:rFonts w:ascii="Meiryo UI" w:hAnsi="Meiryo UI"/>
                <w:sz w:val="18"/>
              </w:rPr>
              <w:t>今回のトリガーで機関投資家の注目度上昇</w:t>
            </w:r>
          </w:p>
        </w:tc>
      </w:tr>
      <w:tr>
        <w:tc>
          <w:tcPr>
            <w:tcW w:type="dxa" w:w="3135"/>
            <w:shd w:val="clear" w:color="auto" w:fill="DDEBF7"/>
          </w:tcPr>
          <w:p>
            <w:r>
              <w:rPr>
                <w:rFonts w:ascii="Meiryo UI" w:hAnsi="Meiryo UI"/>
                <w:sz w:val="18"/>
              </w:rPr>
              <w:t>中国リスクの織り込み</w:t>
            </w:r>
          </w:p>
        </w:tc>
        <w:tc>
          <w:tcPr>
            <w:tcW w:type="dxa" w:w="3135"/>
            <w:shd w:val="clear" w:color="auto" w:fill="DDEBF7"/>
          </w:tcPr>
          <w:p>
            <w:r>
              <w:rPr>
                <w:rFonts w:ascii="Meiryo UI" w:hAnsi="Meiryo UI"/>
                <w:sz w:val="18"/>
              </w:rPr>
              <w:t>割安方向</w:t>
            </w:r>
          </w:p>
        </w:tc>
        <w:tc>
          <w:tcPr>
            <w:tcW w:type="dxa" w:w="3135"/>
            <w:shd w:val="clear" w:color="auto" w:fill="DDEBF7"/>
          </w:tcPr>
          <w:p>
            <w:r>
              <w:rPr>
                <w:rFonts w:ascii="Meiryo UI" w:hAnsi="Meiryo UI"/>
                <w:sz w:val="18"/>
              </w:rPr>
              <w:t>Bear確率25%は市場が織り込み過多の可能性</w:t>
            </w:r>
          </w:p>
        </w:tc>
      </w:tr>
    </w:tbl>
    <w:p/>
    <w:p>
      <w:r>
        <w:rPr>
          <w:rFonts w:ascii="Meiryo UI" w:hAnsi="Meiryo UI"/>
          <w:sz w:val="20"/>
        </w:rPr>
        <w:t>深井の統合見解：</w:t>
      </w:r>
    </w:p>
    <w:p/>
    <w:p>
      <w:r>
        <w:rPr>
          <w:rFonts w:ascii="Meiryo UI" w:hAnsi="Meiryo UI"/>
          <w:sz w:val="20"/>
        </w:rPr>
        <w:t>浅井速報の+55スコアは、増配というカタリストへの短期センチメントを正確にとらえている。一方、深井のDCF分析では中長期の本源的価値との22%ギャップが存在しており、増配トリガーはそのギャップを縮小させるきっかけとして十分に機能しうる。</w:t>
      </w:r>
    </w:p>
    <w:p/>
    <w:p>
      <w:r>
        <w:rPr>
          <w:rFonts w:ascii="Meiryo UI" w:hAnsi="Meiryo UI"/>
          <w:sz w:val="20"/>
        </w:rPr>
        <w:t>両分析の方向性は一致しており、「BUY」の結論に強い整合性がある。スコア+55は「中程度の確信度の買い」であり、DCFが示す28%アップサイドと組み合わせると、現時点でのポジション構築は合理的と判断する。</w:t>
      </w:r>
    </w:p>
    <w:p/>
    <w:p>
      <w:r>
        <w:t>──────────────────────────────────────────────────</w:t>
      </w:r>
    </w:p>
    <w:p/>
    <w:p>
      <w:pPr>
        <w:pStyle w:val="Heading2"/>
      </w:pPr>
      <w:r>
        <w:rPr>
          <w:rFonts w:ascii="Meiryo UI" w:hAnsi="Meiryo UI"/>
          <w:color w:val="2E74B5"/>
        </w:rPr>
        <w:t>9. 社長への推奨アクション</w:t>
      </w:r>
    </w:p>
    <w:p/>
    <w:p>
      <w:r>
        <w:rPr>
          <w:rFonts w:ascii="Meiryo UI" w:hAnsi="Meiryo UI"/>
          <w:sz w:val="20"/>
        </w:rPr>
        <w:t>&gt; 社長指示コメント：（なし）</w:t>
      </w:r>
    </w:p>
    <w:p>
      <w:r>
        <w:rPr>
          <w:rFonts w:ascii="Meiryo UI" w:hAnsi="Meiryo UI"/>
          <w:sz w:val="20"/>
        </w:rPr>
        <w:t>&gt; → 標準フォーマットに基づく深井判断による推奨を提示します。</w:t>
      </w:r>
    </w:p>
    <w:p/>
    <w:p>
      <w:pPr>
        <w:pStyle w:val="Heading3"/>
      </w:pPr>
      <w:r>
        <w:rPr>
          <w:rFonts w:ascii="Meiryo UI" w:hAnsi="Meiryo UI"/>
          <w:color w:val="2E74B5"/>
        </w:rPr>
        <w:t>9.1 エントリー戦略</w:t>
      </w:r>
    </w:p>
    <w:p/>
    <w:p>
      <w:pPr>
        <w:pStyle w:val="Heading4"/>
      </w:pPr>
      <w:r>
        <w:rPr>
          <w:rFonts w:ascii="Meiryo UI" w:hAnsi="Meiryo UI"/>
          <w:color w:val="2E74B5"/>
        </w:rPr>
        <w:t>推奨</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62790_瑞光_BUY_DeepResearch_20260404.md を出力しました。</w:t>
      </w:r>
    </w:p>
    <w:p>
      <w:r>
        <w:rPr>
          <w:rFonts w:ascii="Meiryo UI" w:hAnsi="Meiryo UI"/>
          <w:sz w:val="20"/>
        </w:rPr>
        <w:t>浅井スコア +55 の銘柄 [62790]瑞光 についてDeepResearch完了。</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