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6361 荏原製作所 Deep Research</w:t>
      </w:r>
    </w:p>
    <w:p/>
    <w:p/>
    <w:p>
      <w:pPr>
        <w:jc w:val="center"/>
      </w:pPr>
      <w:r>
        <w:rPr>
          <w:rFonts w:ascii="Meiryo UI" w:hAnsi="Meiryo UI"/>
          <w:sz w:val="24"/>
        </w:rPr>
        <w:t>アナリスト：深井</w:t>
      </w:r>
    </w:p>
    <w:p>
      <w:pPr>
        <w:jc w:val="center"/>
      </w:pPr>
      <w:r>
        <w:rPr>
          <w:rFonts w:ascii="Meiryo UI" w:hAnsi="Meiryo UI"/>
          <w:sz w:val="24"/>
        </w:rPr>
        <w:t>分析日：2026年04月11日</w:t>
      </w:r>
    </w:p>
    <w:p>
      <w:r>
        <w:br w:type="page"/>
      </w:r>
    </w:p>
    <w:p>
      <w:pPr>
        <w:pStyle w:val="Heading1"/>
      </w:pPr>
      <w:r>
        <w:rPr>
          <w:rFonts w:ascii="Meiryo UI" w:hAnsi="Meiryo UI"/>
          <w:color w:val="1F3864"/>
        </w:rPr>
        <w:t>6361 荏原製作所 Deep Research</w:t>
      </w:r>
    </w:p>
    <w:p>
      <w:r>
        <w:rPr>
          <w:rFonts w:ascii="Meiryo UI" w:hAnsi="Meiryo UI"/>
          <w:sz w:val="20"/>
        </w:rPr>
        <w:t>作成日: 2026-04-11　優先度: 2　判定: BUY　目標株価: ¥6,500</w:t>
      </w:r>
    </w:p>
    <w:p/>
    <w:p>
      <w:r>
        <w:t>──────────────────────────────────────────────────</w:t>
      </w:r>
    </w:p>
    <w:p/>
    <w:p>
      <w:pPr>
        <w:pStyle w:val="Heading2"/>
      </w:pPr>
      <w:r>
        <w:rPr>
          <w:rFonts w:ascii="Meiryo UI" w:hAnsi="Meiryo UI"/>
          <w:color w:val="2E74B5"/>
        </w:rPr>
        <w:t>1. 企業概要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正式社名</w:t>
            </w:r>
          </w:p>
        </w:tc>
        <w:tc>
          <w:tcPr>
            <w:tcW w:type="dxa" w:w="4703"/>
          </w:tcPr>
          <w:p>
            <w:r>
              <w:rPr>
                <w:rFonts w:ascii="Meiryo UI" w:hAnsi="Meiryo UI"/>
                <w:sz w:val="18"/>
              </w:rPr>
              <w:t>株式会社荏原製作所</w:t>
            </w:r>
          </w:p>
        </w:tc>
      </w:tr>
      <w:tr>
        <w:tc>
          <w:tcPr>
            <w:tcW w:type="dxa" w:w="4703"/>
            <w:shd w:val="clear" w:color="auto" w:fill="DDEBF7"/>
          </w:tcPr>
          <w:p>
            <w:r>
              <w:rPr>
                <w:rFonts w:ascii="Meiryo UI" w:hAnsi="Meiryo UI"/>
                <w:sz w:val="18"/>
              </w:rPr>
              <w:t>コード</w:t>
            </w:r>
          </w:p>
        </w:tc>
        <w:tc>
          <w:tcPr>
            <w:tcW w:type="dxa" w:w="4703"/>
            <w:shd w:val="clear" w:color="auto" w:fill="DDEBF7"/>
          </w:tcPr>
          <w:p>
            <w:r>
              <w:rPr>
                <w:rFonts w:ascii="Meiryo UI" w:hAnsi="Meiryo UI"/>
                <w:sz w:val="18"/>
              </w:rPr>
              <w:t>6361（東証プライム）</w:t>
            </w:r>
          </w:p>
        </w:tc>
      </w:tr>
      <w:tr>
        <w:tc>
          <w:tcPr>
            <w:tcW w:type="dxa" w:w="4703"/>
          </w:tcPr>
          <w:p>
            <w:r>
              <w:rPr>
                <w:rFonts w:ascii="Meiryo UI" w:hAnsi="Meiryo UI"/>
                <w:sz w:val="18"/>
              </w:rPr>
              <w:t>決算期</w:t>
            </w:r>
          </w:p>
        </w:tc>
        <w:tc>
          <w:tcPr>
            <w:tcW w:type="dxa" w:w="4703"/>
          </w:tcPr>
          <w:p>
            <w:r>
              <w:rPr>
                <w:rFonts w:ascii="Meiryo UI" w:hAnsi="Meiryo UI"/>
                <w:sz w:val="18"/>
              </w:rPr>
              <w:t>12月期</w:t>
            </w:r>
          </w:p>
        </w:tc>
      </w:tr>
      <w:tr>
        <w:tc>
          <w:tcPr>
            <w:tcW w:type="dxa" w:w="4703"/>
            <w:shd w:val="clear" w:color="auto" w:fill="DDEBF7"/>
          </w:tcPr>
          <w:p>
            <w:r>
              <w:rPr>
                <w:rFonts w:ascii="Meiryo UI" w:hAnsi="Meiryo UI"/>
                <w:sz w:val="18"/>
              </w:rPr>
              <w:t>主力事業</w:t>
            </w:r>
          </w:p>
        </w:tc>
        <w:tc>
          <w:tcPr>
            <w:tcW w:type="dxa" w:w="4703"/>
            <w:shd w:val="clear" w:color="auto" w:fill="DDEBF7"/>
          </w:tcPr>
          <w:p>
            <w:r>
              <w:rPr>
                <w:rFonts w:ascii="Meiryo UI" w:hAnsi="Meiryo UI"/>
                <w:sz w:val="18"/>
              </w:rPr>
              <w:t>精密・電子（CMP装置）、流体機械（ポンプ）、環境、エネルギー</w:t>
            </w:r>
          </w:p>
        </w:tc>
      </w:tr>
      <w:tr>
        <w:tc>
          <w:tcPr>
            <w:tcW w:type="dxa" w:w="4703"/>
          </w:tcPr>
          <w:p>
            <w:r>
              <w:rPr>
                <w:rFonts w:ascii="Meiryo UI" w:hAnsi="Meiryo UI"/>
                <w:sz w:val="18"/>
              </w:rPr>
              <w:t>本社</w:t>
            </w:r>
          </w:p>
        </w:tc>
        <w:tc>
          <w:tcPr>
            <w:tcW w:type="dxa" w:w="4703"/>
          </w:tcPr>
          <w:p>
            <w:r>
              <w:rPr>
                <w:rFonts w:ascii="Meiryo UI" w:hAnsi="Meiryo UI"/>
                <w:sz w:val="18"/>
              </w:rPr>
              <w:t>東京都大田区</w:t>
            </w:r>
          </w:p>
        </w:tc>
      </w:tr>
      <w:tr>
        <w:tc>
          <w:tcPr>
            <w:tcW w:type="dxa" w:w="4703"/>
            <w:shd w:val="clear" w:color="auto" w:fill="DDEBF7"/>
          </w:tcPr>
          <w:p>
            <w:r>
              <w:rPr>
                <w:rFonts w:ascii="Meiryo UI" w:hAnsi="Meiryo UI"/>
                <w:sz w:val="18"/>
              </w:rPr>
              <w:t>主要工場</w:t>
            </w:r>
          </w:p>
        </w:tc>
        <w:tc>
          <w:tcPr>
            <w:tcW w:type="dxa" w:w="4703"/>
            <w:shd w:val="clear" w:color="auto" w:fill="DDEBF7"/>
          </w:tcPr>
          <w:p>
            <w:r>
              <w:rPr>
                <w:rFonts w:ascii="Meiryo UI" w:hAnsi="Meiryo UI"/>
                <w:sz w:val="18"/>
              </w:rPr>
              <w:t>藤沢（R&amp;D・精密電子）、熊本（CMP生産）、台湾（コンポーネント）</w:t>
            </w:r>
          </w:p>
        </w:tc>
      </w:tr>
    </w:tbl>
    <w:p/>
    <w:p>
      <w:r>
        <w:rPr>
          <w:rFonts w:ascii="Meiryo UI" w:hAnsi="Meiryo UI"/>
          <w:sz w:val="20"/>
        </w:rPr>
        <w:t>ビジネスモデル: 半導体製造装置（CMP装置）× 流体機械（ポンプ）× 環境インフラの複合コングロマリット。売上の約31%を精密・電子セグメント（CMP）が占め、成長ドライバーとなっている。サービス&amp;サポート比率は40%近くまで上昇しており、ストック収益が拡大中。</w:t>
      </w:r>
    </w:p>
    <w:p/>
    <w:p>
      <w:r>
        <w:t>──────────────────────────────────────────────────</w:t>
      </w:r>
    </w:p>
    <w:p/>
    <w:p>
      <w:pPr>
        <w:pStyle w:val="Heading2"/>
      </w:pPr>
      <w:r>
        <w:rPr>
          <w:rFonts w:ascii="Meiryo UI" w:hAnsi="Meiryo UI"/>
          <w:color w:val="2E74B5"/>
        </w:rPr>
        <w:t>2. 直近決算 定量分析</w:t>
      </w:r>
    </w:p>
    <w:p/>
    <w:p>
      <w:pPr>
        <w:pStyle w:val="Heading3"/>
      </w:pPr>
      <w:r>
        <w:rPr>
          <w:rFonts w:ascii="Meiryo UI" w:hAnsi="Meiryo UI"/>
          <w:color w:val="2E74B5"/>
        </w:rPr>
        <w:t>2-1. 通期P&amp;L推移</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期</w:t>
            </w:r>
          </w:p>
        </w:tc>
        <w:tc>
          <w:tcPr>
            <w:tcW w:type="dxa" w:w="1176"/>
            <w:shd w:val="clear" w:color="auto" w:fill="2E74B5"/>
          </w:tcPr>
          <w:p>
            <w:r>
              <w:rPr>
                <w:rFonts w:ascii="Meiryo UI" w:hAnsi="Meiryo UI"/>
                <w:b/>
                <w:color w:val="FFFFFF"/>
                <w:sz w:val="18"/>
              </w:rPr>
              <w:t>売上収益</w:t>
            </w:r>
          </w:p>
        </w:tc>
        <w:tc>
          <w:tcPr>
            <w:tcW w:type="dxa" w:w="1176"/>
            <w:shd w:val="clear" w:color="auto" w:fill="2E74B5"/>
          </w:tcPr>
          <w:p>
            <w:r>
              <w:rPr>
                <w:rFonts w:ascii="Meiryo UI" w:hAnsi="Meiryo UI"/>
                <w:b/>
                <w:color w:val="FFFFFF"/>
                <w:sz w:val="18"/>
              </w:rPr>
              <w:t>前期比</w:t>
            </w:r>
          </w:p>
        </w:tc>
        <w:tc>
          <w:tcPr>
            <w:tcW w:type="dxa" w:w="1176"/>
            <w:shd w:val="clear" w:color="auto" w:fill="2E74B5"/>
          </w:tcPr>
          <w:p>
            <w:r>
              <w:rPr>
                <w:rFonts w:ascii="Meiryo UI" w:hAnsi="Meiryo UI"/>
                <w:b/>
                <w:color w:val="FFFFFF"/>
                <w:sz w:val="18"/>
              </w:rPr>
              <w:t>営業利益</w:t>
            </w:r>
          </w:p>
        </w:tc>
        <w:tc>
          <w:tcPr>
            <w:tcW w:type="dxa" w:w="1176"/>
            <w:shd w:val="clear" w:color="auto" w:fill="2E74B5"/>
          </w:tcPr>
          <w:p>
            <w:r>
              <w:rPr>
                <w:rFonts w:ascii="Meiryo UI" w:hAnsi="Meiryo UI"/>
                <w:b/>
                <w:color w:val="FFFFFF"/>
                <w:sz w:val="18"/>
              </w:rPr>
              <w:t>前期比</w:t>
            </w:r>
          </w:p>
        </w:tc>
        <w:tc>
          <w:tcPr>
            <w:tcW w:type="dxa" w:w="1176"/>
            <w:shd w:val="clear" w:color="auto" w:fill="2E74B5"/>
          </w:tcPr>
          <w:p>
            <w:r>
              <w:rPr>
                <w:rFonts w:ascii="Meiryo UI" w:hAnsi="Meiryo UI"/>
                <w:b/>
                <w:color w:val="FFFFFF"/>
                <w:sz w:val="18"/>
              </w:rPr>
              <w:t>OP率</w:t>
            </w:r>
          </w:p>
        </w:tc>
        <w:tc>
          <w:tcPr>
            <w:tcW w:type="dxa" w:w="1176"/>
            <w:shd w:val="clear" w:color="auto" w:fill="2E74B5"/>
          </w:tcPr>
          <w:p>
            <w:r>
              <w:rPr>
                <w:rFonts w:ascii="Meiryo UI" w:hAnsi="Meiryo UI"/>
                <w:b/>
                <w:color w:val="FFFFFF"/>
                <w:sz w:val="18"/>
              </w:rPr>
              <w:t>当期利益</w:t>
            </w:r>
          </w:p>
        </w:tc>
        <w:tc>
          <w:tcPr>
            <w:tcW w:type="dxa" w:w="1176"/>
            <w:shd w:val="clear" w:color="auto" w:fill="2E74B5"/>
          </w:tcPr>
          <w:p>
            <w:r>
              <w:rPr>
                <w:rFonts w:ascii="Meiryo UI" w:hAnsi="Meiryo UI"/>
                <w:b/>
                <w:color w:val="FFFFFF"/>
                <w:sz w:val="18"/>
              </w:rPr>
              <w:t>EPS</w:t>
            </w:r>
          </w:p>
        </w:tc>
      </w:tr>
      <w:tr>
        <w:tc>
          <w:tcPr>
            <w:tcW w:type="dxa" w:w="1176"/>
          </w:tcPr>
          <w:p>
            <w:r>
              <w:rPr>
                <w:rFonts w:ascii="Meiryo UI" w:hAnsi="Meiryo UI"/>
                <w:sz w:val="18"/>
              </w:rPr>
              <w:t>FY2023実績</w:t>
            </w:r>
          </w:p>
        </w:tc>
        <w:tc>
          <w:tcPr>
            <w:tcW w:type="dxa" w:w="1176"/>
          </w:tcPr>
          <w:p>
            <w:r>
              <w:rPr>
                <w:rFonts w:ascii="Meiryo UI" w:hAnsi="Meiryo UI"/>
                <w:sz w:val="18"/>
              </w:rPr>
              <w:t>約7,843億</w:t>
            </w:r>
          </w:p>
        </w:tc>
        <w:tc>
          <w:tcPr>
            <w:tcW w:type="dxa" w:w="1176"/>
          </w:tcPr>
          <w:p>
            <w:r>
              <w:rPr>
                <w:rFonts w:ascii="Meiryo UI" w:hAnsi="Meiryo UI"/>
                <w:sz w:val="18"/>
              </w:rPr>
              <w:t>—</w:t>
            </w:r>
          </w:p>
        </w:tc>
        <w:tc>
          <w:tcPr>
            <w:tcW w:type="dxa" w:w="1176"/>
          </w:tcPr>
          <w:p>
            <w:r>
              <w:rPr>
                <w:rFonts w:ascii="Meiryo UI" w:hAnsi="Meiryo UI"/>
                <w:sz w:val="18"/>
              </w:rPr>
              <w:t>約843億</w:t>
            </w:r>
          </w:p>
        </w:tc>
        <w:tc>
          <w:tcPr>
            <w:tcW w:type="dxa" w:w="1176"/>
          </w:tcPr>
          <w:p>
            <w:r>
              <w:rPr>
                <w:rFonts w:ascii="Meiryo UI" w:hAnsi="Meiryo UI"/>
                <w:sz w:val="18"/>
              </w:rPr>
              <w:t>—</w:t>
            </w:r>
          </w:p>
        </w:tc>
        <w:tc>
          <w:tcPr>
            <w:tcW w:type="dxa" w:w="1176"/>
          </w:tcPr>
          <w:p>
            <w:r>
              <w:rPr>
                <w:rFonts w:ascii="Meiryo UI" w:hAnsi="Meiryo UI"/>
                <w:sz w:val="18"/>
              </w:rPr>
              <w:t>10.7%</w:t>
            </w:r>
          </w:p>
        </w:tc>
        <w:tc>
          <w:tcPr>
            <w:tcW w:type="dxa" w:w="1176"/>
          </w:tcPr>
          <w:p>
            <w:r>
              <w:rPr>
                <w:rFonts w:ascii="Meiryo UI" w:hAnsi="Meiryo UI"/>
                <w:sz w:val="18"/>
              </w:rPr>
              <w:t>—</w:t>
            </w:r>
          </w:p>
        </w:tc>
        <w:tc>
          <w:tcPr>
            <w:tcW w:type="dxa" w:w="1176"/>
          </w:tcPr>
          <w:p>
            <w:r>
              <w:rPr>
                <w:rFonts w:ascii="Meiryo UI" w:hAnsi="Meiryo UI"/>
                <w:sz w:val="18"/>
              </w:rPr>
              <w:t>—</w:t>
            </w:r>
          </w:p>
        </w:tc>
      </w:tr>
      <w:tr>
        <w:tc>
          <w:tcPr>
            <w:tcW w:type="dxa" w:w="1176"/>
            <w:shd w:val="clear" w:color="auto" w:fill="DDEBF7"/>
          </w:tcPr>
          <w:p>
            <w:r>
              <w:rPr>
                <w:rFonts w:ascii="Meiryo UI" w:hAnsi="Meiryo UI"/>
                <w:sz w:val="18"/>
              </w:rPr>
              <w:t>FY2024実績</w:t>
            </w:r>
          </w:p>
        </w:tc>
        <w:tc>
          <w:tcPr>
            <w:tcW w:type="dxa" w:w="1176"/>
            <w:shd w:val="clear" w:color="auto" w:fill="DDEBF7"/>
          </w:tcPr>
          <w:p>
            <w:r>
              <w:rPr>
                <w:rFonts w:ascii="Meiryo UI" w:hAnsi="Meiryo UI"/>
                <w:sz w:val="18"/>
              </w:rPr>
              <w:t>8,666億</w:t>
            </w:r>
          </w:p>
        </w:tc>
        <w:tc>
          <w:tcPr>
            <w:tcW w:type="dxa" w:w="1176"/>
            <w:shd w:val="clear" w:color="auto" w:fill="DDEBF7"/>
          </w:tcPr>
          <w:p>
            <w:r>
              <w:rPr>
                <w:rFonts w:ascii="Meiryo UI" w:hAnsi="Meiryo UI"/>
                <w:sz w:val="18"/>
              </w:rPr>
              <w:t>+10.5%</w:t>
            </w:r>
          </w:p>
        </w:tc>
        <w:tc>
          <w:tcPr>
            <w:tcW w:type="dxa" w:w="1176"/>
            <w:shd w:val="clear" w:color="auto" w:fill="DDEBF7"/>
          </w:tcPr>
          <w:p>
            <w:r>
              <w:rPr>
                <w:rFonts w:ascii="Meiryo UI" w:hAnsi="Meiryo UI"/>
                <w:sz w:val="18"/>
              </w:rPr>
              <w:t>979億</w:t>
            </w:r>
          </w:p>
        </w:tc>
        <w:tc>
          <w:tcPr>
            <w:tcW w:type="dxa" w:w="1176"/>
            <w:shd w:val="clear" w:color="auto" w:fill="DDEBF7"/>
          </w:tcPr>
          <w:p>
            <w:r>
              <w:rPr>
                <w:rFonts w:ascii="Meiryo UI" w:hAnsi="Meiryo UI"/>
                <w:sz w:val="18"/>
              </w:rPr>
              <w:t>+16.2%</w:t>
            </w:r>
          </w:p>
        </w:tc>
        <w:tc>
          <w:tcPr>
            <w:tcW w:type="dxa" w:w="1176"/>
            <w:shd w:val="clear" w:color="auto" w:fill="DDEBF7"/>
          </w:tcPr>
          <w:p>
            <w:r>
              <w:rPr>
                <w:rFonts w:ascii="Meiryo UI" w:hAnsi="Meiryo UI"/>
                <w:sz w:val="18"/>
              </w:rPr>
              <w:t>11.3%</w:t>
            </w:r>
          </w:p>
        </w:tc>
        <w:tc>
          <w:tcPr>
            <w:tcW w:type="dxa" w:w="1176"/>
            <w:shd w:val="clear" w:color="auto" w:fill="DDEBF7"/>
          </w:tcPr>
          <w:p>
            <w:r>
              <w:rPr>
                <w:rFonts w:ascii="Meiryo UI" w:hAnsi="Meiryo UI"/>
                <w:sz w:val="18"/>
              </w:rPr>
              <w:t>~755億</w:t>
            </w:r>
          </w:p>
        </w:tc>
        <w:tc>
          <w:tcPr>
            <w:tcW w:type="dxa" w:w="1176"/>
            <w:shd w:val="clear" w:color="auto" w:fill="DDEBF7"/>
          </w:tcPr>
          <w:p>
            <w:r>
              <w:rPr>
                <w:rFonts w:ascii="Meiryo UI" w:hAnsi="Meiryo UI"/>
                <w:sz w:val="18"/>
              </w:rPr>
              <w:t>~165円</w:t>
            </w:r>
          </w:p>
        </w:tc>
      </w:tr>
      <w:tr>
        <w:tc>
          <w:tcPr>
            <w:tcW w:type="dxa" w:w="1176"/>
          </w:tcPr>
          <w:p>
            <w:r>
              <w:rPr>
                <w:rFonts w:ascii="Meiryo UI" w:hAnsi="Meiryo UI"/>
                <w:sz w:val="18"/>
              </w:rPr>
              <w:t>FY2025実績</w:t>
            </w:r>
          </w:p>
        </w:tc>
        <w:tc>
          <w:tcPr>
            <w:tcW w:type="dxa" w:w="1176"/>
          </w:tcPr>
          <w:p>
            <w:r>
              <w:rPr>
                <w:rFonts w:ascii="Meiryo UI" w:hAnsi="Meiryo UI"/>
                <w:sz w:val="18"/>
              </w:rPr>
              <w:t>9,582億</w:t>
            </w:r>
          </w:p>
        </w:tc>
        <w:tc>
          <w:tcPr>
            <w:tcW w:type="dxa" w:w="1176"/>
          </w:tcPr>
          <w:p>
            <w:r>
              <w:rPr>
                <w:rFonts w:ascii="Meiryo UI" w:hAnsi="Meiryo UI"/>
                <w:sz w:val="18"/>
              </w:rPr>
              <w:t>+10.6%</w:t>
            </w:r>
          </w:p>
        </w:tc>
        <w:tc>
          <w:tcPr>
            <w:tcW w:type="dxa" w:w="1176"/>
          </w:tcPr>
          <w:p>
            <w:r>
              <w:rPr>
                <w:rFonts w:ascii="Meiryo UI" w:hAnsi="Meiryo UI"/>
                <w:sz w:val="18"/>
              </w:rPr>
              <w:t>1,138億</w:t>
            </w:r>
          </w:p>
        </w:tc>
        <w:tc>
          <w:tcPr>
            <w:tcW w:type="dxa" w:w="1176"/>
          </w:tcPr>
          <w:p>
            <w:r>
              <w:rPr>
                <w:rFonts w:ascii="Meiryo UI" w:hAnsi="Meiryo UI"/>
                <w:sz w:val="18"/>
              </w:rPr>
              <w:t>+16.2%</w:t>
            </w:r>
          </w:p>
        </w:tc>
        <w:tc>
          <w:tcPr>
            <w:tcW w:type="dxa" w:w="1176"/>
          </w:tcPr>
          <w:p>
            <w:r>
              <w:rPr>
                <w:rFonts w:ascii="Meiryo UI" w:hAnsi="Meiryo UI"/>
                <w:sz w:val="18"/>
              </w:rPr>
              <w:t>11.9%</w:t>
            </w:r>
          </w:p>
        </w:tc>
        <w:tc>
          <w:tcPr>
            <w:tcW w:type="dxa" w:w="1176"/>
          </w:tcPr>
          <w:p>
            <w:r>
              <w:rPr>
                <w:rFonts w:ascii="Meiryo UI" w:hAnsi="Meiryo UI"/>
                <w:sz w:val="18"/>
              </w:rPr>
              <w:t>~766億</w:t>
            </w:r>
          </w:p>
        </w:tc>
        <w:tc>
          <w:tcPr>
            <w:tcW w:type="dxa" w:w="1176"/>
          </w:tcPr>
          <w:p>
            <w:r>
              <w:rPr>
                <w:rFonts w:ascii="Meiryo UI" w:hAnsi="Meiryo UI"/>
                <w:sz w:val="18"/>
              </w:rPr>
              <w:t>~167円</w:t>
            </w:r>
          </w:p>
        </w:tc>
      </w:tr>
      <w:tr>
        <w:tc>
          <w:tcPr>
            <w:tcW w:type="dxa" w:w="1176"/>
            <w:shd w:val="clear" w:color="auto" w:fill="DDEBF7"/>
          </w:tcPr>
          <w:p>
            <w:r>
              <w:rPr>
                <w:rFonts w:ascii="Meiryo UI" w:hAnsi="Meiryo UI"/>
                <w:sz w:val="18"/>
              </w:rPr>
              <w:t>FY2026予想</w:t>
            </w:r>
          </w:p>
        </w:tc>
        <w:tc>
          <w:tcPr>
            <w:tcW w:type="dxa" w:w="1176"/>
            <w:shd w:val="clear" w:color="auto" w:fill="DDEBF7"/>
          </w:tcPr>
          <w:p>
            <w:r>
              <w:rPr>
                <w:rFonts w:ascii="Meiryo UI" w:hAnsi="Meiryo UI"/>
                <w:sz w:val="18"/>
              </w:rPr>
              <w:t>1兆200億</w:t>
            </w:r>
          </w:p>
        </w:tc>
        <w:tc>
          <w:tcPr>
            <w:tcW w:type="dxa" w:w="1176"/>
            <w:shd w:val="clear" w:color="auto" w:fill="DDEBF7"/>
          </w:tcPr>
          <w:p>
            <w:r>
              <w:rPr>
                <w:rFonts w:ascii="Meiryo UI" w:hAnsi="Meiryo UI"/>
                <w:sz w:val="18"/>
              </w:rPr>
              <w:t>+6.4%</w:t>
            </w:r>
          </w:p>
        </w:tc>
        <w:tc>
          <w:tcPr>
            <w:tcW w:type="dxa" w:w="1176"/>
            <w:shd w:val="clear" w:color="auto" w:fill="DDEBF7"/>
          </w:tcPr>
          <w:p>
            <w:r>
              <w:rPr>
                <w:rFonts w:ascii="Meiryo UI" w:hAnsi="Meiryo UI"/>
                <w:sz w:val="18"/>
              </w:rPr>
              <w:t>1,250億</w:t>
            </w:r>
          </w:p>
        </w:tc>
        <w:tc>
          <w:tcPr>
            <w:tcW w:type="dxa" w:w="1176"/>
            <w:shd w:val="clear" w:color="auto" w:fill="DDEBF7"/>
          </w:tcPr>
          <w:p>
            <w:r>
              <w:rPr>
                <w:rFonts w:ascii="Meiryo UI" w:hAnsi="Meiryo UI"/>
                <w:sz w:val="18"/>
              </w:rPr>
              <w:t>+9.8%</w:t>
            </w:r>
          </w:p>
        </w:tc>
        <w:tc>
          <w:tcPr>
            <w:tcW w:type="dxa" w:w="1176"/>
            <w:shd w:val="clear" w:color="auto" w:fill="DDEBF7"/>
          </w:tcPr>
          <w:p>
            <w:r>
              <w:rPr>
                <w:rFonts w:ascii="Meiryo UI" w:hAnsi="Meiryo UI"/>
                <w:sz w:val="18"/>
              </w:rPr>
              <w:t>12.2%</w:t>
            </w:r>
          </w:p>
        </w:tc>
        <w:tc>
          <w:tcPr>
            <w:tcW w:type="dxa" w:w="1176"/>
            <w:shd w:val="clear" w:color="auto" w:fill="DDEBF7"/>
          </w:tcPr>
          <w:p>
            <w:r>
              <w:rPr>
                <w:rFonts w:ascii="Meiryo UI" w:hAnsi="Meiryo UI"/>
                <w:sz w:val="18"/>
              </w:rPr>
              <w:t>866億</w:t>
            </w:r>
          </w:p>
        </w:tc>
        <w:tc>
          <w:tcPr>
            <w:tcW w:type="dxa" w:w="1176"/>
            <w:shd w:val="clear" w:color="auto" w:fill="DDEBF7"/>
          </w:tcPr>
          <w:p>
            <w:r>
              <w:rPr>
                <w:rFonts w:ascii="Meiryo UI" w:hAnsi="Meiryo UI"/>
                <w:sz w:val="18"/>
              </w:rPr>
              <w:t>~189円</w:t>
            </w:r>
          </w:p>
        </w:tc>
      </w:tr>
    </w:tbl>
    <w:p/>
    <w:p>
      <w:pPr>
        <w:pStyle w:val="ListBullet"/>
      </w:pPr>
      <w:r>
        <w:rPr>
          <w:rFonts w:ascii="Meiryo UI" w:hAnsi="Meiryo UI"/>
          <w:sz w:val="20"/>
        </w:rPr>
        <w:t>FY2025は4年連続・過去最高業績更新</w:t>
      </w:r>
    </w:p>
    <w:p>
      <w:pPr>
        <w:pStyle w:val="ListBullet"/>
      </w:pPr>
      <w:r>
        <w:rPr>
          <w:rFonts w:ascii="Meiryo UI" w:hAnsi="Meiryo UI"/>
          <w:sz w:val="20"/>
        </w:rPr>
        <w:t>FY2026予想もOP・当期利益ともに過去最高更新見通し</w:t>
      </w:r>
    </w:p>
    <w:p>
      <w:pPr>
        <w:pStyle w:val="ListBullet"/>
      </w:pPr>
      <w:r>
        <w:rPr>
          <w:rFonts w:ascii="Meiryo UI" w:hAnsi="Meiryo UI"/>
          <w:sz w:val="20"/>
        </w:rPr>
        <w:t>配当: FY2025実績59円（中間28+期末31）→ FY2026予想66円（+11.9%増配）</w:t>
      </w:r>
    </w:p>
    <w:p/>
    <w:p>
      <w:pPr>
        <w:pStyle w:val="Heading3"/>
      </w:pPr>
      <w:r>
        <w:rPr>
          <w:rFonts w:ascii="Meiryo UI" w:hAnsi="Meiryo UI"/>
          <w:color w:val="2E74B5"/>
        </w:rPr>
        <w:t>2-2. FY2025 上半期（1H）ハイライト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前年同期比</w:t>
            </w:r>
          </w:p>
        </w:tc>
      </w:tr>
      <w:tr>
        <w:tc>
          <w:tcPr>
            <w:tcW w:type="dxa" w:w="4703"/>
          </w:tcPr>
          <w:p>
            <w:r>
              <w:rPr>
                <w:rFonts w:ascii="Meiryo UI" w:hAnsi="Meiryo UI"/>
                <w:sz w:val="18"/>
              </w:rPr>
              <w:t>受注高</w:t>
            </w:r>
          </w:p>
        </w:tc>
        <w:tc>
          <w:tcPr>
            <w:tcW w:type="dxa" w:w="4703"/>
          </w:tcPr>
          <w:p>
            <w:r>
              <w:rPr>
                <w:rFonts w:ascii="Meiryo UI" w:hAnsi="Meiryo UI"/>
                <w:sz w:val="18"/>
              </w:rPr>
              <w:t>+516億円</w:t>
            </w:r>
          </w:p>
        </w:tc>
      </w:tr>
      <w:tr>
        <w:tc>
          <w:tcPr>
            <w:tcW w:type="dxa" w:w="4703"/>
            <w:shd w:val="clear" w:color="auto" w:fill="DDEBF7"/>
          </w:tcPr>
          <w:p>
            <w:r>
              <w:rPr>
                <w:rFonts w:ascii="Meiryo UI" w:hAnsi="Meiryo UI"/>
                <w:sz w:val="18"/>
              </w:rPr>
              <w:t>売上収益</w:t>
            </w:r>
          </w:p>
        </w:tc>
        <w:tc>
          <w:tcPr>
            <w:tcW w:type="dxa" w:w="4703"/>
            <w:shd w:val="clear" w:color="auto" w:fill="DDEBF7"/>
          </w:tcPr>
          <w:p>
            <w:r>
              <w:rPr>
                <w:rFonts w:ascii="Meiryo UI" w:hAnsi="Meiryo UI"/>
                <w:sz w:val="18"/>
              </w:rPr>
              <w:t>+542億円</w:t>
            </w:r>
          </w:p>
        </w:tc>
      </w:tr>
      <w:tr>
        <w:tc>
          <w:tcPr>
            <w:tcW w:type="dxa" w:w="4703"/>
          </w:tcPr>
          <w:p>
            <w:r>
              <w:rPr>
                <w:rFonts w:ascii="Meiryo UI" w:hAnsi="Meiryo UI"/>
                <w:sz w:val="18"/>
              </w:rPr>
              <w:t>営業利益</w:t>
            </w:r>
          </w:p>
        </w:tc>
        <w:tc>
          <w:tcPr>
            <w:tcW w:type="dxa" w:w="4703"/>
          </w:tcPr>
          <w:p>
            <w:r>
              <w:rPr>
                <w:rFonts w:ascii="Meiryo UI" w:hAnsi="Meiryo UI"/>
                <w:sz w:val="18"/>
              </w:rPr>
              <w:t>+101億円</w:t>
            </w:r>
          </w:p>
        </w:tc>
      </w:tr>
      <w:tr>
        <w:tc>
          <w:tcPr>
            <w:tcW w:type="dxa" w:w="4703"/>
            <w:shd w:val="clear" w:color="auto" w:fill="DDEBF7"/>
          </w:tcPr>
          <w:p>
            <w:r>
              <w:rPr>
                <w:rFonts w:ascii="Meiryo UI" w:hAnsi="Meiryo UI"/>
                <w:sz w:val="18"/>
              </w:rPr>
              <w:t>中間利益</w:t>
            </w:r>
          </w:p>
        </w:tc>
        <w:tc>
          <w:tcPr>
            <w:tcW w:type="dxa" w:w="4703"/>
            <w:shd w:val="clear" w:color="auto" w:fill="DDEBF7"/>
          </w:tcPr>
          <w:p>
            <w:r>
              <w:rPr>
                <w:rFonts w:ascii="Meiryo UI" w:hAnsi="Meiryo UI"/>
                <w:sz w:val="18"/>
              </w:rPr>
              <w:t>第2四半期として過去最高</w:t>
            </w:r>
          </w:p>
        </w:tc>
      </w:tr>
    </w:tbl>
    <w:p/>
    <w:p>
      <w:pPr>
        <w:pStyle w:val="Heading3"/>
      </w:pPr>
      <w:r>
        <w:rPr>
          <w:rFonts w:ascii="Meiryo UI" w:hAnsi="Meiryo UI"/>
          <w:color w:val="2E74B5"/>
        </w:rPr>
        <w:t>2-3. 米国関税の影響（FY2026織込済）</w:t>
      </w:r>
    </w:p>
    <w:p/>
    <w:p>
      <w:pPr>
        <w:pStyle w:val="ListBullet"/>
      </w:pPr>
      <w:r>
        <w:rPr>
          <w:rFonts w:ascii="Meiryo UI" w:hAnsi="Meiryo UI"/>
          <w:sz w:val="20"/>
        </w:rPr>
        <w:t>上半期実績: 営業利益ベース ▲6億円</w:t>
      </w:r>
    </w:p>
    <w:p>
      <w:pPr>
        <w:pStyle w:val="ListBullet"/>
      </w:pPr>
      <w:r>
        <w:rPr>
          <w:rFonts w:ascii="Meiryo UI" w:hAnsi="Meiryo UI"/>
          <w:sz w:val="20"/>
        </w:rPr>
        <w:t>FY2026通期見込み: ▲18億円（既に予想に織込済み）</w:t>
      </w:r>
    </w:p>
    <w:p>
      <w:pPr>
        <w:pStyle w:val="ListBullet"/>
      </w:pPr>
      <w:r>
        <w:rPr>
          <w:rFonts w:ascii="Meiryo UI" w:hAnsi="Meiryo UI"/>
          <w:sz w:val="20"/>
        </w:rPr>
        <w:t>→ 追加関税拡大がなければ下振れリスクは限定的</w:t>
      </w:r>
    </w:p>
    <w:p/>
    <w:p>
      <w:r>
        <w:t>──────────────────────────────────────────────────</w:t>
      </w:r>
    </w:p>
    <w:p/>
    <w:p>
      <w:pPr>
        <w:pStyle w:val="Heading2"/>
      </w:pPr>
      <w:r>
        <w:rPr>
          <w:rFonts w:ascii="Meiryo UI" w:hAnsi="Meiryo UI"/>
          <w:color w:val="2E74B5"/>
        </w:rPr>
        <w:t>3. セグメント別分析</w:t>
      </w:r>
    </w:p>
    <w:p/>
    <w:p>
      <w:pPr>
        <w:pStyle w:val="Heading3"/>
      </w:pPr>
      <w:r>
        <w:rPr>
          <w:rFonts w:ascii="Meiryo UI" w:hAnsi="Meiryo UI"/>
          <w:color w:val="2E74B5"/>
        </w:rPr>
        <w:t>精密・電子（CMP装置 + ドライ真空ポンプ）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FY2024実績</w:t>
            </w:r>
          </w:p>
        </w:tc>
        <w:tc>
          <w:tcPr>
            <w:tcW w:type="dxa" w:w="3135"/>
            <w:shd w:val="clear" w:color="auto" w:fill="2E74B5"/>
          </w:tcPr>
          <w:p>
            <w:r>
              <w:rPr>
                <w:rFonts w:ascii="Meiryo UI" w:hAnsi="Meiryo UI"/>
                <w:b/>
                <w:color w:val="FFFFFF"/>
                <w:sz w:val="18"/>
              </w:rPr>
              <w:t>FY2026予想(CMP部分)</w:t>
            </w:r>
          </w:p>
        </w:tc>
      </w:tr>
      <w:tr>
        <w:tc>
          <w:tcPr>
            <w:tcW w:type="dxa" w:w="3135"/>
          </w:tcPr>
          <w:p>
            <w:r>
              <w:rPr>
                <w:rFonts w:ascii="Meiryo UI" w:hAnsi="Meiryo UI"/>
                <w:sz w:val="18"/>
              </w:rPr>
              <w:t>セグメント売上</w:t>
            </w:r>
          </w:p>
        </w:tc>
        <w:tc>
          <w:tcPr>
            <w:tcW w:type="dxa" w:w="3135"/>
          </w:tcPr>
          <w:p>
            <w:r>
              <w:rPr>
                <w:rFonts w:ascii="Meiryo UI" w:hAnsi="Meiryo UI"/>
                <w:sz w:val="18"/>
              </w:rPr>
              <w:t>~2,650億円</w:t>
            </w:r>
          </w:p>
        </w:tc>
        <w:tc>
          <w:tcPr>
            <w:tcW w:type="dxa" w:w="3135"/>
          </w:tcPr>
          <w:p>
            <w:r>
              <w:rPr>
                <w:rFonts w:ascii="Meiryo UI" w:hAnsi="Meiryo UI"/>
                <w:sz w:val="18"/>
              </w:rPr>
              <w:t>~3,000億円台（推定）</w:t>
            </w:r>
          </w:p>
        </w:tc>
      </w:tr>
      <w:tr>
        <w:tc>
          <w:tcPr>
            <w:tcW w:type="dxa" w:w="3135"/>
            <w:shd w:val="clear" w:color="auto" w:fill="DDEBF7"/>
          </w:tcPr>
          <w:p>
            <w:r>
              <w:rPr>
                <w:rFonts w:ascii="Meiryo UI" w:hAnsi="Meiryo UI"/>
                <w:sz w:val="18"/>
              </w:rPr>
              <w:t>うちCMP装置</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2,670億円（+25.6%）</w:t>
            </w:r>
          </w:p>
        </w:tc>
      </w:tr>
      <w:tr>
        <w:tc>
          <w:tcPr>
            <w:tcW w:type="dxa" w:w="3135"/>
          </w:tcPr>
          <w:p>
            <w:r>
              <w:rPr>
                <w:rFonts w:ascii="Meiryo UI" w:hAnsi="Meiryo UI"/>
                <w:sz w:val="18"/>
              </w:rPr>
              <w:t>OP</w:t>
            </w:r>
          </w:p>
        </w:tc>
        <w:tc>
          <w:tcPr>
            <w:tcW w:type="dxa" w:w="3135"/>
          </w:tcPr>
          <w:p>
            <w:r>
              <w:rPr>
                <w:rFonts w:ascii="Meiryo UI" w:hAnsi="Meiryo UI"/>
                <w:sz w:val="18"/>
              </w:rPr>
              <w:t>~450億円</w:t>
            </w:r>
          </w:p>
        </w:tc>
        <w:tc>
          <w:tcPr>
            <w:tcW w:type="dxa" w:w="3135"/>
          </w:tcPr>
          <w:p>
            <w:r>
              <w:rPr>
                <w:rFonts w:ascii="Meiryo UI" w:hAnsi="Meiryo UI"/>
                <w:sz w:val="18"/>
              </w:rPr>
              <w:t>—</w:t>
            </w:r>
          </w:p>
        </w:tc>
      </w:tr>
    </w:tbl>
    <w:p/>
    <w:p>
      <w:pPr>
        <w:pStyle w:val="ListBullet"/>
      </w:pPr>
      <w:r>
        <w:rPr>
          <w:rFonts w:ascii="Meiryo UI" w:hAnsi="Meiryo UI"/>
          <w:sz w:val="20"/>
        </w:rPr>
        <w:t>生成AI × 高帯域幅メモリ（HBM） の需要急増がCMPフル稼働継続の背景</w:t>
      </w:r>
    </w:p>
    <w:p>
      <w:pPr>
        <w:pStyle w:val="ListBullet"/>
      </w:pPr>
      <w:r>
        <w:rPr>
          <w:rFonts w:ascii="Meiryo UI" w:hAnsi="Meiryo UI"/>
          <w:sz w:val="20"/>
        </w:rPr>
        <w:t>熊本K3棟（2025年6月本格稼働）でCMP生産能力1.5倍に拡大</w:t>
      </w:r>
    </w:p>
    <w:p>
      <w:pPr>
        <w:pStyle w:val="ListBullet"/>
      </w:pPr>
      <w:r>
        <w:rPr>
          <w:rFonts w:ascii="Meiryo UI" w:hAnsi="Meiryo UI"/>
          <w:sz w:val="20"/>
        </w:rPr>
        <w:t>サービス&amp;サポート(S&amp;S)収入の拡大でストック収益が利益安定化に寄与</w:t>
      </w:r>
    </w:p>
    <w:p/>
    <w:p>
      <w:pPr>
        <w:pStyle w:val="Heading3"/>
      </w:pPr>
      <w:r>
        <w:rPr>
          <w:rFonts w:ascii="Meiryo UI" w:hAnsi="Meiryo UI"/>
          <w:color w:val="2E74B5"/>
        </w:rPr>
        <w:t>流体機械（標準・建築・産業用ポンプ）</w:t>
      </w:r>
    </w:p>
    <w:p/>
    <w:p>
      <w:pPr>
        <w:pStyle w:val="ListBullet"/>
      </w:pPr>
      <w:r>
        <w:rPr>
          <w:rFonts w:ascii="Meiryo UI" w:hAnsi="Meiryo UI"/>
          <w:sz w:val="20"/>
        </w:rPr>
        <w:t>国内外インフラ投資で安定成長。半導体向け超純水ポンプも好調</w:t>
      </w:r>
    </w:p>
    <w:p>
      <w:pPr>
        <w:pStyle w:val="ListBullet"/>
      </w:pPr>
      <w:r>
        <w:rPr>
          <w:rFonts w:ascii="Meiryo UI" w:hAnsi="Meiryo UI"/>
          <w:sz w:val="20"/>
        </w:rPr>
        <w:t>中国建築・産業向けは不動産低迷で軟調</w:t>
      </w:r>
    </w:p>
    <w:p/>
    <w:p>
      <w:pPr>
        <w:pStyle w:val="Heading3"/>
      </w:pPr>
      <w:r>
        <w:rPr>
          <w:rFonts w:ascii="Meiryo UI" w:hAnsi="Meiryo UI"/>
          <w:color w:val="2E74B5"/>
        </w:rPr>
        <w:t>環境（給排水システム・廃棄物処理）</w:t>
      </w:r>
    </w:p>
    <w:p/>
    <w:p>
      <w:pPr>
        <w:pStyle w:val="ListBullet"/>
      </w:pPr>
      <w:r>
        <w:rPr>
          <w:rFonts w:ascii="Meiryo UI" w:hAnsi="Meiryo UI"/>
          <w:sz w:val="20"/>
        </w:rPr>
        <w:t>1H受注高が大幅増加。水インフラ更新需要（国内老朽化対応）</w:t>
      </w:r>
    </w:p>
    <w:p>
      <w:pPr>
        <w:pStyle w:val="ListBullet"/>
      </w:pPr>
      <w:r>
        <w:rPr>
          <w:rFonts w:ascii="Meiryo UI" w:hAnsi="Meiryo UI"/>
          <w:sz w:val="20"/>
        </w:rPr>
        <w:t>中長期的にE-Vision2035の「6億人に水を届ける」ミッションの柱</w:t>
      </w:r>
    </w:p>
    <w:p/>
    <w:p>
      <w:pPr>
        <w:pStyle w:val="Heading3"/>
      </w:pPr>
      <w:r>
        <w:rPr>
          <w:rFonts w:ascii="Meiryo UI" w:hAnsi="Meiryo UI"/>
          <w:color w:val="2E74B5"/>
        </w:rPr>
        <w:t>エネルギー（プロセスポンプ・コンプレッサー）</w:t>
      </w:r>
    </w:p>
    <w:p/>
    <w:p>
      <w:pPr>
        <w:pStyle w:val="ListBullet"/>
      </w:pPr>
      <w:r>
        <w:rPr>
          <w:rFonts w:ascii="Meiryo UI" w:hAnsi="Meiryo UI"/>
          <w:sz w:val="20"/>
        </w:rPr>
        <w:t>1Hは減少（原油価格乱高下・中東情勢の不透明感）</w:t>
      </w:r>
    </w:p>
    <w:p>
      <w:pPr>
        <w:pStyle w:val="ListBullet"/>
      </w:pPr>
      <w:r>
        <w:rPr>
          <w:rFonts w:ascii="Meiryo UI" w:hAnsi="Meiryo UI"/>
          <w:sz w:val="20"/>
        </w:rPr>
        <w:t>WTI$96台での設備投資抑制→ ホルムズ正常化時に回復余地</w:t>
      </w:r>
    </w:p>
    <w:p/>
    <w:p>
      <w:r>
        <w:t>──────────────────────────────────────────────────</w:t>
      </w:r>
    </w:p>
    <w:p/>
    <w:p>
      <w:pPr>
        <w:pStyle w:val="Heading2"/>
      </w:pPr>
      <w:r>
        <w:rPr>
          <w:rFonts w:ascii="Meiryo UI" w:hAnsi="Meiryo UI"/>
          <w:color w:val="2E74B5"/>
        </w:rPr>
        <w:t>4. バリュエーション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現値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株価（4/10終値）</w:t>
            </w:r>
          </w:p>
        </w:tc>
        <w:tc>
          <w:tcPr>
            <w:tcW w:type="dxa" w:w="3135"/>
          </w:tcPr>
          <w:p>
            <w:r>
              <w:rPr>
                <w:rFonts w:ascii="Meiryo UI" w:hAnsi="Meiryo UI"/>
                <w:sz w:val="18"/>
              </w:rPr>
              <w:t>5,124円</w:t>
            </w:r>
          </w:p>
        </w:tc>
        <w:tc>
          <w:tcPr>
            <w:tcW w:type="dxa" w:w="3135"/>
          </w:tcPr>
          <w:p>
            <w:r>
              <w:rPr>
                <w:rFonts w:ascii="Meiryo UI" w:hAnsi="Meiryo UI"/>
                <w:sz w:val="18"/>
              </w:rPr>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2.3兆円</w:t>
            </w:r>
          </w:p>
        </w:tc>
        <w:tc>
          <w:tcPr>
            <w:tcW w:type="dxa" w:w="3135"/>
            <w:shd w:val="clear" w:color="auto" w:fill="DDEBF7"/>
          </w:tcPr>
          <w:p>
            <w:r>
              <w:rPr>
                <w:rFonts w:ascii="Meiryo UI" w:hAnsi="Meiryo UI"/>
                <w:sz w:val="18"/>
              </w:rPr>
            </w:r>
          </w:p>
        </w:tc>
      </w:tr>
      <w:tr>
        <w:tc>
          <w:tcPr>
            <w:tcW w:type="dxa" w:w="3135"/>
          </w:tcPr>
          <w:p>
            <w:r>
              <w:rPr>
                <w:rFonts w:ascii="Meiryo UI" w:hAnsi="Meiryo UI"/>
                <w:sz w:val="18"/>
              </w:rPr>
              <w:t>PER（FY26予想）</w:t>
            </w:r>
          </w:p>
        </w:tc>
        <w:tc>
          <w:tcPr>
            <w:tcW w:type="dxa" w:w="3135"/>
          </w:tcPr>
          <w:p>
            <w:r>
              <w:rPr>
                <w:rFonts w:ascii="Meiryo UI" w:hAnsi="Meiryo UI"/>
                <w:sz w:val="18"/>
              </w:rPr>
              <w:t>27.0倍</w:t>
            </w:r>
          </w:p>
        </w:tc>
        <w:tc>
          <w:tcPr>
            <w:tcW w:type="dxa" w:w="3135"/>
          </w:tcPr>
          <w:p>
            <w:r>
              <w:rPr>
                <w:rFonts w:ascii="Meiryo UI" w:hAnsi="Meiryo UI"/>
                <w:sz w:val="18"/>
              </w:rPr>
              <w:t>Yahoo Finance</w:t>
            </w:r>
          </w:p>
        </w:tc>
      </w:tr>
      <w:tr>
        <w:tc>
          <w:tcPr>
            <w:tcW w:type="dxa" w:w="3135"/>
            <w:shd w:val="clear" w:color="auto" w:fill="DDEBF7"/>
          </w:tcPr>
          <w:p>
            <w:r>
              <w:rPr>
                <w:rFonts w:ascii="Meiryo UI" w:hAnsi="Meiryo UI"/>
                <w:sz w:val="18"/>
              </w:rPr>
              <w:t>PBR（実績）</w:t>
            </w:r>
          </w:p>
        </w:tc>
        <w:tc>
          <w:tcPr>
            <w:tcW w:type="dxa" w:w="3135"/>
            <w:shd w:val="clear" w:color="auto" w:fill="DDEBF7"/>
          </w:tcPr>
          <w:p>
            <w:r>
              <w:rPr>
                <w:rFonts w:ascii="Meiryo UI" w:hAnsi="Meiryo UI"/>
                <w:sz w:val="18"/>
              </w:rPr>
              <w:t>4.60倍</w:t>
            </w:r>
          </w:p>
        </w:tc>
        <w:tc>
          <w:tcPr>
            <w:tcW w:type="dxa" w:w="3135"/>
            <w:shd w:val="clear" w:color="auto" w:fill="DDEBF7"/>
          </w:tcPr>
          <w:p>
            <w:r>
              <w:rPr>
                <w:rFonts w:ascii="Meiryo UI" w:hAnsi="Meiryo UI"/>
                <w:sz w:val="18"/>
              </w:rPr>
            </w:r>
          </w:p>
        </w:tc>
      </w:tr>
      <w:tr>
        <w:tc>
          <w:tcPr>
            <w:tcW w:type="dxa" w:w="3135"/>
          </w:tcPr>
          <w:p>
            <w:r>
              <w:rPr>
                <w:rFonts w:ascii="Meiryo UI" w:hAnsi="Meiryo UI"/>
                <w:sz w:val="18"/>
              </w:rPr>
              <w:t>ROE（実績）</w:t>
            </w:r>
          </w:p>
        </w:tc>
        <w:tc>
          <w:tcPr>
            <w:tcW w:type="dxa" w:w="3135"/>
          </w:tcPr>
          <w:p>
            <w:r>
              <w:rPr>
                <w:rFonts w:ascii="Meiryo UI" w:hAnsi="Meiryo UI"/>
                <w:sz w:val="18"/>
              </w:rPr>
              <w:t>15.6%</w:t>
            </w:r>
          </w:p>
        </w:tc>
        <w:tc>
          <w:tcPr>
            <w:tcW w:type="dxa" w:w="3135"/>
          </w:tcPr>
          <w:p>
            <w:r>
              <w:rPr>
                <w:rFonts w:ascii="Meiryo UI" w:hAnsi="Meiryo UI"/>
                <w:sz w:val="18"/>
              </w:rPr>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1.29%</w:t>
            </w:r>
          </w:p>
        </w:tc>
        <w:tc>
          <w:tcPr>
            <w:tcW w:type="dxa" w:w="3135"/>
            <w:shd w:val="clear" w:color="auto" w:fill="DDEBF7"/>
          </w:tcPr>
          <w:p>
            <w:r>
              <w:rPr>
                <w:rFonts w:ascii="Meiryo UI" w:hAnsi="Meiryo UI"/>
                <w:sz w:val="18"/>
              </w:rPr>
              <w:t>66円/5,124円</w:t>
            </w:r>
          </w:p>
        </w:tc>
      </w:tr>
      <w:tr>
        <w:tc>
          <w:tcPr>
            <w:tcW w:type="dxa" w:w="3135"/>
          </w:tcPr>
          <w:p>
            <w:r>
              <w:rPr>
                <w:rFonts w:ascii="Meiryo UI" w:hAnsi="Meiryo UI"/>
                <w:sz w:val="18"/>
              </w:rPr>
              <w:t>EPS（FY26予想）</w:t>
            </w:r>
          </w:p>
        </w:tc>
        <w:tc>
          <w:tcPr>
            <w:tcW w:type="dxa" w:w="3135"/>
          </w:tcPr>
          <w:p>
            <w:r>
              <w:rPr>
                <w:rFonts w:ascii="Meiryo UI" w:hAnsi="Meiryo UI"/>
                <w:sz w:val="18"/>
              </w:rPr>
              <w:t>~189円</w:t>
            </w:r>
          </w:p>
        </w:tc>
        <w:tc>
          <w:tcPr>
            <w:tcW w:type="dxa" w:w="3135"/>
          </w:tcPr>
          <w:p>
            <w:r>
              <w:rPr>
                <w:rFonts w:ascii="Meiryo UI" w:hAnsi="Meiryo UI"/>
                <w:sz w:val="18"/>
              </w:rPr>
              <w:t>866億÷4.575億株</w:t>
            </w:r>
          </w:p>
        </w:tc>
      </w:tr>
    </w:tbl>
    <w:p/>
    <w:p>
      <w:pPr>
        <w:pStyle w:val="Heading3"/>
      </w:pPr>
      <w:r>
        <w:rPr>
          <w:rFonts w:ascii="Meiryo UI" w:hAnsi="Meiryo UI"/>
          <w:color w:val="2E74B5"/>
        </w:rPr>
        <w:t>PEG分析（浅井スコア「PEGY&lt;1.0」の検証）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計算軸</w:t>
            </w:r>
          </w:p>
        </w:tc>
        <w:tc>
          <w:tcPr>
            <w:tcW w:type="dxa" w:w="3135"/>
            <w:shd w:val="clear" w:color="auto" w:fill="2E74B5"/>
          </w:tcPr>
          <w:p>
            <w:r>
              <w:rPr>
                <w:rFonts w:ascii="Meiryo UI" w:hAnsi="Meiryo UI"/>
                <w:b/>
                <w:color w:val="FFFFFF"/>
                <w:sz w:val="18"/>
              </w:rPr>
              <w:t>EPS成長率</w:t>
            </w:r>
          </w:p>
        </w:tc>
        <w:tc>
          <w:tcPr>
            <w:tcW w:type="dxa" w:w="3135"/>
            <w:shd w:val="clear" w:color="auto" w:fill="2E74B5"/>
          </w:tcPr>
          <w:p>
            <w:r>
              <w:rPr>
                <w:rFonts w:ascii="Meiryo UI" w:hAnsi="Meiryo UI"/>
                <w:b/>
                <w:color w:val="FFFFFF"/>
                <w:sz w:val="18"/>
              </w:rPr>
              <w:t>PEG</w:t>
            </w:r>
          </w:p>
        </w:tc>
      </w:tr>
      <w:tr>
        <w:tc>
          <w:tcPr>
            <w:tcW w:type="dxa" w:w="3135"/>
          </w:tcPr>
          <w:p>
            <w:r>
              <w:rPr>
                <w:rFonts w:ascii="Meiryo UI" w:hAnsi="Meiryo UI"/>
                <w:sz w:val="18"/>
              </w:rPr>
              <w:t>FY25→FY26 予想ベース</w:t>
            </w:r>
          </w:p>
        </w:tc>
        <w:tc>
          <w:tcPr>
            <w:tcW w:type="dxa" w:w="3135"/>
          </w:tcPr>
          <w:p>
            <w:r>
              <w:rPr>
                <w:rFonts w:ascii="Meiryo UI" w:hAnsi="Meiryo UI"/>
                <w:sz w:val="18"/>
              </w:rPr>
              <w:t>+13%</w:t>
            </w:r>
          </w:p>
        </w:tc>
        <w:tc>
          <w:tcPr>
            <w:tcW w:type="dxa" w:w="3135"/>
          </w:tcPr>
          <w:p>
            <w:r>
              <w:rPr>
                <w:rFonts w:ascii="Meiryo UI" w:hAnsi="Meiryo UI"/>
                <w:sz w:val="18"/>
              </w:rPr>
              <w:t>2.08倍</w:t>
            </w:r>
          </w:p>
        </w:tc>
      </w:tr>
      <w:tr>
        <w:tc>
          <w:tcPr>
            <w:tcW w:type="dxa" w:w="3135"/>
            <w:shd w:val="clear" w:color="auto" w:fill="DDEBF7"/>
          </w:tcPr>
          <w:p>
            <w:r>
              <w:rPr>
                <w:rFonts w:ascii="Meiryo UI" w:hAnsi="Meiryo UI"/>
                <w:sz w:val="18"/>
              </w:rPr>
              <w:t>FY25→FY28 E-Plan2028 CAGR</w:t>
            </w:r>
          </w:p>
        </w:tc>
        <w:tc>
          <w:tcPr>
            <w:tcW w:type="dxa" w:w="3135"/>
            <w:shd w:val="clear" w:color="auto" w:fill="DDEBF7"/>
          </w:tcPr>
          <w:p>
            <w:r>
              <w:rPr>
                <w:rFonts w:ascii="Meiryo UI" w:hAnsi="Meiryo UI"/>
                <w:sz w:val="18"/>
              </w:rPr>
              <w:t>~12%/年</w:t>
            </w:r>
          </w:p>
        </w:tc>
        <w:tc>
          <w:tcPr>
            <w:tcW w:type="dxa" w:w="3135"/>
            <w:shd w:val="clear" w:color="auto" w:fill="DDEBF7"/>
          </w:tcPr>
          <w:p>
            <w:r>
              <w:rPr>
                <w:rFonts w:ascii="Meiryo UI" w:hAnsi="Meiryo UI"/>
                <w:sz w:val="18"/>
              </w:rPr>
              <w:t>2.25倍</w:t>
            </w:r>
          </w:p>
        </w:tc>
      </w:tr>
      <w:tr>
        <w:tc>
          <w:tcPr>
            <w:tcW w:type="dxa" w:w="3135"/>
          </w:tcPr>
          <w:p>
            <w:r>
              <w:rPr>
                <w:rFonts w:ascii="Meiryo UI" w:hAnsi="Meiryo UI"/>
                <w:sz w:val="18"/>
              </w:rPr>
              <w:t>FY25→FY35 E-Vision2035 CAGR</w:t>
            </w:r>
          </w:p>
        </w:tc>
        <w:tc>
          <w:tcPr>
            <w:tcW w:type="dxa" w:w="3135"/>
          </w:tcPr>
          <w:p>
            <w:r>
              <w:rPr>
                <w:rFonts w:ascii="Meiryo UI" w:hAnsi="Meiryo UI"/>
                <w:sz w:val="18"/>
              </w:rPr>
              <w:t>~14%/年</w:t>
            </w:r>
          </w:p>
        </w:tc>
        <w:tc>
          <w:tcPr>
            <w:tcW w:type="dxa" w:w="3135"/>
          </w:tcPr>
          <w:p>
            <w:r>
              <w:rPr>
                <w:rFonts w:ascii="Meiryo UI" w:hAnsi="Meiryo UI"/>
                <w:sz w:val="18"/>
              </w:rPr>
              <w:t>1.93倍</w:t>
            </w:r>
          </w:p>
        </w:tc>
      </w:tr>
    </w:tbl>
    <w:p/>
    <w:p>
      <w:r>
        <w:rPr>
          <w:rFonts w:ascii="Meiryo UI" w:hAnsi="Meiryo UI"/>
          <w:sz w:val="20"/>
        </w:rPr>
        <w:t>→ いずれの軸でもPEG＜1.0には至らず。浅井スコアの「PEGY&lt;1.0」は算出根拠の確認要。</w:t>
      </w:r>
    </w:p>
    <w:p>
      <w:r>
        <w:rPr>
          <w:rFonts w:ascii="Meiryo UI" w:hAnsi="Meiryo UI"/>
          <w:sz w:val="20"/>
        </w:rPr>
        <w:t>ただしEPS成長の長期複利視点（E-Vision2035で時価総額6兆円、現在2.3兆円比+160%）を踏まえると、成長株プレミアムとして現在の割高感は正当化できる範囲内。</w:t>
      </w:r>
    </w:p>
    <w:p/>
    <w:p>
      <w:pPr>
        <w:pStyle w:val="Heading3"/>
      </w:pPr>
      <w:r>
        <w:rPr>
          <w:rFonts w:ascii="Meiryo UI" w:hAnsi="Meiryo UI"/>
          <w:color w:val="2E74B5"/>
        </w:rPr>
        <w:t>目標株価算定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EPS</w:t>
            </w:r>
          </w:p>
        </w:tc>
        <w:tc>
          <w:tcPr>
            <w:tcW w:type="dxa" w:w="1881"/>
            <w:shd w:val="clear" w:color="auto" w:fill="2E74B5"/>
          </w:tcPr>
          <w:p>
            <w:r>
              <w:rPr>
                <w:rFonts w:ascii="Meiryo UI" w:hAnsi="Meiryo UI"/>
                <w:b/>
                <w:color w:val="FFFFFF"/>
                <w:sz w:val="18"/>
              </w:rPr>
              <w:t>PER</w:t>
            </w:r>
          </w:p>
        </w:tc>
        <w:tc>
          <w:tcPr>
            <w:tcW w:type="dxa" w:w="1881"/>
            <w:shd w:val="clear" w:color="auto" w:fill="2E74B5"/>
          </w:tcPr>
          <w:p>
            <w:r>
              <w:rPr>
                <w:rFonts w:ascii="Meiryo UI" w:hAnsi="Meiryo UI"/>
                <w:b/>
                <w:color w:val="FFFFFF"/>
                <w:sz w:val="18"/>
              </w:rPr>
              <w:t>目標株価</w:t>
            </w:r>
          </w:p>
        </w:tc>
        <w:tc>
          <w:tcPr>
            <w:tcW w:type="dxa" w:w="1881"/>
            <w:shd w:val="clear" w:color="auto" w:fill="2E74B5"/>
          </w:tcPr>
          <w:p>
            <w:r>
              <w:rPr>
                <w:rFonts w:ascii="Meiryo UI" w:hAnsi="Meiryo UI"/>
                <w:b/>
                <w:color w:val="FFFFFF"/>
                <w:sz w:val="18"/>
              </w:rPr>
              <w:t>上昇余地</w:t>
            </w:r>
          </w:p>
        </w:tc>
      </w:tr>
      <w:tr>
        <w:tc>
          <w:tcPr>
            <w:tcW w:type="dxa" w:w="1881"/>
          </w:tcPr>
          <w:p>
            <w:r>
              <w:rPr>
                <w:rFonts w:ascii="Meiryo UI" w:hAnsi="Meiryo UI"/>
                <w:sz w:val="18"/>
              </w:rPr>
              <w:t>基本: E-Plan2028達成</w:t>
            </w:r>
          </w:p>
        </w:tc>
        <w:tc>
          <w:tcPr>
            <w:tcW w:type="dxa" w:w="1881"/>
          </w:tcPr>
          <w:p>
            <w:r>
              <w:rPr>
                <w:rFonts w:ascii="Meiryo UI" w:hAnsi="Meiryo UI"/>
                <w:sz w:val="18"/>
              </w:rPr>
              <w:t>FY28 262円（推定）</w:t>
            </w:r>
          </w:p>
        </w:tc>
        <w:tc>
          <w:tcPr>
            <w:tcW w:type="dxa" w:w="1881"/>
          </w:tcPr>
          <w:p>
            <w:r>
              <w:rPr>
                <w:rFonts w:ascii="Meiryo UI" w:hAnsi="Meiryo UI"/>
                <w:sz w:val="18"/>
              </w:rPr>
              <w:t>25倍</w:t>
            </w:r>
          </w:p>
        </w:tc>
        <w:tc>
          <w:tcPr>
            <w:tcW w:type="dxa" w:w="1881"/>
          </w:tcPr>
          <w:p>
            <w:r>
              <w:rPr>
                <w:rFonts w:ascii="Meiryo UI" w:hAnsi="Meiryo UI"/>
                <w:sz w:val="18"/>
              </w:rPr>
              <w:t>¥6,550</w:t>
            </w:r>
          </w:p>
        </w:tc>
        <w:tc>
          <w:tcPr>
            <w:tcW w:type="dxa" w:w="1881"/>
          </w:tcPr>
          <w:p>
            <w:r>
              <w:rPr>
                <w:rFonts w:ascii="Meiryo UI" w:hAnsi="Meiryo UI"/>
                <w:sz w:val="18"/>
              </w:rPr>
              <w:t>+27.8%</w:t>
            </w:r>
          </w:p>
        </w:tc>
      </w:tr>
      <w:tr>
        <w:tc>
          <w:tcPr>
            <w:tcW w:type="dxa" w:w="1881"/>
            <w:shd w:val="clear" w:color="auto" w:fill="DDEBF7"/>
          </w:tcPr>
          <w:p>
            <w:r>
              <w:rPr>
                <w:rFonts w:ascii="Meiryo UI" w:hAnsi="Meiryo UI"/>
                <w:sz w:val="18"/>
              </w:rPr>
              <w:t>強気: E-Plan2028超過達成</w:t>
            </w:r>
          </w:p>
        </w:tc>
        <w:tc>
          <w:tcPr>
            <w:tcW w:type="dxa" w:w="1881"/>
            <w:shd w:val="clear" w:color="auto" w:fill="DDEBF7"/>
          </w:tcPr>
          <w:p>
            <w:r>
              <w:rPr>
                <w:rFonts w:ascii="Meiryo UI" w:hAnsi="Meiryo UI"/>
                <w:sz w:val="18"/>
              </w:rPr>
              <w:t>FY28 290円</w:t>
            </w:r>
          </w:p>
        </w:tc>
        <w:tc>
          <w:tcPr>
            <w:tcW w:type="dxa" w:w="1881"/>
            <w:shd w:val="clear" w:color="auto" w:fill="DDEBF7"/>
          </w:tcPr>
          <w:p>
            <w:r>
              <w:rPr>
                <w:rFonts w:ascii="Meiryo UI" w:hAnsi="Meiryo UI"/>
                <w:sz w:val="18"/>
              </w:rPr>
              <w:t>30倍</w:t>
            </w:r>
          </w:p>
        </w:tc>
        <w:tc>
          <w:tcPr>
            <w:tcW w:type="dxa" w:w="1881"/>
            <w:shd w:val="clear" w:color="auto" w:fill="DDEBF7"/>
          </w:tcPr>
          <w:p>
            <w:r>
              <w:rPr>
                <w:rFonts w:ascii="Meiryo UI" w:hAnsi="Meiryo UI"/>
                <w:sz w:val="18"/>
              </w:rPr>
              <w:t>¥8,700</w:t>
            </w:r>
          </w:p>
        </w:tc>
        <w:tc>
          <w:tcPr>
            <w:tcW w:type="dxa" w:w="1881"/>
            <w:shd w:val="clear" w:color="auto" w:fill="DDEBF7"/>
          </w:tcPr>
          <w:p>
            <w:r>
              <w:rPr>
                <w:rFonts w:ascii="Meiryo UI" w:hAnsi="Meiryo UI"/>
                <w:sz w:val="18"/>
              </w:rPr>
              <w:t>+69.8%</w:t>
            </w:r>
          </w:p>
        </w:tc>
      </w:tr>
      <w:tr>
        <w:tc>
          <w:tcPr>
            <w:tcW w:type="dxa" w:w="1881"/>
          </w:tcPr>
          <w:p>
            <w:r>
              <w:rPr>
                <w:rFonts w:ascii="Meiryo UI" w:hAnsi="Meiryo UI"/>
                <w:sz w:val="18"/>
              </w:rPr>
              <w:t>保守: FY26予想通り</w:t>
            </w:r>
          </w:p>
        </w:tc>
        <w:tc>
          <w:tcPr>
            <w:tcW w:type="dxa" w:w="1881"/>
          </w:tcPr>
          <w:p>
            <w:r>
              <w:rPr>
                <w:rFonts w:ascii="Meiryo UI" w:hAnsi="Meiryo UI"/>
                <w:sz w:val="18"/>
              </w:rPr>
              <w:t>FY26 189円</w:t>
            </w:r>
          </w:p>
        </w:tc>
        <w:tc>
          <w:tcPr>
            <w:tcW w:type="dxa" w:w="1881"/>
          </w:tcPr>
          <w:p>
            <w:r>
              <w:rPr>
                <w:rFonts w:ascii="Meiryo UI" w:hAnsi="Meiryo UI"/>
                <w:sz w:val="18"/>
              </w:rPr>
              <w:t>27倍</w:t>
            </w:r>
          </w:p>
        </w:tc>
        <w:tc>
          <w:tcPr>
            <w:tcW w:type="dxa" w:w="1881"/>
          </w:tcPr>
          <w:p>
            <w:r>
              <w:rPr>
                <w:rFonts w:ascii="Meiryo UI" w:hAnsi="Meiryo UI"/>
                <w:sz w:val="18"/>
              </w:rPr>
              <w:t>¥5,100</w:t>
            </w:r>
          </w:p>
        </w:tc>
        <w:tc>
          <w:tcPr>
            <w:tcW w:type="dxa" w:w="1881"/>
          </w:tcPr>
          <w:p>
            <w:r>
              <w:rPr>
                <w:rFonts w:ascii="Meiryo UI" w:hAnsi="Meiryo UI"/>
                <w:sz w:val="18"/>
              </w:rPr>
              <w:t>+0%</w:t>
            </w:r>
          </w:p>
        </w:tc>
      </w:tr>
    </w:tbl>
    <w:p/>
    <w:p>
      <w:r>
        <w:rPr>
          <w:rFonts w:ascii="Meiryo UI" w:hAnsi="Meiryo UI"/>
          <w:sz w:val="20"/>
        </w:rPr>
        <w:t>→ 基本シナリオ目標株価: ¥6,500（12〜18ヶ月）、上昇余地+26.9%</w:t>
      </w:r>
    </w:p>
    <w:p/>
    <w:p>
      <w:r>
        <w:t>──────────────────────────────────────────────────</w:t>
      </w:r>
    </w:p>
    <w:p/>
    <w:p>
      <w:pPr>
        <w:pStyle w:val="Heading2"/>
      </w:pPr>
      <w:r>
        <w:rPr>
          <w:rFonts w:ascii="Meiryo UI" w:hAnsi="Meiryo UI"/>
          <w:color w:val="2E74B5"/>
        </w:rPr>
        <w:t>5. 中期経営計画 E-Plan2028（2026/2/13発表）</w:t>
      </w:r>
    </w:p>
    <w:p/>
    <w:p>
      <w:pPr>
        <w:pStyle w:val="Heading3"/>
      </w:pPr>
      <w:r>
        <w:rPr>
          <w:rFonts w:ascii="Meiryo UI" w:hAnsi="Meiryo UI"/>
          <w:color w:val="2E74B5"/>
        </w:rPr>
        <w:t>FY2028年度財務目標</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FY2025実績</w:t>
            </w:r>
          </w:p>
        </w:tc>
        <w:tc>
          <w:tcPr>
            <w:tcW w:type="dxa" w:w="2351"/>
            <w:shd w:val="clear" w:color="auto" w:fill="2E74B5"/>
          </w:tcPr>
          <w:p>
            <w:r>
              <w:rPr>
                <w:rFonts w:ascii="Meiryo UI" w:hAnsi="Meiryo UI"/>
                <w:b/>
                <w:color w:val="FFFFFF"/>
                <w:sz w:val="18"/>
              </w:rPr>
              <w:t>FY2028目標</w:t>
            </w:r>
          </w:p>
        </w:tc>
        <w:tc>
          <w:tcPr>
            <w:tcW w:type="dxa" w:w="2351"/>
            <w:shd w:val="clear" w:color="auto" w:fill="2E74B5"/>
          </w:tcPr>
          <w:p>
            <w:r>
              <w:rPr>
                <w:rFonts w:ascii="Meiryo UI" w:hAnsi="Meiryo UI"/>
                <w:b/>
                <w:color w:val="FFFFFF"/>
                <w:sz w:val="18"/>
              </w:rPr>
              <w:t>改善幅</w:t>
            </w:r>
          </w:p>
        </w:tc>
      </w:tr>
      <w:tr>
        <w:tc>
          <w:tcPr>
            <w:tcW w:type="dxa" w:w="2351"/>
          </w:tcPr>
          <w:p>
            <w:r>
              <w:rPr>
                <w:rFonts w:ascii="Meiryo UI" w:hAnsi="Meiryo UI"/>
                <w:sz w:val="18"/>
              </w:rPr>
              <w:t>売上収益</w:t>
            </w:r>
          </w:p>
        </w:tc>
        <w:tc>
          <w:tcPr>
            <w:tcW w:type="dxa" w:w="2351"/>
          </w:tcPr>
          <w:p>
            <w:r>
              <w:rPr>
                <w:rFonts w:ascii="Meiryo UI" w:hAnsi="Meiryo UI"/>
                <w:sz w:val="18"/>
              </w:rPr>
              <w:t>9,582億</w:t>
            </w:r>
          </w:p>
        </w:tc>
        <w:tc>
          <w:tcPr>
            <w:tcW w:type="dxa" w:w="2351"/>
          </w:tcPr>
          <w:p>
            <w:r>
              <w:rPr>
                <w:rFonts w:ascii="Meiryo UI" w:hAnsi="Meiryo UI"/>
                <w:sz w:val="18"/>
              </w:rPr>
              <w:t>1.2兆円規模</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11.9%</w:t>
            </w:r>
          </w:p>
        </w:tc>
        <w:tc>
          <w:tcPr>
            <w:tcW w:type="dxa" w:w="2351"/>
            <w:shd w:val="clear" w:color="auto" w:fill="DDEBF7"/>
          </w:tcPr>
          <w:p>
            <w:r>
              <w:rPr>
                <w:rFonts w:ascii="Meiryo UI" w:hAnsi="Meiryo UI"/>
                <w:sz w:val="18"/>
              </w:rPr>
              <w:t>14.5%以上</w:t>
            </w:r>
          </w:p>
        </w:tc>
        <w:tc>
          <w:tcPr>
            <w:tcW w:type="dxa" w:w="2351"/>
            <w:shd w:val="clear" w:color="auto" w:fill="DDEBF7"/>
          </w:tcPr>
          <w:p>
            <w:r>
              <w:rPr>
                <w:rFonts w:ascii="Meiryo UI" w:hAnsi="Meiryo UI"/>
                <w:sz w:val="18"/>
              </w:rPr>
              <w:t>+2.6pt</w:t>
            </w:r>
          </w:p>
        </w:tc>
      </w:tr>
      <w:tr>
        <w:tc>
          <w:tcPr>
            <w:tcW w:type="dxa" w:w="2351"/>
          </w:tcPr>
          <w:p>
            <w:r>
              <w:rPr>
                <w:rFonts w:ascii="Meiryo UI" w:hAnsi="Meiryo UI"/>
                <w:sz w:val="18"/>
              </w:rPr>
              <w:t>ROIC</w:t>
            </w:r>
          </w:p>
        </w:tc>
        <w:tc>
          <w:tcPr>
            <w:tcW w:type="dxa" w:w="2351"/>
          </w:tcPr>
          <w:p>
            <w:r>
              <w:rPr>
                <w:rFonts w:ascii="Meiryo UI" w:hAnsi="Meiryo UI"/>
                <w:sz w:val="18"/>
              </w:rPr>
              <w:t>—</w:t>
            </w:r>
          </w:p>
        </w:tc>
        <w:tc>
          <w:tcPr>
            <w:tcW w:type="dxa" w:w="2351"/>
          </w:tcPr>
          <w:p>
            <w:r>
              <w:rPr>
                <w:rFonts w:ascii="Meiryo UI" w:hAnsi="Meiryo UI"/>
                <w:sz w:val="18"/>
              </w:rPr>
              <w:t>13%以上</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15.6%</w:t>
            </w:r>
          </w:p>
        </w:tc>
        <w:tc>
          <w:tcPr>
            <w:tcW w:type="dxa" w:w="2351"/>
            <w:shd w:val="clear" w:color="auto" w:fill="DDEBF7"/>
          </w:tcPr>
          <w:p>
            <w:r>
              <w:rPr>
                <w:rFonts w:ascii="Meiryo UI" w:hAnsi="Meiryo UI"/>
                <w:sz w:val="18"/>
              </w:rPr>
              <w:t>18%以上</w:t>
            </w:r>
          </w:p>
        </w:tc>
        <w:tc>
          <w:tcPr>
            <w:tcW w:type="dxa" w:w="2351"/>
            <w:shd w:val="clear" w:color="auto" w:fill="DDEBF7"/>
          </w:tcPr>
          <w:p>
            <w:r>
              <w:rPr>
                <w:rFonts w:ascii="Meiryo UI" w:hAnsi="Meiryo UI"/>
                <w:sz w:val="18"/>
              </w:rPr>
              <w:t>+2.4pt</w:t>
            </w:r>
          </w:p>
        </w:tc>
      </w:tr>
      <w:tr>
        <w:tc>
          <w:tcPr>
            <w:tcW w:type="dxa" w:w="2351"/>
          </w:tcPr>
          <w:p>
            <w:r>
              <w:rPr>
                <w:rFonts w:ascii="Meiryo UI" w:hAnsi="Meiryo UI"/>
                <w:sz w:val="18"/>
              </w:rPr>
              <w:t>時価総額</w:t>
            </w:r>
          </w:p>
        </w:tc>
        <w:tc>
          <w:tcPr>
            <w:tcW w:type="dxa" w:w="2351"/>
          </w:tcPr>
          <w:p>
            <w:r>
              <w:rPr>
                <w:rFonts w:ascii="Meiryo UI" w:hAnsi="Meiryo UI"/>
                <w:sz w:val="18"/>
              </w:rPr>
              <w:t>2.3兆</w:t>
            </w:r>
          </w:p>
        </w:tc>
        <w:tc>
          <w:tcPr>
            <w:tcW w:type="dxa" w:w="2351"/>
          </w:tcPr>
          <w:p>
            <w:r>
              <w:rPr>
                <w:rFonts w:ascii="Meiryo UI" w:hAnsi="Meiryo UI"/>
                <w:sz w:val="18"/>
              </w:rPr>
              <w:t>3兆円規模</w:t>
            </w:r>
          </w:p>
        </w:tc>
        <w:tc>
          <w:tcPr>
            <w:tcW w:type="dxa" w:w="2351"/>
          </w:tcPr>
          <w:p>
            <w:r>
              <w:rPr>
                <w:rFonts w:ascii="Meiryo UI" w:hAnsi="Meiryo UI"/>
                <w:sz w:val="18"/>
              </w:rPr>
              <w:t>+30%超</w:t>
            </w:r>
          </w:p>
        </w:tc>
      </w:tr>
    </w:tbl>
    <w:p/>
    <w:p>
      <w:pPr>
        <w:pStyle w:val="Heading3"/>
      </w:pPr>
      <w:r>
        <w:rPr>
          <w:rFonts w:ascii="Meiryo UI" w:hAnsi="Meiryo UI"/>
          <w:color w:val="2E74B5"/>
        </w:rPr>
        <w:t>3年累計キャッシュアロケーション</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用途</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営業CF創出</w:t>
            </w:r>
          </w:p>
        </w:tc>
        <w:tc>
          <w:tcPr>
            <w:tcW w:type="dxa" w:w="4703"/>
          </w:tcPr>
          <w:p>
            <w:r>
              <w:rPr>
                <w:rFonts w:ascii="Meiryo UI" w:hAnsi="Meiryo UI"/>
                <w:sz w:val="18"/>
              </w:rPr>
              <w:t>4,000億円</w:t>
            </w:r>
          </w:p>
        </w:tc>
      </w:tr>
      <w:tr>
        <w:tc>
          <w:tcPr>
            <w:tcW w:type="dxa" w:w="4703"/>
            <w:shd w:val="clear" w:color="auto" w:fill="DDEBF7"/>
          </w:tcPr>
          <w:p>
            <w:r>
              <w:rPr>
                <w:rFonts w:ascii="Meiryo UI" w:hAnsi="Meiryo UI"/>
                <w:sz w:val="18"/>
              </w:rPr>
              <w:t>成長投資合計</w:t>
            </w:r>
          </w:p>
        </w:tc>
        <w:tc>
          <w:tcPr>
            <w:tcW w:type="dxa" w:w="4703"/>
            <w:shd w:val="clear" w:color="auto" w:fill="DDEBF7"/>
          </w:tcPr>
          <w:p>
            <w:r>
              <w:rPr>
                <w:rFonts w:ascii="Meiryo UI" w:hAnsi="Meiryo UI"/>
                <w:sz w:val="18"/>
              </w:rPr>
              <w:t>2,600億円</w:t>
            </w:r>
          </w:p>
        </w:tc>
      </w:tr>
      <w:tr>
        <w:tc>
          <w:tcPr>
            <w:tcW w:type="dxa" w:w="4703"/>
          </w:tcPr>
          <w:p>
            <w:r>
              <w:rPr>
                <w:rFonts w:ascii="Meiryo UI" w:hAnsi="Meiryo UI"/>
                <w:sz w:val="18"/>
              </w:rPr>
              <w:t>うちR&amp;D費</w:t>
            </w:r>
          </w:p>
        </w:tc>
        <w:tc>
          <w:tcPr>
            <w:tcW w:type="dxa" w:w="4703"/>
          </w:tcPr>
          <w:p>
            <w:r>
              <w:rPr>
                <w:rFonts w:ascii="Meiryo UI" w:hAnsi="Meiryo UI"/>
                <w:sz w:val="18"/>
              </w:rPr>
              <w:t>800億円</w:t>
            </w:r>
          </w:p>
        </w:tc>
      </w:tr>
      <w:tr>
        <w:tc>
          <w:tcPr>
            <w:tcW w:type="dxa" w:w="4703"/>
            <w:shd w:val="clear" w:color="auto" w:fill="DDEBF7"/>
          </w:tcPr>
          <w:p>
            <w:r>
              <w:rPr>
                <w:rFonts w:ascii="Meiryo UI" w:hAnsi="Meiryo UI"/>
                <w:sz w:val="18"/>
              </w:rPr>
              <w:t>基盤投資</w:t>
            </w:r>
          </w:p>
        </w:tc>
        <w:tc>
          <w:tcPr>
            <w:tcW w:type="dxa" w:w="4703"/>
            <w:shd w:val="clear" w:color="auto" w:fill="DDEBF7"/>
          </w:tcPr>
          <w:p>
            <w:r>
              <w:rPr>
                <w:rFonts w:ascii="Meiryo UI" w:hAnsi="Meiryo UI"/>
                <w:sz w:val="18"/>
              </w:rPr>
              <w:t>600億円</w:t>
            </w:r>
          </w:p>
        </w:tc>
      </w:tr>
      <w:tr>
        <w:tc>
          <w:tcPr>
            <w:tcW w:type="dxa" w:w="4703"/>
          </w:tcPr>
          <w:p>
            <w:r>
              <w:rPr>
                <w:rFonts w:ascii="Meiryo UI" w:hAnsi="Meiryo UI"/>
                <w:sz w:val="18"/>
              </w:rPr>
              <w:t>→ 株主還元</w:t>
            </w:r>
          </w:p>
        </w:tc>
        <w:tc>
          <w:tcPr>
            <w:tcW w:type="dxa" w:w="4703"/>
          </w:tcPr>
          <w:p>
            <w:r>
              <w:rPr>
                <w:rFonts w:ascii="Meiryo UI" w:hAnsi="Meiryo UI"/>
                <w:sz w:val="18"/>
              </w:rPr>
              <w:t>残余（増配継続方針）</w:t>
            </w:r>
          </w:p>
        </w:tc>
      </w:tr>
    </w:tbl>
    <w:p/>
    <w:p>
      <w:pPr>
        <w:pStyle w:val="Heading3"/>
      </w:pPr>
      <w:r>
        <w:rPr>
          <w:rFonts w:ascii="Meiryo UI" w:hAnsi="Meiryo UI"/>
          <w:color w:val="2E74B5"/>
        </w:rPr>
        <w:t>E-Vision2035（長期ビジョン）</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目標</w:t>
            </w:r>
          </w:p>
        </w:tc>
      </w:tr>
      <w:tr>
        <w:tc>
          <w:tcPr>
            <w:tcW w:type="dxa" w:w="4703"/>
          </w:tcPr>
          <w:p>
            <w:r>
              <w:rPr>
                <w:rFonts w:ascii="Meiryo UI" w:hAnsi="Meiryo UI"/>
                <w:sz w:val="18"/>
              </w:rPr>
              <w:t>売上収益</w:t>
            </w:r>
          </w:p>
        </w:tc>
        <w:tc>
          <w:tcPr>
            <w:tcW w:type="dxa" w:w="4703"/>
          </w:tcPr>
          <w:p>
            <w:r>
              <w:rPr>
                <w:rFonts w:ascii="Meiryo UI" w:hAnsi="Meiryo UI"/>
                <w:sz w:val="18"/>
              </w:rPr>
              <w:t>2兆円以上</w:t>
            </w:r>
          </w:p>
        </w:tc>
      </w:tr>
      <w:tr>
        <w:tc>
          <w:tcPr>
            <w:tcW w:type="dxa" w:w="4703"/>
            <w:shd w:val="clear" w:color="auto" w:fill="DDEBF7"/>
          </w:tcPr>
          <w:p>
            <w:r>
              <w:rPr>
                <w:rFonts w:ascii="Meiryo UI" w:hAnsi="Meiryo UI"/>
                <w:sz w:val="18"/>
              </w:rPr>
              <w:t>営業利益率</w:t>
            </w:r>
          </w:p>
        </w:tc>
        <w:tc>
          <w:tcPr>
            <w:tcW w:type="dxa" w:w="4703"/>
            <w:shd w:val="clear" w:color="auto" w:fill="DDEBF7"/>
          </w:tcPr>
          <w:p>
            <w:r>
              <w:rPr>
                <w:rFonts w:ascii="Meiryo UI" w:hAnsi="Meiryo UI"/>
                <w:sz w:val="18"/>
              </w:rPr>
              <w:t>20%以上</w:t>
            </w:r>
          </w:p>
        </w:tc>
      </w:tr>
      <w:tr>
        <w:tc>
          <w:tcPr>
            <w:tcW w:type="dxa" w:w="4703"/>
          </w:tcPr>
          <w:p>
            <w:r>
              <w:rPr>
                <w:rFonts w:ascii="Meiryo UI" w:hAnsi="Meiryo UI"/>
                <w:sz w:val="18"/>
              </w:rPr>
              <w:t>ROIC</w:t>
            </w:r>
          </w:p>
        </w:tc>
        <w:tc>
          <w:tcPr>
            <w:tcW w:type="dxa" w:w="4703"/>
          </w:tcPr>
          <w:p>
            <w:r>
              <w:rPr>
                <w:rFonts w:ascii="Meiryo UI" w:hAnsi="Meiryo UI"/>
                <w:sz w:val="18"/>
              </w:rPr>
              <w:t>20%以上</w:t>
            </w:r>
          </w:p>
        </w:tc>
      </w:tr>
      <w:tr>
        <w:tc>
          <w:tcPr>
            <w:tcW w:type="dxa" w:w="4703"/>
            <w:shd w:val="clear" w:color="auto" w:fill="DDEBF7"/>
          </w:tcPr>
          <w:p>
            <w:r>
              <w:rPr>
                <w:rFonts w:ascii="Meiryo UI" w:hAnsi="Meiryo UI"/>
                <w:sz w:val="18"/>
              </w:rPr>
              <w:t>ROE</w:t>
            </w:r>
          </w:p>
        </w:tc>
        <w:tc>
          <w:tcPr>
            <w:tcW w:type="dxa" w:w="4703"/>
            <w:shd w:val="clear" w:color="auto" w:fill="DDEBF7"/>
          </w:tcPr>
          <w:p>
            <w:r>
              <w:rPr>
                <w:rFonts w:ascii="Meiryo UI" w:hAnsi="Meiryo UI"/>
                <w:sz w:val="18"/>
              </w:rPr>
              <w:t>25%以上</w:t>
            </w:r>
          </w:p>
        </w:tc>
      </w:tr>
      <w:tr>
        <w:tc>
          <w:tcPr>
            <w:tcW w:type="dxa" w:w="4703"/>
          </w:tcPr>
          <w:p>
            <w:r>
              <w:rPr>
                <w:rFonts w:ascii="Meiryo UI" w:hAnsi="Meiryo UI"/>
                <w:sz w:val="18"/>
              </w:rPr>
              <w:t>時価総額</w:t>
            </w:r>
          </w:p>
        </w:tc>
        <w:tc>
          <w:tcPr>
            <w:tcW w:type="dxa" w:w="4703"/>
          </w:tcPr>
          <w:p>
            <w:r>
              <w:rPr>
                <w:rFonts w:ascii="Meiryo UI" w:hAnsi="Meiryo UI"/>
                <w:sz w:val="18"/>
              </w:rPr>
              <w:t>6兆円規模</w:t>
            </w:r>
          </w:p>
        </w:tc>
      </w:tr>
    </w:tbl>
    <w:p/>
    <w:p>
      <w:r>
        <w:t>──────────────────────────────────────────────────</w:t>
      </w:r>
    </w:p>
    <w:p/>
    <w:p>
      <w:pPr>
        <w:pStyle w:val="Heading2"/>
      </w:pPr>
      <w:r>
        <w:rPr>
          <w:rFonts w:ascii="Meiryo UI" w:hAnsi="Meiryo UI"/>
          <w:color w:val="2E74B5"/>
        </w:rPr>
        <w:t>6. CMP競争環境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Applied Materials（AMAT）</w:t>
            </w:r>
          </w:p>
        </w:tc>
        <w:tc>
          <w:tcPr>
            <w:tcW w:type="dxa" w:w="3135"/>
            <w:shd w:val="clear" w:color="auto" w:fill="2E74B5"/>
          </w:tcPr>
          <w:p>
            <w:r>
              <w:rPr>
                <w:rFonts w:ascii="Meiryo UI" w:hAnsi="Meiryo UI"/>
                <w:b/>
                <w:color w:val="FFFFFF"/>
                <w:sz w:val="18"/>
              </w:rPr>
              <w:t>荏原製作所</w:t>
            </w:r>
          </w:p>
        </w:tc>
      </w:tr>
      <w:tr>
        <w:tc>
          <w:tcPr>
            <w:tcW w:type="dxa" w:w="3135"/>
          </w:tcPr>
          <w:p>
            <w:r>
              <w:rPr>
                <w:rFonts w:ascii="Meiryo UI" w:hAnsi="Meiryo UI"/>
                <w:sz w:val="18"/>
              </w:rPr>
              <w:t>世界シェア</w:t>
            </w:r>
          </w:p>
        </w:tc>
        <w:tc>
          <w:tcPr>
            <w:tcW w:type="dxa" w:w="3135"/>
          </w:tcPr>
          <w:p>
            <w:r>
              <w:rPr>
                <w:rFonts w:ascii="Meiryo UI" w:hAnsi="Meiryo UI"/>
                <w:sz w:val="18"/>
              </w:rPr>
              <w:t>52.6%</w:t>
            </w:r>
          </w:p>
        </w:tc>
        <w:tc>
          <w:tcPr>
            <w:tcW w:type="dxa" w:w="3135"/>
          </w:tcPr>
          <w:p>
            <w:r>
              <w:rPr>
                <w:rFonts w:ascii="Meiryo UI" w:hAnsi="Meiryo UI"/>
                <w:sz w:val="18"/>
              </w:rPr>
              <w:t>37.0%</w:t>
            </w:r>
          </w:p>
        </w:tc>
      </w:tr>
      <w:tr>
        <w:tc>
          <w:tcPr>
            <w:tcW w:type="dxa" w:w="3135"/>
            <w:shd w:val="clear" w:color="auto" w:fill="DDEBF7"/>
          </w:tcPr>
          <w:p>
            <w:r>
              <w:rPr>
                <w:rFonts w:ascii="Meiryo UI" w:hAnsi="Meiryo UI"/>
                <w:sz w:val="18"/>
              </w:rPr>
              <w:t>特許総合力</w:t>
            </w:r>
          </w:p>
        </w:tc>
        <w:tc>
          <w:tcPr>
            <w:tcW w:type="dxa" w:w="3135"/>
            <w:shd w:val="clear" w:color="auto" w:fill="DDEBF7"/>
          </w:tcPr>
          <w:p>
            <w:r>
              <w:rPr>
                <w:rFonts w:ascii="Meiryo UI" w:hAnsi="Meiryo UI"/>
                <w:sz w:val="18"/>
              </w:rPr>
              <w:t>1位</w:t>
            </w:r>
          </w:p>
        </w:tc>
        <w:tc>
          <w:tcPr>
            <w:tcW w:type="dxa" w:w="3135"/>
            <w:shd w:val="clear" w:color="auto" w:fill="DDEBF7"/>
          </w:tcPr>
          <w:p>
            <w:r>
              <w:rPr>
                <w:rFonts w:ascii="Meiryo UI" w:hAnsi="Meiryo UI"/>
                <w:sz w:val="18"/>
              </w:rPr>
              <w:t>2位</w:t>
            </w:r>
          </w:p>
        </w:tc>
      </w:tr>
      <w:tr>
        <w:tc>
          <w:tcPr>
            <w:tcW w:type="dxa" w:w="3135"/>
          </w:tcPr>
          <w:p>
            <w:r>
              <w:rPr>
                <w:rFonts w:ascii="Meiryo UI" w:hAnsi="Meiryo UI"/>
                <w:sz w:val="18"/>
              </w:rPr>
              <w:t>強み領域</w:t>
            </w:r>
          </w:p>
        </w:tc>
        <w:tc>
          <w:tcPr>
            <w:tcW w:type="dxa" w:w="3135"/>
          </w:tcPr>
          <w:p>
            <w:r>
              <w:rPr>
                <w:rFonts w:ascii="Meiryo UI" w:hAnsi="Meiryo UI"/>
                <w:sz w:val="18"/>
              </w:rPr>
              <w:t>酸化膜CMP・メモリ全般</w:t>
            </w:r>
          </w:p>
        </w:tc>
        <w:tc>
          <w:tcPr>
            <w:tcW w:type="dxa" w:w="3135"/>
          </w:tcPr>
          <w:p>
            <w:r>
              <w:rPr>
                <w:rFonts w:ascii="Meiryo UI" w:hAnsi="Meiryo UI"/>
                <w:sz w:val="18"/>
              </w:rPr>
              <w:t>ロジック・メタル系CMP</w:t>
            </w:r>
          </w:p>
        </w:tc>
      </w:tr>
      <w:tr>
        <w:tc>
          <w:tcPr>
            <w:tcW w:type="dxa" w:w="3135"/>
            <w:shd w:val="clear" w:color="auto" w:fill="DDEBF7"/>
          </w:tcPr>
          <w:p>
            <w:r>
              <w:rPr>
                <w:rFonts w:ascii="Meiryo UI" w:hAnsi="Meiryo UI"/>
                <w:sz w:val="18"/>
              </w:rPr>
              <w:t>弱み領域</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酸化膜CMP（開発中）</w:t>
            </w:r>
          </w:p>
        </w:tc>
      </w:tr>
      <w:tr>
        <w:tc>
          <w:tcPr>
            <w:tcW w:type="dxa" w:w="3135"/>
          </w:tcPr>
          <w:p>
            <w:r>
              <w:rPr>
                <w:rFonts w:ascii="Meiryo UI" w:hAnsi="Meiryo UI"/>
                <w:sz w:val="18"/>
              </w:rPr>
              <w:t>2030年目標</w:t>
            </w:r>
          </w:p>
        </w:tc>
        <w:tc>
          <w:tcPr>
            <w:tcW w:type="dxa" w:w="3135"/>
          </w:tcPr>
          <w:p>
            <w:r>
              <w:rPr>
                <w:rFonts w:ascii="Meiryo UI" w:hAnsi="Meiryo UI"/>
                <w:sz w:val="18"/>
              </w:rPr>
              <w:t>首位維持</w:t>
            </w:r>
          </w:p>
        </w:tc>
        <w:tc>
          <w:tcPr>
            <w:tcW w:type="dxa" w:w="3135"/>
          </w:tcPr>
          <w:p>
            <w:r>
              <w:rPr>
                <w:rFonts w:ascii="Meiryo UI" w:hAnsi="Meiryo UI"/>
                <w:sz w:val="18"/>
              </w:rPr>
              <w:t>シェア首位奪取</w:t>
            </w:r>
          </w:p>
        </w:tc>
      </w:tr>
    </w:tbl>
    <w:p/>
    <w:p>
      <w:r>
        <w:rPr>
          <w:rFonts w:ascii="Meiryo UI" w:hAnsi="Meiryo UI"/>
          <w:sz w:val="20"/>
        </w:rPr>
        <w:t>荏原の差別化要因:</w:t>
      </w:r>
    </w:p>
    <w:p>
      <w:pPr>
        <w:pStyle w:val="ListNumber"/>
      </w:pPr>
      <w:r>
        <w:rPr>
          <w:rFonts w:ascii="Meiryo UI" w:hAnsi="Meiryo UI"/>
          <w:sz w:val="20"/>
        </w:rPr>
        <w:t>ロジック向けメタル系CMPでAMATより技術的優位性</w:t>
      </w:r>
    </w:p>
    <w:p>
      <w:pPr>
        <w:pStyle w:val="ListNumber"/>
      </w:pPr>
      <w:r>
        <w:rPr>
          <w:rFonts w:ascii="Meiryo UI" w:hAnsi="Meiryo UI"/>
          <w:sz w:val="20"/>
        </w:rPr>
        <w:t>熊本K3棟稼働でCapacity1.5倍 → 受注機会損失を削減</w:t>
      </w:r>
    </w:p>
    <w:p>
      <w:pPr>
        <w:pStyle w:val="ListNumber"/>
      </w:pPr>
      <w:r>
        <w:rPr>
          <w:rFonts w:ascii="Meiryo UI" w:hAnsi="Meiryo UI"/>
          <w:sz w:val="20"/>
        </w:rPr>
        <w:t>酸化膜CMPモニタリング技術の開発完了めど → メモリ向け拡大に必須</w:t>
      </w:r>
    </w:p>
    <w:p>
      <w:pPr>
        <w:pStyle w:val="ListNumber"/>
      </w:pPr>
      <w:r>
        <w:rPr>
          <w:rFonts w:ascii="Meiryo UI" w:hAnsi="Meiryo UI"/>
          <w:sz w:val="20"/>
        </w:rPr>
        <w:t>ドライ真空ポンプ（台湾工場）でCMPエコシステムの垂直統合強化</w:t>
      </w:r>
    </w:p>
    <w:p/>
    <w:p>
      <w:r>
        <w:rPr>
          <w:rFonts w:ascii="Meiryo UI" w:hAnsi="Meiryo UI"/>
          <w:sz w:val="20"/>
        </w:rPr>
        <w:t>シェア首位への課題:</w:t>
      </w:r>
    </w:p>
    <w:p>
      <w:pPr>
        <w:pStyle w:val="ListBullet"/>
      </w:pPr>
      <w:r>
        <w:rPr>
          <w:rFonts w:ascii="Meiryo UI" w:hAnsi="Meiryo UI"/>
          <w:sz w:val="20"/>
        </w:rPr>
        <w:t>AMATは15ptのリード。2030年首位は高いハードル</w:t>
      </w:r>
    </w:p>
    <w:p>
      <w:pPr>
        <w:pStyle w:val="ListBullet"/>
      </w:pPr>
      <w:r>
        <w:rPr>
          <w:rFonts w:ascii="Meiryo UI" w:hAnsi="Meiryo UI"/>
          <w:sz w:val="20"/>
        </w:rPr>
        <w:t>メモリ向け酸化膜CMPの技術確立が先決</w:t>
      </w:r>
    </w:p>
    <w:p>
      <w:pPr>
        <w:pStyle w:val="ListBullet"/>
      </w:pPr>
      <w:r>
        <w:rPr>
          <w:rFonts w:ascii="Meiryo UI" w:hAnsi="Meiryo UI"/>
          <w:sz w:val="20"/>
        </w:rPr>
        <w:t>TSMC・Samsung・インテルの資本投資サイクルの継続が前提</w:t>
      </w:r>
    </w:p>
    <w:p/>
    <w:p>
      <w:r>
        <w:t>──────────────────────────────────────────────────</w:t>
      </w:r>
    </w:p>
    <w:p/>
    <w:p>
      <w:pPr>
        <w:pStyle w:val="Heading2"/>
      </w:pPr>
      <w:r>
        <w:rPr>
          <w:rFonts w:ascii="Meiryo UI" w:hAnsi="Meiryo UI"/>
          <w:color w:val="2E74B5"/>
        </w:rPr>
        <w:t>7. リスクシナリオ（定量ストレステスト）</w:t>
      </w:r>
    </w:p>
    <w:p/>
    <w:p>
      <w:pPr>
        <w:pStyle w:val="Heading3"/>
      </w:pPr>
      <w:r>
        <w:rPr>
          <w:rFonts w:ascii="Meiryo UI" w:hAnsi="Meiryo UI"/>
          <w:color w:val="2E74B5"/>
        </w:rPr>
        <w:t>シナリオA（強気）: ホルムズ正常化×DRAM/NAND市況好調</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想定</w:t>
            </w:r>
          </w:p>
        </w:tc>
        <w:tc>
          <w:tcPr>
            <w:tcW w:type="dxa" w:w="4703"/>
            <w:shd w:val="clear" w:color="auto" w:fill="2E74B5"/>
          </w:tcPr>
          <w:p>
            <w:r>
              <w:rPr>
                <w:rFonts w:ascii="Meiryo UI" w:hAnsi="Meiryo UI"/>
                <w:b/>
                <w:color w:val="FFFFFF"/>
                <w:sz w:val="18"/>
              </w:rPr>
              <w:t>FY26 OP想定</w:t>
            </w:r>
          </w:p>
        </w:tc>
      </w:tr>
      <w:tr>
        <w:tc>
          <w:tcPr>
            <w:tcW w:type="dxa" w:w="4703"/>
          </w:tcPr>
          <w:p>
            <w:r>
              <w:rPr>
                <w:rFonts w:ascii="Meiryo UI" w:hAnsi="Meiryo UI"/>
                <w:sz w:val="18"/>
              </w:rPr>
              <w:t>CMP装置フル稼働+DRAM需要拡大</w:t>
            </w:r>
          </w:p>
        </w:tc>
        <w:tc>
          <w:tcPr>
            <w:tcW w:type="dxa" w:w="4703"/>
          </w:tcPr>
          <w:p>
            <w:r>
              <w:rPr>
                <w:rFonts w:ascii="Meiryo UI" w:hAnsi="Meiryo UI"/>
                <w:sz w:val="18"/>
              </w:rPr>
              <w:t>1,300億〜1,350億円</w:t>
            </w:r>
          </w:p>
        </w:tc>
      </w:tr>
      <w:tr>
        <w:tc>
          <w:tcPr>
            <w:tcW w:type="dxa" w:w="4703"/>
            <w:shd w:val="clear" w:color="auto" w:fill="DDEBF7"/>
          </w:tcPr>
          <w:p>
            <w:r>
              <w:rPr>
                <w:rFonts w:ascii="Meiryo UI" w:hAnsi="Meiryo UI"/>
                <w:sz w:val="18"/>
              </w:rPr>
              <w:t>前提</w:t>
            </w:r>
          </w:p>
        </w:tc>
        <w:tc>
          <w:tcPr>
            <w:tcW w:type="dxa" w:w="4703"/>
            <w:shd w:val="clear" w:color="auto" w:fill="DDEBF7"/>
          </w:tcPr>
          <w:p>
            <w:r>
              <w:rPr>
                <w:rFonts w:ascii="Meiryo UI" w:hAnsi="Meiryo UI"/>
                <w:sz w:val="18"/>
              </w:rPr>
              <w:t>メモリ価格堅調・熊本K3棟フル稼働・関税影響なし</w:t>
            </w:r>
          </w:p>
        </w:tc>
      </w:tr>
      <w:tr>
        <w:tc>
          <w:tcPr>
            <w:tcW w:type="dxa" w:w="4703"/>
          </w:tcPr>
          <w:p>
            <w:r>
              <w:rPr>
                <w:rFonts w:ascii="Meiryo UI" w:hAnsi="Meiryo UI"/>
                <w:sz w:val="18"/>
              </w:rPr>
              <w:t>株価インパクト</w:t>
            </w:r>
          </w:p>
        </w:tc>
        <w:tc>
          <w:tcPr>
            <w:tcW w:type="dxa" w:w="4703"/>
          </w:tcPr>
          <w:p>
            <w:r>
              <w:rPr>
                <w:rFonts w:ascii="Meiryo UI" w:hAnsi="Meiryo UI"/>
                <w:sz w:val="18"/>
              </w:rPr>
              <w:t>¥5,700〜6,000円</w:t>
            </w:r>
          </w:p>
        </w:tc>
      </w:tr>
    </w:tbl>
    <w:p/>
    <w:p>
      <w:pPr>
        <w:pStyle w:val="Heading3"/>
      </w:pPr>
      <w:r>
        <w:rPr>
          <w:rFonts w:ascii="Meiryo UI" w:hAnsi="Meiryo UI"/>
          <w:color w:val="2E74B5"/>
        </w:rPr>
        <w:t>シナリオB（基本）: 会社予想通り</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想定</w:t>
            </w:r>
          </w:p>
        </w:tc>
        <w:tc>
          <w:tcPr>
            <w:tcW w:type="dxa" w:w="4703"/>
            <w:shd w:val="clear" w:color="auto" w:fill="2E74B5"/>
          </w:tcPr>
          <w:p>
            <w:r>
              <w:rPr>
                <w:rFonts w:ascii="Meiryo UI" w:hAnsi="Meiryo UI"/>
                <w:b/>
                <w:color w:val="FFFFFF"/>
                <w:sz w:val="18"/>
              </w:rPr>
              <w:t>FY26 OP想定</w:t>
            </w:r>
          </w:p>
        </w:tc>
      </w:tr>
      <w:tr>
        <w:tc>
          <w:tcPr>
            <w:tcW w:type="dxa" w:w="4703"/>
          </w:tcPr>
          <w:p>
            <w:r>
              <w:rPr>
                <w:rFonts w:ascii="Meiryo UI" w:hAnsi="Meiryo UI"/>
                <w:sz w:val="18"/>
              </w:rPr>
              <w:t>会社予想通り</w:t>
            </w:r>
          </w:p>
        </w:tc>
        <w:tc>
          <w:tcPr>
            <w:tcW w:type="dxa" w:w="4703"/>
          </w:tcPr>
          <w:p>
            <w:r>
              <w:rPr>
                <w:rFonts w:ascii="Meiryo UI" w:hAnsi="Meiryo UI"/>
                <w:sz w:val="18"/>
              </w:rPr>
              <w:t>1,250億円</w:t>
            </w:r>
          </w:p>
        </w:tc>
      </w:tr>
      <w:tr>
        <w:tc>
          <w:tcPr>
            <w:tcW w:type="dxa" w:w="4703"/>
            <w:shd w:val="clear" w:color="auto" w:fill="DDEBF7"/>
          </w:tcPr>
          <w:p>
            <w:r>
              <w:rPr>
                <w:rFonts w:ascii="Meiryo UI" w:hAnsi="Meiryo UI"/>
                <w:sz w:val="18"/>
              </w:rPr>
              <w:t>前提</w:t>
            </w:r>
          </w:p>
        </w:tc>
        <w:tc>
          <w:tcPr>
            <w:tcW w:type="dxa" w:w="4703"/>
            <w:shd w:val="clear" w:color="auto" w:fill="DDEBF7"/>
          </w:tcPr>
          <w:p>
            <w:r>
              <w:rPr>
                <w:rFonts w:ascii="Meiryo UI" w:hAnsi="Meiryo UI"/>
                <w:sz w:val="18"/>
              </w:rPr>
              <w:t>関税▲18億、中国軟調、CMP堅調</w:t>
            </w:r>
          </w:p>
        </w:tc>
      </w:tr>
      <w:tr>
        <w:tc>
          <w:tcPr>
            <w:tcW w:type="dxa" w:w="4703"/>
          </w:tcPr>
          <w:p>
            <w:r>
              <w:rPr>
                <w:rFonts w:ascii="Meiryo UI" w:hAnsi="Meiryo UI"/>
                <w:sz w:val="18"/>
              </w:rPr>
              <w:t>株価インパクト</w:t>
            </w:r>
          </w:p>
        </w:tc>
        <w:tc>
          <w:tcPr>
            <w:tcW w:type="dxa" w:w="4703"/>
          </w:tcPr>
          <w:p>
            <w:r>
              <w:rPr>
                <w:rFonts w:ascii="Meiryo UI" w:hAnsi="Meiryo UI"/>
                <w:sz w:val="18"/>
              </w:rPr>
              <w:t>¥5,100〜5,500円</w:t>
            </w:r>
          </w:p>
        </w:tc>
      </w:tr>
    </w:tbl>
    <w:p/>
    <w:p>
      <w:pPr>
        <w:pStyle w:val="Heading3"/>
      </w:pPr>
      <w:r>
        <w:rPr>
          <w:rFonts w:ascii="Meiryo UI" w:hAnsi="Meiryo UI"/>
          <w:color w:val="2E74B5"/>
        </w:rPr>
        <w:t>シナリオC（弱気）: 半導体市況悪化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想定</w:t>
            </w:r>
          </w:p>
        </w:tc>
        <w:tc>
          <w:tcPr>
            <w:tcW w:type="dxa" w:w="3135"/>
            <w:shd w:val="clear" w:color="auto" w:fill="2E74B5"/>
          </w:tcPr>
          <w:p>
            <w:r>
              <w:rPr>
                <w:rFonts w:ascii="Meiryo UI" w:hAnsi="Meiryo UI"/>
                <w:b/>
                <w:color w:val="FFFFFF"/>
                <w:sz w:val="18"/>
              </w:rPr>
              <w:t>FY26 OP想定</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メモリ価格暴落（Samsung減産）</w:t>
            </w:r>
          </w:p>
        </w:tc>
        <w:tc>
          <w:tcPr>
            <w:tcW w:type="dxa" w:w="3135"/>
          </w:tcPr>
          <w:p>
            <w:r>
              <w:rPr>
                <w:rFonts w:ascii="Meiryo UI" w:hAnsi="Meiryo UI"/>
                <w:sz w:val="18"/>
              </w:rPr>
              <w:t>1,000〜1,100億円</w:t>
            </w:r>
          </w:p>
        </w:tc>
        <w:tc>
          <w:tcPr>
            <w:tcW w:type="dxa" w:w="3135"/>
          </w:tcPr>
          <w:p>
            <w:r>
              <w:rPr>
                <w:rFonts w:ascii="Meiryo UI" w:hAnsi="Meiryo UI"/>
                <w:sz w:val="18"/>
              </w:rPr>
              <w:t>DRAM/NAND市況急反落</w:t>
            </w:r>
          </w:p>
        </w:tc>
      </w:tr>
      <w:tr>
        <w:tc>
          <w:tcPr>
            <w:tcW w:type="dxa" w:w="3135"/>
            <w:shd w:val="clear" w:color="auto" w:fill="DDEBF7"/>
          </w:tcPr>
          <w:p>
            <w:r>
              <w:rPr>
                <w:rFonts w:ascii="Meiryo UI" w:hAnsi="Meiryo UI"/>
                <w:sz w:val="18"/>
              </w:rPr>
              <w:t>WTI$70台回帰</w:t>
            </w:r>
          </w:p>
        </w:tc>
        <w:tc>
          <w:tcPr>
            <w:tcW w:type="dxa" w:w="3135"/>
            <w:shd w:val="clear" w:color="auto" w:fill="DDEBF7"/>
          </w:tcPr>
          <w:p>
            <w:r>
              <w:rPr>
                <w:rFonts w:ascii="Meiryo UI" w:hAnsi="Meiryo UI"/>
                <w:sz w:val="18"/>
              </w:rPr>
              <w:t>OP▲150億（エネルギーSeg軟調）</w:t>
            </w:r>
          </w:p>
        </w:tc>
        <w:tc>
          <w:tcPr>
            <w:tcW w:type="dxa" w:w="3135"/>
            <w:shd w:val="clear" w:color="auto" w:fill="DDEBF7"/>
          </w:tcPr>
          <w:p>
            <w:r>
              <w:rPr>
                <w:rFonts w:ascii="Meiryo UI" w:hAnsi="Meiryo UI"/>
                <w:sz w:val="18"/>
              </w:rPr>
              <w:t>ホルムズ完全開放</w:t>
            </w:r>
          </w:p>
        </w:tc>
      </w:tr>
      <w:tr>
        <w:tc>
          <w:tcPr>
            <w:tcW w:type="dxa" w:w="3135"/>
          </w:tcPr>
          <w:p>
            <w:r>
              <w:rPr>
                <w:rFonts w:ascii="Meiryo UI" w:hAnsi="Meiryo UI"/>
                <w:sz w:val="18"/>
              </w:rPr>
              <w:t>中国輸出規制強化</w:t>
            </w:r>
          </w:p>
        </w:tc>
        <w:tc>
          <w:tcPr>
            <w:tcW w:type="dxa" w:w="3135"/>
          </w:tcPr>
          <w:p>
            <w:r>
              <w:rPr>
                <w:rFonts w:ascii="Meiryo UI" w:hAnsi="Meiryo UI"/>
                <w:sz w:val="18"/>
              </w:rPr>
              <w:t>OP▲50億追加</w:t>
            </w:r>
          </w:p>
        </w:tc>
        <w:tc>
          <w:tcPr>
            <w:tcW w:type="dxa" w:w="3135"/>
          </w:tcPr>
          <w:p>
            <w:r>
              <w:rPr>
                <w:rFonts w:ascii="Meiryo UI" w:hAnsi="Meiryo UI"/>
                <w:sz w:val="18"/>
              </w:rPr>
              <w:t>米国半導体規制拡大</w:t>
            </w:r>
          </w:p>
        </w:tc>
      </w:tr>
      <w:tr>
        <w:tc>
          <w:tcPr>
            <w:tcW w:type="dxa" w:w="3135"/>
            <w:shd w:val="clear" w:color="auto" w:fill="DDEBF7"/>
          </w:tcPr>
          <w:p>
            <w:r>
              <w:rPr>
                <w:rFonts w:ascii="Meiryo UI" w:hAnsi="Meiryo UI"/>
                <w:sz w:val="18"/>
              </w:rPr>
              <w:t>合計ストレス</w:t>
            </w:r>
          </w:p>
        </w:tc>
        <w:tc>
          <w:tcPr>
            <w:tcW w:type="dxa" w:w="3135"/>
            <w:shd w:val="clear" w:color="auto" w:fill="DDEBF7"/>
          </w:tcPr>
          <w:p>
            <w:r>
              <w:rPr>
                <w:rFonts w:ascii="Meiryo UI" w:hAnsi="Meiryo UI"/>
                <w:sz w:val="18"/>
              </w:rPr>
              <w:t>900〜1,000億円</w:t>
            </w:r>
          </w:p>
        </w:tc>
        <w:tc>
          <w:tcPr>
            <w:tcW w:type="dxa" w:w="3135"/>
            <w:shd w:val="clear" w:color="auto" w:fill="DDEBF7"/>
          </w:tcPr>
          <w:p>
            <w:r>
              <w:rPr>
                <w:rFonts w:ascii="Meiryo UI" w:hAnsi="Meiryo UI"/>
                <w:sz w:val="18"/>
              </w:rPr>
            </w:r>
          </w:p>
        </w:tc>
      </w:tr>
      <w:tr>
        <w:tc>
          <w:tcPr>
            <w:tcW w:type="dxa" w:w="3135"/>
          </w:tcPr>
          <w:p>
            <w:r>
              <w:rPr>
                <w:rFonts w:ascii="Meiryo UI" w:hAnsi="Meiryo UI"/>
                <w:sz w:val="18"/>
              </w:rPr>
              <w:t>株価インパクト</w:t>
            </w:r>
          </w:p>
        </w:tc>
        <w:tc>
          <w:tcPr>
            <w:tcW w:type="dxa" w:w="3135"/>
          </w:tcPr>
          <w:p>
            <w:r>
              <w:rPr>
                <w:rFonts w:ascii="Meiryo UI" w:hAnsi="Meiryo UI"/>
                <w:sz w:val="18"/>
              </w:rPr>
              <w:t>¥3,500〜4,000円（▲22〜▲32%）</w:t>
            </w:r>
          </w:p>
        </w:tc>
        <w:tc>
          <w:tcPr>
            <w:tcW w:type="dxa" w:w="3135"/>
          </w:tcPr>
          <w:p>
            <w:r>
              <w:rPr>
                <w:rFonts w:ascii="Meiryo UI" w:hAnsi="Meiryo UI"/>
                <w:sz w:val="18"/>
              </w:rPr>
            </w:r>
          </w:p>
        </w:tc>
      </w:tr>
    </w:tbl>
    <w:p/>
    <w:p>
      <w:r>
        <w:rPr>
          <w:rFonts w:ascii="Meiryo UI" w:hAnsi="Meiryo UI"/>
          <w:sz w:val="20"/>
        </w:rPr>
        <w:t>→ 最大ドローダウン推定: 株価約▲30%（¥3,500〜4,000円水準）</w:t>
      </w:r>
    </w:p>
    <w:p/>
    <w:p>
      <w:r>
        <w:t>──────────────────────────────────────────────────</w:t>
      </w:r>
    </w:p>
    <w:p/>
    <w:p>
      <w:pPr>
        <w:pStyle w:val="Heading2"/>
      </w:pPr>
      <w:r>
        <w:rPr>
          <w:rFonts w:ascii="Meiryo UI" w:hAnsi="Meiryo UI"/>
          <w:color w:val="2E74B5"/>
        </w:rPr>
        <w:t>8. Q-1定性変化考察（FY25→FY26初頭）</w:t>
      </w:r>
    </w:p>
    <w:p/>
    <w:p>
      <w:pPr>
        <w:pStyle w:val="Heading3"/>
      </w:pPr>
      <w:r>
        <w:rPr>
          <w:rFonts w:ascii="Meiryo UI" w:hAnsi="Meiryo UI"/>
          <w:color w:val="2E74B5"/>
        </w:rPr>
        <w:t>ポジティブな変化</w:t>
      </w:r>
    </w:p>
    <w:p/>
    <w:p>
      <w:pPr>
        <w:pStyle w:val="ListNumber"/>
      </w:pPr>
      <w:r>
        <w:rPr>
          <w:rFonts w:ascii="Meiryo UI" w:hAnsi="Meiryo UI"/>
          <w:sz w:val="20"/>
        </w:rPr>
        <w:t>E-Plan2028発表（2026/2/13）: 売上1.2兆・ROE18%・ROIC13%の中計公表。長期成長のコミットメントを市場に示した</w:t>
      </w:r>
    </w:p>
    <w:p>
      <w:pPr>
        <w:pStyle w:val="ListNumber"/>
      </w:pPr>
      <w:r>
        <w:rPr>
          <w:rFonts w:ascii="Meiryo UI" w:hAnsi="Meiryo UI"/>
          <w:sz w:val="20"/>
        </w:rPr>
        <w:t>熊本K3棟本格稼働（2025年6月）: CMP生産能力1.5倍。バックログ消化加速</w:t>
      </w:r>
    </w:p>
    <w:p>
      <w:pPr>
        <w:pStyle w:val="ListNumber"/>
      </w:pPr>
      <w:r>
        <w:rPr>
          <w:rFonts w:ascii="Meiryo UI" w:hAnsi="Meiryo UI"/>
          <w:sz w:val="20"/>
        </w:rPr>
        <w:t>メモリ向けCMP拡大戦略: 酸化膜CMP技術開発完了めど→NAND/DRAM向け受注機会拡大</w:t>
      </w:r>
    </w:p>
    <w:p>
      <w:pPr>
        <w:pStyle w:val="ListNumber"/>
      </w:pPr>
      <w:r>
        <w:rPr>
          <w:rFonts w:ascii="Meiryo UI" w:hAnsi="Meiryo UI"/>
          <w:sz w:val="20"/>
        </w:rPr>
        <w:t>Samsung Q1 OP +8倍: 顧客の資本投資意欲の直接証拠。CMP装置受注継続の確認</w:t>
      </w:r>
    </w:p>
    <w:p>
      <w:pPr>
        <w:pStyle w:val="ListNumber"/>
      </w:pPr>
      <w:r>
        <w:rPr>
          <w:rFonts w:ascii="Meiryo UI" w:hAnsi="Meiryo UI"/>
          <w:sz w:val="20"/>
        </w:rPr>
        <w:t>ホルムズ危機によるエネルギーセグメント回復余地: 停戦→原油価格落ち着き→産油国の設備投資再開</w:t>
      </w:r>
    </w:p>
    <w:p/>
    <w:p>
      <w:pPr>
        <w:pStyle w:val="Heading3"/>
      </w:pPr>
      <w:r>
        <w:rPr>
          <w:rFonts w:ascii="Meiryo UI" w:hAnsi="Meiryo UI"/>
          <w:color w:val="2E74B5"/>
        </w:rPr>
        <w:t>ネガティブな変化</w:t>
      </w:r>
    </w:p>
    <w:p/>
    <w:p>
      <w:pPr>
        <w:pStyle w:val="ListNumber"/>
      </w:pPr>
      <w:r>
        <w:rPr>
          <w:rFonts w:ascii="Meiryo UI" w:hAnsi="Meiryo UI"/>
          <w:sz w:val="20"/>
        </w:rPr>
        <w:t>中国向け輸出不透明感: 米国関税＋中国産業チェーン安全規定（第14・15条）でダブル規制リスク</w:t>
      </w:r>
    </w:p>
    <w:p>
      <w:pPr>
        <w:pStyle w:val="ListNumber"/>
      </w:pPr>
      <w:r>
        <w:rPr>
          <w:rFonts w:ascii="Meiryo UI" w:hAnsi="Meiryo UI"/>
          <w:sz w:val="20"/>
        </w:rPr>
        <w:t>AMAT vs 荏原の競合激化: AMATがメモリ向けシェア死守で追撃を阻止</w:t>
      </w:r>
    </w:p>
    <w:p>
      <w:pPr>
        <w:pStyle w:val="ListNumber"/>
      </w:pPr>
      <w:r>
        <w:rPr>
          <w:rFonts w:ascii="Meiryo UI" w:hAnsi="Meiryo UI"/>
          <w:sz w:val="20"/>
        </w:rPr>
        <w:t>原材料コスト（アルミ等）: アルミ+10%以上（EGA停止）がポンプ製造コストに影響</w:t>
      </w:r>
    </w:p>
    <w:p/>
    <w:p>
      <w:r>
        <w:t>──────────────────────────────────────────────────</w:t>
      </w:r>
    </w:p>
    <w:p/>
    <w:p>
      <w:pPr>
        <w:pStyle w:val="Heading2"/>
      </w:pPr>
      <w:r>
        <w:rPr>
          <w:rFonts w:ascii="Meiryo UI" w:hAnsi="Meiryo UI"/>
          <w:color w:val="2E74B5"/>
        </w:rPr>
        <w:t>9. ガイダンス発表・修正考察（FY2026予想評価）</w:t>
      </w:r>
    </w:p>
    <w:p/>
    <w:p>
      <w:pPr>
        <w:pStyle w:val="Heading3"/>
      </w:pPr>
      <w:r>
        <w:rPr>
          <w:rFonts w:ascii="Meiryo UI" w:hAnsi="Meiryo UI"/>
          <w:color w:val="2E74B5"/>
        </w:rPr>
        <w:t>会社予想の評価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FY26会社予想</w:t>
            </w:r>
          </w:p>
        </w:tc>
        <w:tc>
          <w:tcPr>
            <w:tcW w:type="dxa" w:w="3135"/>
            <w:shd w:val="clear" w:color="auto" w:fill="2E74B5"/>
          </w:tcPr>
          <w:p>
            <w:r>
              <w:rPr>
                <w:rFonts w:ascii="Meiryo UI" w:hAnsi="Meiryo UI"/>
                <w:b/>
                <w:color w:val="FFFFFF"/>
                <w:sz w:val="18"/>
              </w:rPr>
              <w:t>判定</w:t>
            </w:r>
          </w:p>
        </w:tc>
      </w:tr>
      <w:tr>
        <w:tc>
          <w:tcPr>
            <w:tcW w:type="dxa" w:w="3135"/>
          </w:tcPr>
          <w:p>
            <w:r>
              <w:rPr>
                <w:rFonts w:ascii="Meiryo UI" w:hAnsi="Meiryo UI"/>
                <w:sz w:val="18"/>
              </w:rPr>
              <w:t>売上+6.4%</w:t>
            </w:r>
          </w:p>
        </w:tc>
        <w:tc>
          <w:tcPr>
            <w:tcW w:type="dxa" w:w="3135"/>
          </w:tcPr>
          <w:p>
            <w:r>
              <w:rPr>
                <w:rFonts w:ascii="Meiryo UI" w:hAnsi="Meiryo UI"/>
                <w:sz w:val="18"/>
              </w:rPr>
              <w:t>1兆200億</w:t>
            </w:r>
          </w:p>
        </w:tc>
        <w:tc>
          <w:tcPr>
            <w:tcW w:type="dxa" w:w="3135"/>
          </w:tcPr>
          <w:p>
            <w:r>
              <w:rPr>
                <w:rFonts w:ascii="Meiryo UI" w:hAnsi="Meiryo UI"/>
                <w:sz w:val="18"/>
              </w:rPr>
              <w:t>やや保守的</w:t>
            </w:r>
          </w:p>
        </w:tc>
      </w:tr>
      <w:tr>
        <w:tc>
          <w:tcPr>
            <w:tcW w:type="dxa" w:w="3135"/>
            <w:shd w:val="clear" w:color="auto" w:fill="DDEBF7"/>
          </w:tcPr>
          <w:p>
            <w:r>
              <w:rPr>
                <w:rFonts w:ascii="Meiryo UI" w:hAnsi="Meiryo UI"/>
                <w:sz w:val="18"/>
              </w:rPr>
              <w:t>OP+9.8%</w:t>
            </w:r>
          </w:p>
        </w:tc>
        <w:tc>
          <w:tcPr>
            <w:tcW w:type="dxa" w:w="3135"/>
            <w:shd w:val="clear" w:color="auto" w:fill="DDEBF7"/>
          </w:tcPr>
          <w:p>
            <w:r>
              <w:rPr>
                <w:rFonts w:ascii="Meiryo UI" w:hAnsi="Meiryo UI"/>
                <w:sz w:val="18"/>
              </w:rPr>
              <w:t>1,250億</w:t>
            </w:r>
          </w:p>
        </w:tc>
        <w:tc>
          <w:tcPr>
            <w:tcW w:type="dxa" w:w="3135"/>
            <w:shd w:val="clear" w:color="auto" w:fill="DDEBF7"/>
          </w:tcPr>
          <w:p>
            <w:r>
              <w:rPr>
                <w:rFonts w:ascii="Meiryo UI" w:hAnsi="Meiryo UI"/>
                <w:sz w:val="18"/>
              </w:rPr>
              <w:t>保守的（E-Plan2028の3年CAGR ~15%に比べ低め）</w:t>
            </w:r>
          </w:p>
        </w:tc>
      </w:tr>
      <w:tr>
        <w:tc>
          <w:tcPr>
            <w:tcW w:type="dxa" w:w="3135"/>
          </w:tcPr>
          <w:p>
            <w:r>
              <w:rPr>
                <w:rFonts w:ascii="Meiryo UI" w:hAnsi="Meiryo UI"/>
                <w:sz w:val="18"/>
              </w:rPr>
              <w:t>EPS+13%</w:t>
            </w:r>
          </w:p>
        </w:tc>
        <w:tc>
          <w:tcPr>
            <w:tcW w:type="dxa" w:w="3135"/>
          </w:tcPr>
          <w:p>
            <w:r>
              <w:rPr>
                <w:rFonts w:ascii="Meiryo UI" w:hAnsi="Meiryo UI"/>
                <w:sz w:val="18"/>
              </w:rPr>
              <w:t>866億</w:t>
            </w:r>
          </w:p>
        </w:tc>
        <w:tc>
          <w:tcPr>
            <w:tcW w:type="dxa" w:w="3135"/>
          </w:tcPr>
          <w:p>
            <w:r>
              <w:rPr>
                <w:rFonts w:ascii="Meiryo UI" w:hAnsi="Meiryo UI"/>
                <w:sz w:val="18"/>
              </w:rPr>
              <w:t>適正</w:t>
            </w:r>
          </w:p>
        </w:tc>
      </w:tr>
    </w:tbl>
    <w:p/>
    <w:p>
      <w:r>
        <w:rPr>
          <w:rFonts w:ascii="Meiryo UI" w:hAnsi="Meiryo UI"/>
          <w:sz w:val="20"/>
        </w:rPr>
        <w:t>保守的判断の根拠:</w:t>
      </w:r>
    </w:p>
    <w:p>
      <w:pPr>
        <w:pStyle w:val="ListBullet"/>
      </w:pPr>
      <w:r>
        <w:rPr>
          <w:rFonts w:ascii="Meiryo UI" w:hAnsi="Meiryo UI"/>
          <w:sz w:val="20"/>
        </w:rPr>
        <w:t>関税▲18億・中国軟調を保守的に見込み</w:t>
      </w:r>
    </w:p>
    <w:p>
      <w:pPr>
        <w:pStyle w:val="ListBullet"/>
      </w:pPr>
      <w:r>
        <w:rPr>
          <w:rFonts w:ascii="Meiryo UI" w:hAnsi="Meiryo UI"/>
          <w:sz w:val="20"/>
        </w:rPr>
        <w:t>精密・電子（CMP）の熊本K3棟フル稼働効果がまだ保守推計</w:t>
      </w:r>
    </w:p>
    <w:p>
      <w:pPr>
        <w:pStyle w:val="ListBullet"/>
      </w:pPr>
      <w:r>
        <w:rPr>
          <w:rFonts w:ascii="Meiryo UI" w:hAnsi="Meiryo UI"/>
          <w:sz w:val="20"/>
        </w:rPr>
        <w:t>前期比OP率改善が+0.3pt（11.9%→12.2%）のみ → E-Plan2028の14.5%目標には2年で+2.3pt改善が必要</w:t>
      </w:r>
    </w:p>
    <w:p/>
    <w:p>
      <w:r>
        <w:rPr>
          <w:rFonts w:ascii="Meiryo UI" w:hAnsi="Meiryo UI"/>
          <w:sz w:val="20"/>
        </w:rPr>
        <w:t>→ 上方修正余地: CMP堅調継続なら中間時点での修正の可能性（参考: FY25も5月比+10億円上方修正実施済み）</w:t>
      </w:r>
    </w:p>
    <w:p/>
    <w:p>
      <w:r>
        <w:t>──────────────────────────────────────────────────</w:t>
      </w:r>
    </w:p>
    <w:p/>
    <w:p>
      <w:pPr>
        <w:pStyle w:val="Heading2"/>
      </w:pPr>
      <w:r>
        <w:rPr>
          <w:rFonts w:ascii="Meiryo UI" w:hAnsi="Meiryo UI"/>
          <w:color w:val="2E74B5"/>
        </w:rPr>
        <w:t>10. 不動産含み益考察</w:t>
      </w:r>
    </w:p>
    <w:p/>
    <w:p>
      <w:r>
        <w:rPr>
          <w:rFonts w:ascii="Meiryo UI" w:hAnsi="Meiryo UI"/>
          <w:sz w:val="20"/>
        </w:rPr>
        <w:t>荏原製作所はポンプ・半導体装置の製造業であり、不動産業ではないため大規模な含み益はないと推定。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拠点</w:t>
            </w:r>
          </w:p>
        </w:tc>
        <w:tc>
          <w:tcPr>
            <w:tcW w:type="dxa" w:w="2351"/>
            <w:shd w:val="clear" w:color="auto" w:fill="2E74B5"/>
          </w:tcPr>
          <w:p>
            <w:r>
              <w:rPr>
                <w:rFonts w:ascii="Meiryo UI" w:hAnsi="Meiryo UI"/>
                <w:b/>
                <w:color w:val="FFFFFF"/>
                <w:sz w:val="18"/>
              </w:rPr>
              <w:t>取得時期</w:t>
            </w:r>
          </w:p>
        </w:tc>
        <w:tc>
          <w:tcPr>
            <w:tcW w:type="dxa" w:w="2351"/>
            <w:shd w:val="clear" w:color="auto" w:fill="2E74B5"/>
          </w:tcPr>
          <w:p>
            <w:r>
              <w:rPr>
                <w:rFonts w:ascii="Meiryo UI" w:hAnsi="Meiryo UI"/>
                <w:b/>
                <w:color w:val="FFFFFF"/>
                <w:sz w:val="18"/>
              </w:rPr>
              <w:t>所在地</w:t>
            </w:r>
          </w:p>
        </w:tc>
        <w:tc>
          <w:tcPr>
            <w:tcW w:type="dxa" w:w="2351"/>
            <w:shd w:val="clear" w:color="auto" w:fill="2E74B5"/>
          </w:tcPr>
          <w:p>
            <w:r>
              <w:rPr>
                <w:rFonts w:ascii="Meiryo UI" w:hAnsi="Meiryo UI"/>
                <w:b/>
                <w:color w:val="FFFFFF"/>
                <w:sz w:val="18"/>
              </w:rPr>
              <w:t>含み益可能性</w:t>
            </w:r>
          </w:p>
        </w:tc>
      </w:tr>
      <w:tr>
        <w:tc>
          <w:tcPr>
            <w:tcW w:type="dxa" w:w="2351"/>
          </w:tcPr>
          <w:p>
            <w:r>
              <w:rPr>
                <w:rFonts w:ascii="Meiryo UI" w:hAnsi="Meiryo UI"/>
                <w:sz w:val="18"/>
              </w:rPr>
              <w:t>藤沢工場</w:t>
            </w:r>
          </w:p>
        </w:tc>
        <w:tc>
          <w:tcPr>
            <w:tcW w:type="dxa" w:w="2351"/>
          </w:tcPr>
          <w:p>
            <w:r>
              <w:rPr>
                <w:rFonts w:ascii="Meiryo UI" w:hAnsi="Meiryo UI"/>
                <w:sz w:val="18"/>
              </w:rPr>
              <w:t>1965年（60年前）</w:t>
            </w:r>
          </w:p>
        </w:tc>
        <w:tc>
          <w:tcPr>
            <w:tcW w:type="dxa" w:w="2351"/>
          </w:tcPr>
          <w:p>
            <w:r>
              <w:rPr>
                <w:rFonts w:ascii="Meiryo UI" w:hAnsi="Meiryo UI"/>
                <w:sz w:val="18"/>
              </w:rPr>
              <w:t>神奈川県藤沢市</w:t>
            </w:r>
          </w:p>
        </w:tc>
        <w:tc>
          <w:tcPr>
            <w:tcW w:type="dxa" w:w="2351"/>
          </w:tcPr>
          <w:p>
            <w:r>
              <w:rPr>
                <w:rFonts w:ascii="Meiryo UI" w:hAnsi="Meiryo UI"/>
                <w:sz w:val="18"/>
              </w:rPr>
              <w:t>中〜高（湘南エリア工業地、地価上昇）</w:t>
            </w:r>
          </w:p>
        </w:tc>
      </w:tr>
      <w:tr>
        <w:tc>
          <w:tcPr>
            <w:tcW w:type="dxa" w:w="2351"/>
            <w:shd w:val="clear" w:color="auto" w:fill="DDEBF7"/>
          </w:tcPr>
          <w:p>
            <w:r>
              <w:rPr>
                <w:rFonts w:ascii="Meiryo UI" w:hAnsi="Meiryo UI"/>
                <w:sz w:val="18"/>
              </w:rPr>
              <w:t>大田区本社</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東京都大田区</w:t>
            </w:r>
          </w:p>
        </w:tc>
        <w:tc>
          <w:tcPr>
            <w:tcW w:type="dxa" w:w="2351"/>
            <w:shd w:val="clear" w:color="auto" w:fill="DDEBF7"/>
          </w:tcPr>
          <w:p>
            <w:r>
              <w:rPr>
                <w:rFonts w:ascii="Meiryo UI" w:hAnsi="Meiryo UI"/>
                <w:sz w:val="18"/>
              </w:rPr>
              <w:t>中（東京都内）</w:t>
            </w:r>
          </w:p>
        </w:tc>
      </w:tr>
      <w:tr>
        <w:tc>
          <w:tcPr>
            <w:tcW w:type="dxa" w:w="2351"/>
          </w:tcPr>
          <w:p>
            <w:r>
              <w:rPr>
                <w:rFonts w:ascii="Meiryo UI" w:hAnsi="Meiryo UI"/>
                <w:sz w:val="18"/>
              </w:rPr>
              <w:t>熊本事業所</w:t>
            </w:r>
          </w:p>
        </w:tc>
        <w:tc>
          <w:tcPr>
            <w:tcW w:type="dxa" w:w="2351"/>
          </w:tcPr>
          <w:p>
            <w:r>
              <w:rPr>
                <w:rFonts w:ascii="Meiryo UI" w:hAnsi="Meiryo UI"/>
                <w:sz w:val="18"/>
              </w:rPr>
              <w:t>近年拡張中</w:t>
            </w:r>
          </w:p>
        </w:tc>
        <w:tc>
          <w:tcPr>
            <w:tcW w:type="dxa" w:w="2351"/>
          </w:tcPr>
          <w:p>
            <w:r>
              <w:rPr>
                <w:rFonts w:ascii="Meiryo UI" w:hAnsi="Meiryo UI"/>
                <w:sz w:val="18"/>
              </w:rPr>
              <w:t>熊本県玉名郡南関町</w:t>
            </w:r>
          </w:p>
        </w:tc>
        <w:tc>
          <w:tcPr>
            <w:tcW w:type="dxa" w:w="2351"/>
          </w:tcPr>
          <w:p>
            <w:r>
              <w:rPr>
                <w:rFonts w:ascii="Meiryo UI" w:hAnsi="Meiryo UI"/>
                <w:sz w:val="18"/>
              </w:rPr>
              <w:t>低（新規取得・簿価近辺）</w:t>
            </w:r>
          </w:p>
        </w:tc>
      </w:tr>
    </w:tbl>
    <w:p/>
    <w:p>
      <w:r>
        <w:rPr>
          <w:rFonts w:ascii="Meiryo UI" w:hAnsi="Meiryo UI"/>
          <w:sz w:val="20"/>
        </w:rPr>
        <w:t>推定:</w:t>
      </w:r>
    </w:p>
    <w:p>
      <w:pPr>
        <w:pStyle w:val="ListBullet"/>
      </w:pPr>
      <w:r>
        <w:rPr>
          <w:rFonts w:ascii="Meiryo UI" w:hAnsi="Meiryo UI"/>
          <w:sz w:val="20"/>
        </w:rPr>
        <w:t>有価証券報告書の「土地」勘定の簿価と時価の乖離がある可能性（特に藤沢）</w:t>
      </w:r>
    </w:p>
    <w:p>
      <w:pPr>
        <w:pStyle w:val="ListBullet"/>
      </w:pPr>
      <w:r>
        <w:rPr>
          <w:rFonts w:ascii="Meiryo UI" w:hAnsi="Meiryo UI"/>
          <w:sz w:val="20"/>
        </w:rPr>
        <w:t>ただし製造業NAVへの影響は限定的（時価総額2.3兆円に対し含み益は数百億規模と推定）</w:t>
      </w:r>
    </w:p>
    <w:p>
      <w:pPr>
        <w:pStyle w:val="ListBullet"/>
      </w:pPr>
      <w:r>
        <w:rPr>
          <w:rFonts w:ascii="Meiryo UI" w:hAnsi="Meiryo UI"/>
          <w:sz w:val="20"/>
        </w:rPr>
        <w:t>CGコード改訂による不動産含み益の開示義務化が今後の株主還元議論に絡む可能性</w:t>
      </w:r>
    </w:p>
    <w:p/>
    <w:p>
      <w:r>
        <w:t>──────────────────────────────────────────────────</w:t>
      </w:r>
    </w:p>
    <w:p/>
    <w:p>
      <w:pPr>
        <w:pStyle w:val="Heading2"/>
      </w:pPr>
      <w:r>
        <w:rPr>
          <w:rFonts w:ascii="Meiryo UI" w:hAnsi="Meiryo UI"/>
          <w:color w:val="2E74B5"/>
        </w:rPr>
        <w:t>11. 総合判定</w:t>
      </w:r>
    </w:p>
    <w:p/>
    <w:p>
      <w:pPr>
        <w:pStyle w:val="Heading3"/>
      </w:pPr>
      <w:r>
        <w:rPr>
          <w:rFonts w:ascii="Meiryo UI" w:hAnsi="Meiryo UI"/>
          <w:color w:val="2E74B5"/>
        </w:rPr>
        <w:t>判定: BUY 　目標株価: ¥6,500（12〜18ヶ月）　上昇余地: +26.9%</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成長性</w:t>
            </w:r>
          </w:p>
        </w:tc>
        <w:tc>
          <w:tcPr>
            <w:tcW w:type="dxa" w:w="3135"/>
          </w:tcPr>
          <w:p>
            <w:r>
              <w:rPr>
                <w:rFonts w:ascii="Meiryo UI" w:hAnsi="Meiryo UI"/>
                <w:sz w:val="18"/>
              </w:rPr>
              <w:t>★★★★☆</w:t>
            </w:r>
          </w:p>
        </w:tc>
        <w:tc>
          <w:tcPr>
            <w:tcW w:type="dxa" w:w="3135"/>
          </w:tcPr>
          <w:p>
            <w:r>
              <w:rPr>
                <w:rFonts w:ascii="Meiryo UI" w:hAnsi="Meiryo UI"/>
                <w:sz w:val="18"/>
              </w:rPr>
              <w:t>AI需要×半導体投資サイクルで4年連続最高益</w:t>
            </w:r>
          </w:p>
        </w:tc>
      </w:tr>
      <w:tr>
        <w:tc>
          <w:tcPr>
            <w:tcW w:type="dxa" w:w="3135"/>
            <w:shd w:val="clear" w:color="auto" w:fill="DDEBF7"/>
          </w:tcPr>
          <w:p>
            <w:r>
              <w:rPr>
                <w:rFonts w:ascii="Meiryo UI" w:hAnsi="Meiryo UI"/>
                <w:sz w:val="18"/>
              </w:rPr>
              <w:t>バリュエーション</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PEG2.1倍はやや割高。長期成長で正当化</w:t>
            </w:r>
          </w:p>
        </w:tc>
      </w:tr>
      <w:tr>
        <w:tc>
          <w:tcPr>
            <w:tcW w:type="dxa" w:w="3135"/>
          </w:tcPr>
          <w:p>
            <w:r>
              <w:rPr>
                <w:rFonts w:ascii="Meiryo UI" w:hAnsi="Meiryo UI"/>
                <w:sz w:val="18"/>
              </w:rPr>
              <w:t>競争優位</w:t>
            </w:r>
          </w:p>
        </w:tc>
        <w:tc>
          <w:tcPr>
            <w:tcW w:type="dxa" w:w="3135"/>
          </w:tcPr>
          <w:p>
            <w:r>
              <w:rPr>
                <w:rFonts w:ascii="Meiryo UI" w:hAnsi="Meiryo UI"/>
                <w:sz w:val="18"/>
              </w:rPr>
              <w:t>★★★★☆</w:t>
            </w:r>
          </w:p>
        </w:tc>
        <w:tc>
          <w:tcPr>
            <w:tcW w:type="dxa" w:w="3135"/>
          </w:tcPr>
          <w:p>
            <w:r>
              <w:rPr>
                <w:rFonts w:ascii="Meiryo UI" w:hAnsi="Meiryo UI"/>
                <w:sz w:val="18"/>
              </w:rPr>
              <w:t>CMP世界2位・特許2位。2030年シェア首位狙い</w:t>
            </w:r>
          </w:p>
        </w:tc>
      </w:tr>
      <w:tr>
        <w:tc>
          <w:tcPr>
            <w:tcW w:type="dxa" w:w="3135"/>
            <w:shd w:val="clear" w:color="auto" w:fill="DDEBF7"/>
          </w:tcPr>
          <w:p>
            <w:r>
              <w:rPr>
                <w:rFonts w:ascii="Meiryo UI" w:hAnsi="Meiryo UI"/>
                <w:sz w:val="18"/>
              </w:rPr>
              <w:t>経営規律</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E-Plan2028で具体的数値目標・増配継続</w:t>
            </w:r>
          </w:p>
        </w:tc>
      </w:tr>
      <w:tr>
        <w:tc>
          <w:tcPr>
            <w:tcW w:type="dxa" w:w="3135"/>
          </w:tcPr>
          <w:p>
            <w:r>
              <w:rPr>
                <w:rFonts w:ascii="Meiryo UI" w:hAnsi="Meiryo UI"/>
                <w:sz w:val="18"/>
              </w:rPr>
              <w:t>リスク</w:t>
            </w:r>
          </w:p>
        </w:tc>
        <w:tc>
          <w:tcPr>
            <w:tcW w:type="dxa" w:w="3135"/>
          </w:tcPr>
          <w:p>
            <w:r>
              <w:rPr>
                <w:rFonts w:ascii="Meiryo UI" w:hAnsi="Meiryo UI"/>
                <w:sz w:val="18"/>
              </w:rPr>
              <w:t>★★★☆☆</w:t>
            </w:r>
          </w:p>
        </w:tc>
        <w:tc>
          <w:tcPr>
            <w:tcW w:type="dxa" w:w="3135"/>
          </w:tcPr>
          <w:p>
            <w:r>
              <w:rPr>
                <w:rFonts w:ascii="Meiryo UI" w:hAnsi="Meiryo UI"/>
                <w:sz w:val="18"/>
              </w:rPr>
              <w:t>半導体市況下落で▲30%リスク。中国リスク</w:t>
            </w:r>
          </w:p>
        </w:tc>
      </w:tr>
    </w:tbl>
    <w:p/>
    <w:p>
      <w:pPr>
        <w:pStyle w:val="Heading3"/>
      </w:pPr>
      <w:r>
        <w:rPr>
          <w:rFonts w:ascii="Meiryo UI" w:hAnsi="Meiryo UI"/>
          <w:color w:val="2E74B5"/>
        </w:rPr>
        <w:t>投資判断サマリー</w:t>
      </w:r>
    </w:p>
    <w:p/>
    <w:p>
      <w:r>
        <w:rPr>
          <w:rFonts w:ascii="Meiryo UI" w:hAnsi="Meiryo UI"/>
          <w:sz w:val="20"/>
        </w:rPr>
        <w:t>ブル要因:</w:t>
      </w:r>
    </w:p>
    <w:p>
      <w:pPr>
        <w:pStyle w:val="ListBullet"/>
      </w:pPr>
      <w:r>
        <w:rPr>
          <w:rFonts w:ascii="Meiryo UI" w:hAnsi="Meiryo UI"/>
          <w:sz w:val="20"/>
        </w:rPr>
        <w:t>Samsung+8倍・SK hynix記録益 → CMP需要ピークアウト懸念はなし</w:t>
      </w:r>
    </w:p>
    <w:p>
      <w:pPr>
        <w:pStyle w:val="ListBullet"/>
      </w:pPr>
      <w:r>
        <w:rPr>
          <w:rFonts w:ascii="Meiryo UI" w:hAnsi="Meiryo UI"/>
          <w:sz w:val="20"/>
        </w:rPr>
        <w:t>熊本K3棟1.5倍稼働でバックログ消化加速 → FY26上振れ余地</w:t>
      </w:r>
    </w:p>
    <w:p>
      <w:pPr>
        <w:pStyle w:val="ListBullet"/>
      </w:pPr>
      <w:r>
        <w:rPr>
          <w:rFonts w:ascii="Meiryo UI" w:hAnsi="Meiryo UI"/>
          <w:sz w:val="20"/>
        </w:rPr>
        <w:t>E-Plan2028: 3年で売上1.2兆・ROE18%・ROIC13%の具体的コミットメント</w:t>
      </w:r>
    </w:p>
    <w:p>
      <w:pPr>
        <w:pStyle w:val="ListBullet"/>
      </w:pPr>
      <w:r>
        <w:rPr>
          <w:rFonts w:ascii="Meiryo UI" w:hAnsi="Meiryo UI"/>
          <w:sz w:val="20"/>
        </w:rPr>
        <w:t>増配継続（FY25 59円→FY26 66円、+12%）</w:t>
      </w:r>
    </w:p>
    <w:p/>
    <w:p>
      <w:r>
        <w:rPr>
          <w:rFonts w:ascii="Meiryo UI" w:hAnsi="Meiryo UI"/>
          <w:sz w:val="20"/>
        </w:rPr>
        <w:t>ベア要因（注意点）:</w:t>
      </w:r>
    </w:p>
    <w:p>
      <w:pPr>
        <w:pStyle w:val="ListBullet"/>
      </w:pPr>
      <w:r>
        <w:rPr>
          <w:rFonts w:ascii="Meiryo UI" w:hAnsi="Meiryo UI"/>
          <w:sz w:val="20"/>
        </w:rPr>
        <w:t>PEG2.1倍で割高感あり（浅井スコアの「PEGY&lt;1.0」は算出根拠要確認）</w:t>
      </w:r>
    </w:p>
    <w:p>
      <w:pPr>
        <w:pStyle w:val="ListBullet"/>
      </w:pPr>
      <w:r>
        <w:rPr>
          <w:rFonts w:ascii="Meiryo UI" w:hAnsi="Meiryo UI"/>
          <w:sz w:val="20"/>
        </w:rPr>
        <w:t>AMATがシェア回復攻勢→荏原のシェア拡大ペース鈍化リスク</w:t>
      </w:r>
    </w:p>
    <w:p>
      <w:pPr>
        <w:pStyle w:val="ListBullet"/>
      </w:pPr>
      <w:r>
        <w:rPr>
          <w:rFonts w:ascii="Meiryo UI" w:hAnsi="Meiryo UI"/>
          <w:sz w:val="20"/>
        </w:rPr>
        <w:t>中国向けCMP輸出規制強化の潜在リスク</w:t>
      </w:r>
    </w:p>
    <w:p>
      <w:pPr>
        <w:pStyle w:val="ListBullet"/>
      </w:pPr>
      <w:r>
        <w:rPr>
          <w:rFonts w:ascii="Meiryo UI" w:hAnsi="Meiryo UI"/>
          <w:sz w:val="20"/>
        </w:rPr>
        <w:t>WTI$96台でエネルギーセグメント回復遅れ</w:t>
      </w:r>
    </w:p>
    <w:p/>
    <w:p>
      <w:r>
        <w:t>──────────────────────────────────────────────────</w:t>
      </w:r>
    </w:p>
    <w:p/>
    <w:p>
      <w:pPr>
        <w:pStyle w:val="Heading2"/>
      </w:pPr>
      <w:r>
        <w:rPr>
          <w:rFonts w:ascii="Meiryo UI" w:hAnsi="Meiryo UI"/>
          <w:color w:val="2E74B5"/>
        </w:rPr>
        <w:t>参考: Bloomberg BDH（荏原関連データ取得用）</w:t>
      </w:r>
    </w:p>
    <w:p/>
    <w:p>
      <w:pPr>
        <w:shd w:val="clear" w:color="auto" w:fill="F2F2F2"/>
      </w:pPr>
      <w:r>
        <w:rPr>
          <w:rFonts w:ascii="Courier New" w:hAnsi="Courier New"/>
          <w:sz w:val="16"/>
        </w:rPr>
        <w:t>=BDQ("6361 JP Equity","PX_LAST")          // 株価</w:t>
        <w:br/>
        <w:t>=BDQ("6361 JP Equity","BEST_EPS")         // 予想EPS</w:t>
        <w:br/>
        <w:t>=BDQ("6361 JP Equity","PE_RATIO")         // PER</w:t>
        <w:br/>
        <w:t>=BDQ("6361 JP Equity","PX_TO_BOOK_RATIO") // PBR</w:t>
        <w:br/>
        <w:t>=BDQ("6361 JP Equity","RETURN_ON_EQY")    // ROE</w:t>
        <w:br/>
        <w:t>=BDQ("6361 JP Equity","RETURN_ON_INV_CAPITAL") // ROIC</w:t>
      </w:r>
    </w:p>
    <w:p/>
    <w:p>
      <w:r>
        <w:t>──────────────────────────────────────────────────</w:t>
      </w:r>
    </w:p>
    <w:p/>
    <w:p>
      <w:r>
        <w:rPr>
          <w:rFonts w:ascii="Meiryo UI" w:hAnsi="Meiryo UI"/>
          <w:sz w:val="20"/>
        </w:rPr>
        <w:t>Sources: [決算短信IFRS 2026/2/13](https://www.ebara.com/content/dam/ebara/grand-masters/entities/ja/pdf/ir/library/earnings/earnings/161_q4_jp.pdf) / [E-Plan2028発表](https://www.ebara.com/content/dam/ebara/grand-masters/entities/ja/pdf/ir/business/vision/161_q4_e-plan2028_jp.pdf.coredownload.pdf) / [ニュースイッチCMP戦略](https://newswitch.jp/p/45888) / [ログミーファイナンス2Q](https://finance.logmi.jp/articles/382588)</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