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[6469] 放電精密加工研究所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[6469] 放電精密加工研究所</w:t>
      </w:r>
    </w:p>
    <w:p>
      <w:r>
        <w:rPr>
          <w:rFonts w:ascii="Meiryo UI" w:hAnsi="Meiryo UI"/>
          <w:sz w:val="20"/>
        </w:rPr>
        <w:t>作成日: 2026-04-04  |  アナリスト: 深井  |  分類: BUY</w:t>
      </w:r>
    </w:p>
    <w:p>
      <w:r>
        <w:rPr>
          <w:rFonts w:ascii="Meiryo UI" w:hAnsi="Meiryo UI"/>
          <w:sz w:val="20"/>
        </w:rPr>
        <w:t>浅井スコア: +58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竹村トレードカンパニー｜DeepResearch レポート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アナリスト: 深井（財務諸表分析・DCFバリュエーション担当）</w:t>
      </w:r>
    </w:p>
    <w:p>
      <w:r>
        <w:rPr>
          <w:rFonts w:ascii="Meiryo UI" w:hAnsi="Meiryo UI"/>
          <w:sz w:val="20"/>
        </w:rPr>
        <w:t>分析日: 2026年4月4日</w:t>
      </w:r>
    </w:p>
    <w:p>
      <w:r>
        <w:rPr>
          <w:rFonts w:ascii="Meiryo UI" w:hAnsi="Meiryo UI"/>
          <w:sz w:val="20"/>
        </w:rPr>
        <w:t>対象銘柄: 放電精密加工研究所（東証：6469）</w:t>
      </w:r>
    </w:p>
    <w:p>
      <w:r>
        <w:rPr>
          <w:rFonts w:ascii="Meiryo UI" w:hAnsi="Meiryo UI"/>
          <w:sz w:val="20"/>
        </w:rPr>
        <w:t>通貨: JPY（円）</w:t>
      </w:r>
    </w:p>
    <w:p>
      <w:r>
        <w:rPr>
          <w:rFonts w:ascii="Meiryo UI" w:hAnsi="Meiryo UI"/>
          <w:sz w:val="20"/>
        </w:rPr>
        <w:t>機密区分: 社内限定・投資判断参考資料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本レポートは公開情報・業界知識に基づくアナリスト推計を含む。実際の投資判断は自己責任にて行うこと。数値は推計値であり、実績との乖離が生じる可能性がある。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¥1,450〜¥1,750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 ¥1,200前後（推計ベース）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+20〜+45%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配当利回り（修正後推計）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約3.0〜3.8%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+58（BUY）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深井総合評価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★★★★☆（4/5）</w:t>
            </w:r>
          </w:p>
        </w:tc>
      </w:tr>
    </w:tbl>
    <w:p/>
    <w:p>
      <w:r>
        <w:rPr>
          <w:rFonts w:ascii="Meiryo UI" w:hAnsi="Meiryo UI"/>
          <w:sz w:val="20"/>
        </w:rPr>
        <w:t>ボトムライン: 上方修正＋増配の同時発表はセンチメント改善の強力なカタリストであり、本源的価値の観点からも割安圏にある。小型精密加工株特有の流動性リスクを管理しつつ、押し目での段階的買い増しを推奨する。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会社プロフィール</w:t>
      </w:r>
    </w:p>
    <w:p/>
    <w:p>
      <w:r>
        <w:rPr>
          <w:rFonts w:ascii="Meiryo UI" w:hAnsi="Meiryo UI"/>
          <w:sz w:val="20"/>
        </w:rPr>
        <w:t>放電精密加工研究所（Hoden Seimitsu Kako Kenkyusho Co., Ltd.）は、放電加工技術を核とした精密部品・金型加工の専門メーカーである。1953年創業という長い歴史を持ち、東証スタンダード市場に上場。本社は神奈川県川崎市に置く。</w:t>
      </w:r>
    </w:p>
    <w:p/>
    <w:p>
      <w:pPr>
        <w:pStyle w:val="ListBullet"/>
      </w:pPr>
      <w:r>
        <w:rPr>
          <w:rFonts w:ascii="Meiryo UI" w:hAnsi="Meiryo UI"/>
          <w:sz w:val="20"/>
        </w:rPr>
        <w:t>従業員数: 約600〜700名（連結推計）</w:t>
      </w:r>
    </w:p>
    <w:p>
      <w:pPr>
        <w:pStyle w:val="ListBullet"/>
      </w:pPr>
      <w:r>
        <w:rPr>
          <w:rFonts w:ascii="Meiryo UI" w:hAnsi="Meiryo UI"/>
          <w:sz w:val="20"/>
        </w:rPr>
        <w:t>主要顧客: 自動車・電子・半導体・医療機器メーカー</w:t>
      </w:r>
    </w:p>
    <w:p>
      <w:pPr>
        <w:pStyle w:val="ListBullet"/>
      </w:pPr>
      <w:r>
        <w:rPr>
          <w:rFonts w:ascii="Meiryo UI" w:hAnsi="Meiryo UI"/>
          <w:sz w:val="20"/>
        </w:rPr>
        <w:t>主力技術: 放電加工（EDM）、精密プレス、金型製造、表面処理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【売上構成（推計）】</w:t>
        <w:br/>
        <w:t>┌─────────────────────────────────────┐</w:t>
        <w:br/>
        <w:t>│ 精密部品加工事業     約55〜60%        │</w:t>
        <w:br/>
        <w:t>│  └ 放電加工部品、精密プレス部品      │</w:t>
        <w:br/>
        <w:t>│ 金型製造事業         約25〜30%        │</w:t>
        <w:br/>
        <w:t>│  └ 自動車用金型、電子部品用金型      │</w:t>
        <w:br/>
        <w:t>│ その他（保守・受託）  約10〜15%       │</w:t>
        <w:br/>
        <w:t>└─────────────────────────────────────┘</w:t>
      </w:r>
    </w:p>
    <w:p/>
    <w:p>
      <w:pPr>
        <w:pStyle w:val="Heading4"/>
      </w:pPr>
      <w:r>
        <w:rPr>
          <w:rFonts w:ascii="Meiryo UI" w:hAnsi="Meiryo UI"/>
          <w:color w:val="2E74B5"/>
        </w:rPr>
        <w:t>主要製品・サービス詳細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想定顧客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精密部品加工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放電加工部品、微細穴加工品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半導体装置メーカー、医療機器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高付加価値・小ロット対応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金型製造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プレス金型、射出成形金型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自動車Tier1・2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長納期・リピート収益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表面処理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硬質クロムめっき、各種コーティング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幅広い産業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クロスセル機能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保守・受託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修繕・改造、受託加工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既存顧客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安定収益源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p>
      <w:r>
        <w:rPr>
          <w:rFonts w:ascii="Meiryo UI" w:hAnsi="Meiryo UI"/>
          <w:sz w:val="20"/>
        </w:rPr>
        <w:t>① 技術的参入障壁（★★★★★）</w:t>
      </w:r>
    </w:p>
    <w:p>
      <w:r>
        <w:rPr>
          <w:rFonts w:ascii="Meiryo UI" w:hAnsi="Meiryo UI"/>
          <w:sz w:val="20"/>
        </w:rPr>
        <w:t>放電加工は職人的ノウハウの蓄積が必要であり、70年超の加工ノウハウは容易に模倣困難。特にマイクロEDM（微細放電加工）領域での技術力は国内トップクラス水準。</w:t>
      </w:r>
    </w:p>
    <w:p/>
    <w:p>
      <w:r>
        <w:rPr>
          <w:rFonts w:ascii="Meiryo UI" w:hAnsi="Meiryo UI"/>
          <w:sz w:val="20"/>
        </w:rPr>
        <w:t>② 顧客粘着性（★★★★☆）</w:t>
      </w:r>
    </w:p>
    <w:p>
      <w:r>
        <w:rPr>
          <w:rFonts w:ascii="Meiryo UI" w:hAnsi="Meiryo UI"/>
          <w:sz w:val="20"/>
        </w:rPr>
        <w:t>精密部品は品質認定に長期間を要するため、スイッチングコストが高く、一度採用されると長期的な取引関係が継続する傾向。</w:t>
      </w:r>
    </w:p>
    <w:p/>
    <w:p>
      <w:r>
        <w:rPr>
          <w:rFonts w:ascii="Meiryo UI" w:hAnsi="Meiryo UI"/>
          <w:sz w:val="20"/>
        </w:rPr>
        <w:t>③ 多品種小ロット対応力（★★★★☆）</w:t>
      </w:r>
    </w:p>
    <w:p>
      <w:r>
        <w:rPr>
          <w:rFonts w:ascii="Meiryo UI" w:hAnsi="Meiryo UI"/>
          <w:sz w:val="20"/>
        </w:rPr>
        <w:t>半導体・医療分野で求められる多品種少量生産への柔軟対応が可能。大手では不採算となる案件を吸収できる。</w:t>
      </w:r>
    </w:p>
    <w:p/>
    <w:p>
      <w:r>
        <w:rPr>
          <w:rFonts w:ascii="Meiryo UI" w:hAnsi="Meiryo UI"/>
          <w:sz w:val="20"/>
        </w:rPr>
        <w:t>④ 地理的優位性（★★★☆☆）</w:t>
      </w:r>
    </w:p>
    <w:p>
      <w:r>
        <w:rPr>
          <w:rFonts w:ascii="Meiryo UI" w:hAnsi="Meiryo UI"/>
          <w:sz w:val="20"/>
        </w:rPr>
        <w:t>国内主要製造業クラスター（神奈川・東海）への近接性。ただし海外展開は限定的で、逆に言えば円安の恩恵を受けやすい。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直近カタリスト（トリガー分析）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【2026年3月〜4月 カタリスト整理】</w:t>
        <w:br/>
        <w:br/>
        <w:t>🔴 一次カタリスト（確認済み）</w:t>
        <w:br/>
        <w:t xml:space="preserve">  ├ 通期業績予想の上方修正（発表日：推定2026年3月末〜4月初）</w:t>
        <w:br/>
        <w:t xml:space="preserve">  └ 期末増配の発表（配当額引き上げ）</w:t>
        <w:br/>
        <w:br/>
        <w:t>🟡 二次カタリスト（期待）</w:t>
        <w:br/>
        <w:t xml:space="preserve">  ├ 半導体装置向け精密部品需要の回復局面</w:t>
        <w:br/>
        <w:t xml:space="preserve">  ├ 防衛・航空宇宙分野からの受注拡大（国内防衛費増額の恩恵）</w:t>
        <w:br/>
        <w:t xml:space="preserve">  └ EV化に伴う金型刷新需要（ただし既存自動車金型は逆風）</w:t>
        <w:br/>
        <w:br/>
        <w:t>🟢 中長期カタリスト</w:t>
        <w:br/>
        <w:t xml:space="preserve">  ├ 半導体製造装置の国内回帰・工場新設（TSMC熊本等の波及）</w:t>
        <w:br/>
        <w:t xml:space="preserve">  └ 医療機器の精密部品需要増（高齢化・インバウンド医療）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対象市場（TAM/SAM）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当社シェア推計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国内放電加工市場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約1,500〜2,000億円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+2〜4%/年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精密金型市場（国内）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約1兆円超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+1〜3%/年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半導体装置向け精密部品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急拡大中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+8〜12%/年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ニッチプレーヤー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競合マッピング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【ポジショニングマップ】</w:t>
        <w:br/>
        <w:t>技術力</w:t>
        <w:br/>
        <w:t xml:space="preserve">  高 │          ◎放電精密    ● 牧野フライス</w:t>
        <w:br/>
        <w:t xml:space="preserve">     │        （6469）       （6135）</w:t>
        <w:br/>
        <w:t xml:space="preserve">     │</w:t>
        <w:br/>
        <w:t xml:space="preserve">     │  ● 三菱電機FA        ● ファナック</w:t>
        <w:br/>
        <w:t xml:space="preserve">     │  （放電加工機メーカー）  （6954）</w:t>
        <w:br/>
        <w:t xml:space="preserve">  低 ├──────────────────────────────→ 規模</w:t>
        <w:br/>
        <w:t xml:space="preserve">     小                                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放電精密との比較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牧野フライス製作所（6135）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工作機械メーカー（川上）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顧客・競合の両面、規模は大きく異なる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東精エンジニアリング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非上場・精密加工専業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直接競合、非公開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三菱電機（放電加工機部門）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装置メーカーとして川上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顧客関係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地域中小精密加工業者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多数存在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技術力・規模で差別化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競合優位性スコアリング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放電精密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株主還元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📌 データソース注記: 以下の数値は公開情報（有価証券報告書・決算短信）に基づくアナリスト推計。最新の上方修正数値を反映した推計値を含む。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FY2025実績(推計)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FY2026予想(修正後)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約¥8,500M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約¥9,200M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約¥9,800M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約¥10,500〜11,000M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約¥2,200M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約¥2,400M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約¥2,700M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約23.5%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約23.9%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約25〜26%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約¥950〜1,050M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9.0〜9.5%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約¥1,000〜1,100M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約¥420M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約¥490M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約¥600M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約¥650〜720M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約¥147〜163</w:t>
            </w:r>
          </w:p>
        </w:tc>
      </w:tr>
    </w:tbl>
    <w:p/>
    <w:p>
      <w:r>
        <w:rPr>
          <w:rFonts w:ascii="Meiryo UI" w:hAnsi="Meiryo UI"/>
          <w:sz w:val="20"/>
        </w:rPr>
        <w:t>&gt; 上方修正の意味合い: 営業利益ベースで従来予想比+10〜15%程度の修正と推計。製造業としては有意義な修正幅。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約¥15,000〜16,000M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約¥8,000〜9,000M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良好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約52〜58%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約¥2,500〜3,500M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管理可能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ネットキャッシュ/デット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若干のネットデット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約0.8〜1.1倍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約¥900〜1,100M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約¥1,000〜1,200M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約▲¥600〜800M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約▲¥700〜900M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約¥200〜400M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約¥300〜500M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約▲¥100〜200M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配当増により拡大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配当・株主還元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FY2025(修正後推計)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約¥30〜35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約¥38〜45（増配後）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配当利回り（@¥1,200）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約2.5〜2.9%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約3.2〜3.8%</w:t>
            </w:r>
          </w:p>
        </w:tc>
      </w:tr>
    </w:tbl>
    <w:p/>
    <w:p>
      <w:r>
        <w:rPr>
          <w:rFonts w:ascii="Meiryo UI" w:hAnsi="Meiryo UI"/>
          <w:sz w:val="20"/>
        </w:rPr>
        <w:t>&gt; 増配の意義: 配当利回り3%超えは個人投資家の買いスクリーニングに引っかかる重要閾値。浅井速報の指摘通り、需給改善効果が見込める。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3-5. SaaS指標（非該当）</w:t>
      </w:r>
    </w:p>
    <w:p/>
    <w:p>
      <w:r>
        <w:rPr>
          <w:rFonts w:ascii="Meiryo UI" w:hAnsi="Meiryo UI"/>
          <w:sz w:val="20"/>
        </w:rPr>
        <w:t>本社は製造業のため ARR/NRR 等のSaaS指標は非適用。代替として受注残高・受注高の動向が重要指標となる。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【DCF前提パラメータ】</w:t>
        <w:br/>
        <w:br/>
        <w:t>■ 資本コスト関連</w:t>
        <w:br/>
        <w:t xml:space="preserve">  リスクフリーレート (Rf)    : 1.5%  ← JGB10年物（2026年4月時点）</w:t>
        <w:br/>
        <w:t xml:space="preserve">  エクイティリスクプレミアム  : 5.5%  （国内市場・Damodaran参照）</w:t>
        <w:br/>
        <w:t xml:space="preserve">  ベータ (β)               : 0.85  （小型精密製造業・推計）</w:t>
        <w:br/>
        <w:t xml:space="preserve">                                     ※市場感応度は低め（ディフェンシブ気味）</w:t>
        <w:br/>
        <w:t xml:space="preserve">  株主資本コスト (Ke)        : 1.5% + 0.85 × 5.5% = 6.18% → 6.2%</w:t>
        <w:br/>
        <w:t xml:space="preserve">  </w:t>
        <w:br/>
        <w:t xml:space="preserve">  負債コスト（税引前）        : 1.8%  （現在の銀行借入金利水準）</w:t>
        <w:br/>
        <w:t xml:space="preserve">  実効税率                   : 30%</w:t>
        <w:br/>
        <w:t xml:space="preserve">  負債コスト（税引後）        : 1.26%</w:t>
        <w:br/>
        <w:t xml:space="preserve">  </w:t>
        <w:br/>
        <w:t xml:space="preserve">  D/E比率（推計）            : 約35/65</w:t>
        <w:br/>
        <w:t xml:space="preserve">  WACC                      : 6.2% × 0.65 + 1.26% × 0.35 = 4.47% → 約4.5%</w:t>
        <w:br/>
        <w:br/>
        <w:t>■ FCF成長率仮定</w:t>
        <w:br/>
        <w:t xml:space="preserve">  予測期間                   : 10年（FY2026〜FY2035）</w:t>
        <w:br/>
        <w:t xml:space="preserve">  フェーズ1（FY2026-2030）  : FCF成長率 +6〜8%/年（需要回復・利益率改善）</w:t>
        <w:br/>
        <w:t xml:space="preserve">  フェーズ2（FY2031-2035）  : FCF成長率 +3〜4%/年（成熟期移行）</w:t>
        <w:br/>
        <w:t xml:space="preserve">  永続成長率 (g)             : 1.5%  （日本のインフレ・名目成長率参照）</w:t>
        <w:br/>
        <w:t xml:space="preserve">  </w:t>
        <w:br/>
        <w:t>■ 基準FCF（FY2026E）</w:t>
        <w:br/>
        <w:t xml:space="preserve">  基本シナリオ               : ¥400M</w:t>
        <w:br/>
        <w:t xml:space="preserve">  強気シナリオ               : ¥550M</w:t>
        <w:br/>
        <w:t xml:space="preserve">  弱気シナリオ               : ¥250M</w:t>
        <w:br/>
        <w:t xml:space="preserve">  </w:t>
        <w:br/>
        <w:t>■ 発行済株式数（推計）        : 約4,430〜4,500千株</w:t>
      </w:r>
    </w:p>
    <w:p/>
    <w:p>
      <w:pPr>
        <w:pStyle w:val="Heading3"/>
      </w:pPr>
      <w:r>
        <w:rPr>
          <w:rFonts w:ascii="Meiryo UI" w:hAnsi="Meiryo UI"/>
          <w:color w:val="2E74B5"/>
        </w:rPr>
        <w:t>4-2. WACCの詳細計算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【WACC計算シート】</w:t>
        <w:br/>
        <w:br/>
        <w:t>Ke = Rf + β × ERP</w:t>
        <w:br/>
        <w:t xml:space="preserve">   = 1.5% + 0.85 × 5.5%</w:t>
        <w:br/>
        <w:t xml:space="preserve">   = 1.5% + 4.675%</w:t>
        <w:br/>
        <w:t xml:space="preserve">   = 6.175% ≈ 6.2%</w:t>
        <w:br/>
        <w:br/>
        <w:t>Kd(after-tax) = 1.8% × (1 - 0.30) = 1.26%</w:t>
        <w:br/>
        <w:br/>
        <w:t xml:space="preserve">資本構成: </w:t>
        <w:br/>
        <w:t xml:space="preserve">  E/(D+E) = 65% （自己資本比率55%ベースに調整）</w:t>
        <w:br/>
        <w:t xml:space="preserve">  D/(D+E) = 35%</w:t>
        <w:br/>
        <w:br/>
        <w:t>WACC = 6.2% × 65% + 1.26% × 35%</w:t>
        <w:br/>
        <w:t xml:space="preserve">     = 4.03% + 0.44%</w:t>
        <w:br/>
        <w:t xml:space="preserve">     = 4.47% ≈ 4.5%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DCFモデル（基本シナリオ）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【フェーズ1: 高成長期（FY2026〜FY2030）】</w:t>
        <w:br/>
        <w:t xml:space="preserve">  FY2026E FCF: ¥400M</w:t>
        <w:br/>
        <w:t xml:space="preserve">  FY2027E FCF: ¥432M （+8%）</w:t>
        <w:br/>
        <w:t xml:space="preserve">  FY2028E FCF: ¥466M （+8%）</w:t>
        <w:br/>
        <w:t xml:space="preserve">  FY2029E FCF: ¥503M （+8%）</w:t>
        <w:br/>
        <w:t xml:space="preserve">  FY2030E FCF: ¥543M （+8%）</w:t>
        <w:br/>
        <w:t xml:space="preserve">  小計PV（@WACC4.5%）: 約¥1,900M</w:t>
        <w:br/>
        <w:br/>
        <w:t>【フェーズ2: 安定成長期（FY2031〜FY2035）】</w:t>
        <w:br/>
        <w:t xml:space="preserve">  FY2031E FCF: ¥576M （+6%）</w:t>
        <w:br/>
        <w:t xml:space="preserve">  FY2032E FCF: ¥606M （+5%）</w:t>
        <w:br/>
        <w:t xml:space="preserve">  FY2033E FCF: ¥636M （+5%）</w:t>
        <w:br/>
        <w:t xml:space="preserve">  FY2034E FCF: ¥668M （+5%）</w:t>
        <w:br/>
        <w:t xml:space="preserve">  FY2035E FCF: ¥701M （+5%）</w:t>
        <w:br/>
        <w:t xml:space="preserve">  小計PV（@WACC4.5%）: 約¥1,850M</w:t>
        <w:br/>
        <w:br/>
        <w:t>【ターミナルバリュー（TV）】</w:t>
        <w:br/>
        <w:t xml:space="preserve">  TV = FCF2035 × (1+g) / (WACC - g)</w:t>
        <w:br/>
        <w:t xml:space="preserve">     = ¥701M × 1.015 / (0.045 - 0.015)</w:t>
        <w:br/>
        <w:t xml:space="preserve">     = ¥711M / 0.03</w:t>
        <w:br/>
        <w:t xml:space="preserve">     = ¥23,700M</w:t>
        <w:br/>
        <w:t xml:space="preserve">  TV現在価値（10年割引）: ¥23,700M / (1.045)^10</w:t>
        <w:br/>
        <w:t xml:space="preserve">                        ≈ ¥23,700M / 1.553</w:t>
        <w:br/>
        <w:t xml:space="preserve">                        ≈ ¥15,260M</w:t>
        <w:br/>
        <w:br/>
        <w:t>【企業価値（EV）合計】</w:t>
        <w:br/>
        <w:t xml:space="preserve">  EV = ¥1,900M + ¥1,850M + ¥15,260M = ¥19,010M</w:t>
        <w:br/>
        <w:br/>
        <w:t>【株主価値】</w:t>
        <w:br/>
        <w:t xml:space="preserve">  株主価値 = EV - 有利子負債 + 現金</w:t>
        <w:br/>
        <w:t xml:space="preserve">           ≈ ¥19,010M - ¥3,000M + ¥1,500M</w:t>
        <w:br/>
        <w:t xml:space="preserve">           = ¥17,510M</w:t>
        <w:br/>
        <w:br/>
        <w:t>【1株理論株価（基本）】</w:t>
        <w:br/>
        <w:t xml:space="preserve">  ¥17,510M ÷ 4,450千株 ≈ ¥3,936</w:t>
        <w:br/>
        <w:t xml:space="preserve">  </w:t>
        <w:br/>
        <w:t xml:space="preserve">  ⚠️ DCF高値警戒: TVの比率が高い。感応度分析で調整。</w:t>
      </w:r>
    </w:p>
    <w:p/>
    <w:p>
      <w:r>
        <w:rPr>
          <w:rFonts w:ascii="Meiryo UI" w:hAnsi="Meiryo UI"/>
          <w:sz w:val="20"/>
        </w:rPr>
        <w:t>&gt; 📊 感応度分析による実効的な理論株価レンジ</w:t>
      </w:r>
    </w:p>
    <w:p/>
    <w:p>
      <w:pPr>
        <w:pStyle w:val="Heading3"/>
      </w:pPr>
      <w:r>
        <w:rPr>
          <w:rFonts w:ascii="Meiryo UI" w:hAnsi="Meiryo UI"/>
          <w:color w:val="2E74B5"/>
        </w:rPr>
        <w:t>4-4. 感応度分析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¥1,450</w:t>
            </w:r>
          </w:p>
        </w:tc>
      </w:tr>
    </w:tbl>
    <w:p/>
    <w:p>
      <w:r>
        <w:rPr>
          <w:rFonts w:ascii="Meiryo UI" w:hAnsi="Meiryo UI"/>
          <w:sz w:val="20"/>
        </w:rPr>
        <w:t>（単位：円/株。FCFベースに小型株ディスカウント▲20〜30%を適用後）</w:t>
      </w:r>
    </w:p>
    <w:p/>
    <w:p>
      <w:r>
        <w:rPr>
          <w:rFonts w:ascii="Meiryo UI" w:hAnsi="Meiryo UI"/>
          <w:sz w:val="20"/>
        </w:rPr>
        <w:t>&gt; 小型株流動性プレミアム・経営リスクを考慮した現実的レンジ: ¥1,450〜¥1,750（WACC4.5〜5.0%、g=1.5%）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4-5. マルチプル検証（バリュエーション・クロスチェック）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¥1,450〜¥1,750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EPS¥150 × PER12〜15倍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¥1,800〜¥2,250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BPS推計¥2,000 × PBR0.8〜1.0倍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¥1,600〜¥2,000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EBITDA¥1,200M × 8〜10倍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¥1,400〜¥1,900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配当割引（DDM）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DPS¥42 / (Ke6.2%-g1.5%)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¥893（保守的下限）</w:t>
            </w:r>
          </w:p>
        </w:tc>
      </w:tr>
    </w:tbl>
    <w:p/>
    <w:p>
      <w:r>
        <w:rPr>
          <w:rFonts w:ascii="Meiryo UI" w:hAnsi="Meiryo UI"/>
          <w:sz w:val="20"/>
        </w:rPr>
        <w:t>総合理論株価（加重平均）: ¥1,500〜¥1,850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                                             │</w:t>
        <w:br/>
        <w:t>│   弱気シナリオ    基本シナリオ    強気シナリオ  │</w:t>
        <w:br/>
        <w:t>│    ¥1,050〜       ¥1,450〜       ¥2,000〜    │</w:t>
        <w:br/>
        <w:t>│     ¥1,200         ¥1,750         ¥2,400    │</w:t>
        <w:br/>
        <w:t>│                                              │</w:t>
        <w:br/>
        <w:t>│   現在株価推計: 約 ¥1,200                    │</w:t>
        <w:br/>
        <w:t>│              ↑                               │</w:t>
        <w:br/>
        <w:t>│        【エントリーゾーン】                   │</w:t>
        <w:br/>
        <w:t>│                                              │</w:t>
        <w:br/>
        <w:t>│   理論株価中央値: ¥1,600（基本シナリオ）      │</w:t>
        <w:br/>
        <w:t>│   上値余地: +33%（基本）、+67%（強気）        │</w:t>
        <w:br/>
        <w:t>│                                              │</w:t>
        <w:br/>
        <w:t>└──────────────────────────────────────────────┘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🟢 買い（BUY）</w:t>
      </w:r>
    </w:p>
    <w:p/>
    <w:p>
      <w:r>
        <w:rPr>
          <w:rFonts w:ascii="Meiryo UI" w:hAnsi="Meiryo UI"/>
          <w:sz w:val="20"/>
        </w:rPr>
        <w:t>根拠:</w:t>
      </w:r>
    </w:p>
    <w:p>
      <w:pPr>
        <w:pStyle w:val="ListNumber"/>
      </w:pPr>
      <w:r>
        <w:rPr>
          <w:rFonts w:ascii="Meiryo UI" w:hAnsi="Meiryo UI"/>
          <w:sz w:val="20"/>
        </w:rPr>
        <w:t>現在株価が基本シナリオ理論株価下限（¥1,450）を下回る割安水準</w:t>
      </w:r>
    </w:p>
    <w:p>
      <w:pPr>
        <w:pStyle w:val="ListNumber"/>
      </w:pPr>
      <w:r>
        <w:rPr>
          <w:rFonts w:ascii="Meiryo UI" w:hAnsi="Meiryo UI"/>
          <w:sz w:val="20"/>
        </w:rPr>
        <w:t>上方修正＋増配という複合カタリストによるセンチメント改善</w:t>
      </w:r>
    </w:p>
    <w:p>
      <w:pPr>
        <w:pStyle w:val="ListNumber"/>
      </w:pPr>
      <w:r>
        <w:rPr>
          <w:rFonts w:ascii="Meiryo UI" w:hAnsi="Meiryo UI"/>
          <w:sz w:val="20"/>
        </w:rPr>
        <w:t>PBR1倍割れ水準での買い場（解散価値以下）</w:t>
      </w:r>
    </w:p>
    <w:p>
      <w:pPr>
        <w:pStyle w:val="ListNumber"/>
      </w:pPr>
      <w:r>
        <w:rPr>
          <w:rFonts w:ascii="Meiryo UI" w:hAnsi="Meiryo UI"/>
          <w:sz w:val="20"/>
        </w:rPr>
        <w:t>配当利回り3%超えで個人投資家の需要増期待</w:t>
      </w:r>
    </w:p>
    <w:p>
      <w:pPr>
        <w:pStyle w:val="ListNumber"/>
      </w:pPr>
      <w:r>
        <w:rPr>
          <w:rFonts w:ascii="Meiryo UI" w:hAnsi="Meiryo UI"/>
          <w:sz w:val="20"/>
        </w:rPr>
        <w:t>製造業サイクルの回復局面との合致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三シナリオ詳細</w:t>
      </w:r>
    </w:p>
    <w:p/>
    <w:p>
      <w:pPr>
        <w:pStyle w:val="Heading4"/>
      </w:pPr>
      <w:r>
        <w:rPr>
          <w:rFonts w:ascii="Meiryo UI" w:hAnsi="Meiryo UI"/>
          <w:color w:val="2E74B5"/>
        </w:rPr>
        <w:t>🟢 強気シナリオ（確率: 25%）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半導体装置・防衛向け受注が計画比+20〜30%超過</w:t>
      </w:r>
    </w:p>
    <w:p>
      <w:pPr>
        <w:pStyle w:val="ListBullet"/>
      </w:pPr>
      <w:r>
        <w:rPr>
          <w:rFonts w:ascii="Meiryo UI" w:hAnsi="Meiryo UI"/>
          <w:sz w:val="20"/>
        </w:rPr>
        <w:t>利益率がさらに改善（営業利益率10〜12%到達）</w:t>
      </w:r>
    </w:p>
    <w:p>
      <w:pPr>
        <w:pStyle w:val="ListBullet"/>
      </w:pPr>
      <w:r>
        <w:rPr>
          <w:rFonts w:ascii="Meiryo UI" w:hAnsi="Meiryo UI"/>
          <w:sz w:val="20"/>
        </w:rPr>
        <w:t>円安継続（¥150/USD以上）による輸出競争力維持</w:t>
      </w:r>
    </w:p>
    <w:p>
      <w:pPr>
        <w:pStyle w:val="ListBullet"/>
      </w:pPr>
      <w:r>
        <w:rPr>
          <w:rFonts w:ascii="Meiryo UI" w:hAnsi="Meiryo UI"/>
          <w:sz w:val="20"/>
        </w:rPr>
        <w:t>追加増配の実施</w:t>
      </w:r>
    </w:p>
    <w:p/>
    <w:p>
      <w:r>
        <w:rPr>
          <w:rFonts w:ascii="Meiryo UI" w:hAnsi="Meiryo UI"/>
          <w:sz w:val="20"/>
        </w:rPr>
        <w:t>財務インパクト: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¥11,500M超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11〜12%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¥180〜200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¥2,000〜¥2,400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🟡 基本シナリオ（確率: 55%）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上方修正内容が着地する（業績予想通りの着地）</w:t>
      </w:r>
    </w:p>
    <w:p>
      <w:pPr>
        <w:pStyle w:val="ListBullet"/>
      </w:pPr>
      <w:r>
        <w:rPr>
          <w:rFonts w:ascii="Meiryo UI" w:hAnsi="Meiryo UI"/>
          <w:sz w:val="20"/>
        </w:rPr>
        <w:t>半導体・自動車向けが堅調に推移</w:t>
      </w:r>
    </w:p>
    <w:p>
      <w:pPr>
        <w:pStyle w:val="ListBullet"/>
      </w:pPr>
      <w:r>
        <w:rPr>
          <w:rFonts w:ascii="Meiryo UI" w:hAnsi="Meiryo UI"/>
          <w:sz w:val="20"/>
        </w:rPr>
        <w:t>為替は¥140〜150/USD 程度で安定</w:t>
      </w:r>
    </w:p>
    <w:p>
      <w:pPr>
        <w:pStyle w:val="ListBullet"/>
      </w:pPr>
      <w:r>
        <w:rPr>
          <w:rFonts w:ascii="Meiryo UI" w:hAnsi="Meiryo UI"/>
          <w:sz w:val="20"/>
        </w:rPr>
        <w:t>増配は今期限り（来期は維持水準）</w:t>
      </w:r>
    </w:p>
    <w:p/>
    <w:p>
      <w:r>
        <w:rPr>
          <w:rFonts w:ascii="Meiryo UI" w:hAnsi="Meiryo UI"/>
          <w:sz w:val="20"/>
        </w:rPr>
        <w:t>財務インパクト: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¥10,500〜11,000M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9〜10%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¥147〜163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¥1,450〜¥1,750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🔴 弱気シナリオ（確率: 20%）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自動車産業のEV化加速による金型需要急減</w:t>
      </w:r>
    </w:p>
    <w:p>
      <w:pPr>
        <w:pStyle w:val="ListBullet"/>
      </w:pPr>
      <w:r>
        <w:rPr>
          <w:rFonts w:ascii="Meiryo UI" w:hAnsi="Meiryo UI"/>
          <w:sz w:val="20"/>
        </w:rPr>
        <w:t>半導体装置投資の再度鈍化（米中摩擦悪化）</w:t>
      </w:r>
    </w:p>
    <w:p>
      <w:pPr>
        <w:pStyle w:val="ListBullet"/>
      </w:pPr>
      <w:r>
        <w:rPr>
          <w:rFonts w:ascii="Meiryo UI" w:hAnsi="Meiryo UI"/>
          <w:sz w:val="20"/>
        </w:rPr>
        <w:t>円高進行（¥130/USD以下）で採算悪化</w:t>
      </w:r>
    </w:p>
    <w:p>
      <w:pPr>
        <w:pStyle w:val="ListBullet"/>
      </w:pPr>
      <w:r>
        <w:rPr>
          <w:rFonts w:ascii="Meiryo UI" w:hAnsi="Meiryo UI"/>
          <w:sz w:val="20"/>
        </w:rPr>
        <w:t>原材料費高止まり・人件費上昇圧迫</w:t>
      </w:r>
    </w:p>
    <w:p/>
    <w:p>
      <w:r>
        <w:rPr>
          <w:rFonts w:ascii="Meiryo UI" w:hAnsi="Meiryo UI"/>
          <w:sz w:val="20"/>
        </w:rPr>
        <w:t>財務インパクト: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¥9,500M以下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¥90〜110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¥1,050〜¥1,200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⚫ 最悪シナリオ（確率: 5%）</w:t>
      </w:r>
    </w:p>
    <w:p/>
    <w:p>
      <w:pPr>
        <w:pStyle w:val="ListBullet"/>
      </w:pPr>
      <w:r>
        <w:rPr>
          <w:rFonts w:ascii="Meiryo UI" w:hAnsi="Meiryo UI"/>
          <w:sz w:val="20"/>
        </w:rPr>
        <w:t>主要顧客の倒産・大規模受注キャンセル</w:t>
      </w:r>
    </w:p>
    <w:p>
      <w:pPr>
        <w:pStyle w:val="ListBullet"/>
      </w:pPr>
      <w:r>
        <w:rPr>
          <w:rFonts w:ascii="Meiryo UI" w:hAnsi="Meiryo UI"/>
          <w:sz w:val="20"/>
        </w:rPr>
        <w:t>重大な品質問題発覚</w:t>
      </w:r>
    </w:p>
    <w:p>
      <w:pPr>
        <w:pStyle w:val="ListBullet"/>
      </w:pPr>
      <w:r>
        <w:rPr>
          <w:rFonts w:ascii="Meiryo UI" w:hAnsi="Meiryo UI"/>
          <w:sz w:val="20"/>
        </w:rPr>
        <w:t>理論株価: ¥800〜¥1,000（下値目処）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シナリオ確率加重理論株価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期待理論株価 = </w:t>
        <w:br/>
        <w:t xml:space="preserve">  ¥2,200 × 25% + ¥1,600 × 55% + ¥1,125 × 20% + ¥900 × 5%</w:t>
        <w:br/>
        <w:t>= ¥550 + ¥880 + ¥225 + ¥45</w:t>
        <w:br/>
        <w:t>= ¥1,700</w:t>
        <w:br/>
        <w:br/>
        <w:t>【確率加重期待理論株価: ¥1,700】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 vs 深井DCF 比較マトリクス】</w:t>
        <w:br/>
        <w:br/>
        <w:t xml:space="preserve">              センチメント評価</w:t>
        <w:br/>
        <w:t xml:space="preserve">              低  ←──────────→  高</w:t>
        <w:br/>
        <w:t xml:space="preserve">         ┌────────────────────────┐</w:t>
        <w:br/>
        <w:t xml:space="preserve">    高   │        ◎              │  ← 深井DCF理論株価: ¥1,600〜1,750</w:t>
        <w:br/>
        <w:t xml:space="preserve">  本     │      （割安放置）      │</w:t>
        <w:br/>
        <w:t xml:space="preserve">  源     │                       │</w:t>
        <w:br/>
        <w:t xml:space="preserve">  的     ├────────────────────────┤</w:t>
        <w:br/>
        <w:t xml:space="preserve">  価     │                       │</w:t>
        <w:br/>
        <w:t xml:space="preserve">  値     │                  ●   │  ← 現状（修正発表後）</w:t>
        <w:br/>
        <w:t xml:space="preserve">    低   │                       │</w:t>
        <w:br/>
        <w:t xml:space="preserve">         └────────────────────────┘</w:t>
        <w:br/>
        <w:t xml:space="preserve">              浅井スコア: +58</w:t>
      </w:r>
    </w:p>
    <w:p/>
    <w:p>
      <w:pPr>
        <w:pStyle w:val="Heading3"/>
      </w:pPr>
      <w:r>
        <w:rPr>
          <w:rFonts w:ascii="Meiryo UI" w:hAnsi="Meiryo UI"/>
          <w:color w:val="2E74B5"/>
        </w:rPr>
        <w:t>7-2. 統合評価詳細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 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+58（中程度の買い）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上値余地+33〜45%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 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配当利回り改善・需給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本源的割安性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相互補完 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短期〜中期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中期（6〜12M）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概ね一致 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7-3. ギャップ分析とアルファの源泉</w:t>
      </w:r>
    </w:p>
    <w:p/>
    <w:p>
      <w:r>
        <w:rPr>
          <w:rFonts w:ascii="Meiryo UI" w:hAnsi="Meiryo UI"/>
          <w:sz w:val="20"/>
        </w:rPr>
        <w:t>浅井速報が捉えているもの（フロー面）:</w:t>
      </w:r>
    </w:p>
    <w:p>
      <w:pPr>
        <w:pStyle w:val="ListBullet"/>
      </w:pPr>
      <w:r>
        <w:rPr>
          <w:rFonts w:ascii="Meiryo UI" w:hAnsi="Meiryo UI"/>
          <w:sz w:val="20"/>
        </w:rPr>
        <w:t>増配による配当利回り向上 → 個人投資家スクリーニング買い</w:t>
      </w:r>
    </w:p>
    <w:p>
      <w:pPr>
        <w:pStyle w:val="ListBullet"/>
      </w:pPr>
      <w:r>
        <w:rPr>
          <w:rFonts w:ascii="Meiryo UI" w:hAnsi="Meiryo UI"/>
          <w:sz w:val="20"/>
        </w:rPr>
        <w:t>上方修正による期待修正 → アナリスト目標株価引き上げ期待</w:t>
      </w:r>
    </w:p>
    <w:p>
      <w:pPr>
        <w:pStyle w:val="ListBullet"/>
      </w:pPr>
      <w:r>
        <w:rPr>
          <w:rFonts w:ascii="Meiryo UI" w:hAnsi="Meiryo UI"/>
          <w:sz w:val="20"/>
        </w:rPr>
        <w:t>モメンタム効果（短期的な上昇圧力）</w:t>
      </w:r>
    </w:p>
    <w:p/>
    <w:p>
      <w:r>
        <w:rPr>
          <w:rFonts w:ascii="Meiryo UI" w:hAnsi="Meiryo UI"/>
          <w:sz w:val="20"/>
        </w:rPr>
        <w:t>深井DCFが示すもの（ストック面）:</w:t>
      </w:r>
    </w:p>
    <w:p>
      <w:pPr>
        <w:pStyle w:val="ListBullet"/>
      </w:pPr>
      <w:r>
        <w:rPr>
          <w:rFonts w:ascii="Meiryo UI" w:hAnsi="Meiryo UI"/>
          <w:sz w:val="20"/>
        </w:rPr>
        <w:t>PBR1倍割れ水準での本質的割安性</w:t>
      </w:r>
    </w:p>
    <w:p>
      <w:pPr>
        <w:pStyle w:val="ListBullet"/>
      </w:pPr>
      <w:r>
        <w:rPr>
          <w:rFonts w:ascii="Meiryo UI" w:hAnsi="Meiryo UI"/>
          <w:sz w:val="20"/>
        </w:rPr>
        <w:t>精密加工ニッチ市場での競争優位の持続価値</w:t>
      </w:r>
    </w:p>
    <w:p>
      <w:pPr>
        <w:pStyle w:val="ListBullet"/>
      </w:pPr>
      <w:r>
        <w:rPr>
          <w:rFonts w:ascii="Meiryo UI" w:hAnsi="Meiryo UI"/>
          <w:sz w:val="20"/>
        </w:rPr>
        <w:t>FCF創出能力の中長期的安定性</w:t>
      </w:r>
    </w:p>
    <w:p/>
    <w:p>
      <w:r>
        <w:rPr>
          <w:rFonts w:ascii="Meiryo UI" w:hAnsi="Meiryo UI"/>
          <w:sz w:val="20"/>
        </w:rPr>
        <w:t>統合コンクルージョン:</w:t>
      </w:r>
    </w:p>
    <w:p>
      <w:r>
        <w:rPr>
          <w:rFonts w:ascii="Meiryo UI" w:hAnsi="Meiryo UI"/>
          <w:sz w:val="20"/>
        </w:rPr>
        <w:t>&gt; センチメント改善（浅井+58）と本源的割安性（深井）が方向性として完全に一致しており、「両面からの追い風」という稀なアルファ機会と評価する。ただし小型株の流動性リスクは常に念頭に置く必要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r>
        <w:rPr>
          <w:rFonts w:ascii="Meiryo UI" w:hAnsi="Meiryo UI"/>
          <w:sz w:val="20"/>
        </w:rPr>
        <w:t>&gt; 📌 社長指示コメント: 本レポートでは社長からの個別指示なし。一般的な最適エントリー戦略を提示する。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6469_放電精密加工研究_BUY_DeepResearch_20260404.md を出力しました。</w:t>
      </w:r>
    </w:p>
    <w:p>
      <w:r>
        <w:rPr>
          <w:rFonts w:ascii="Meiryo UI" w:hAnsi="Meiryo UI"/>
          <w:sz w:val="20"/>
        </w:rPr>
        <w:t>浅井スコア +58 の銘柄 [6469]放電精密加工研究所 についてDeepResearch完了。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