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[6532] ベイカレント（REVISED）</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[6532] ベイカレント（REVISED）</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ベイカレント・コンサルティング（6532.T）DeepResearchレポート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分析日：2026-04-15 ｜ 現在株価：¥4,887 ｜ 【緊急改訂版 — 26/2期確定決算反映】</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【買い（BUY）】 — FY27ガイダンス全面上振れ×PEG0.57の成長割安感。成長鈍化テーゼ完全消滅、決算ポジティブサプライズが構造的に確認された</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¥4,887 ／ 理論株価（FV）¥6,200〜¥6,800（基本DCFシナリオ：¥6,480）／ 上値余地 +32〜+39%</w:t>
            </w:r>
          </w:p>
        </w:tc>
      </w:tr>
      <w:tr>
        <w:tc>
          <w:tcPr>
            <w:tcW w:type="dxa" w:w="4703"/>
          </w:tcPr>
          <w:p>
            <w:r>
              <w:rPr>
                <w:rFonts w:ascii="Meiryo UI" w:hAnsi="Meiryo UI"/>
                <w:sz w:val="18"/>
              </w:rPr>
              <w:t>主要カタリスト</w:t>
            </w:r>
          </w:p>
        </w:tc>
        <w:tc>
          <w:tcPr>
            <w:tcW w:type="dxa" w:w="4703"/>
          </w:tcPr>
          <w:p>
            <w:r>
              <w:rPr>
                <w:rFonts w:ascii="Meiryo UI" w:hAnsi="Meiryo UI"/>
                <w:sz w:val="18"/>
              </w:rPr>
              <w:t>①FY27ガイダンス売上¥1,900億・OP¥648億（SBI比全面上振れ）の信頼性確認（2026年6月1Q開示）②コンサルタント5,590人体制による稼働率上昇と単価改善の継続③生成AI関連需要急拡大による案件単価・件数の複合成長（FY27後半から顕在化）</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逆日歩リスク（信用売り残高高水準）×PBR7.07倍の高バリュエーション。万一FY27 1Q進捗率が25%を下回ればコンセンサス剥落で急落リスク（▲20%超を想定）。損切りライン：¥4,100</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現値¥4,887で第1トランシェ40%エントリー。残り60%は6月FY27 1Q開示でガイダンス進捗率25%超確認後に追加。損切り：¥4,100（DCF弱気シナリオFV¥4,350比▲5.5%）。目標利確：¥6,480（+32%）、強気シナリオ到達なら¥6,800まで保有継続</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FY26/4Q売上+30% YoY成長加速</w:t>
            </w:r>
          </w:p>
        </w:tc>
        <w:tc>
          <w:tcPr>
            <w:tcW w:type="dxa" w:w="1881"/>
          </w:tcPr>
          <w:p>
            <w:r>
              <w:rPr>
                <w:rFonts w:ascii="Meiryo UI" w:hAnsi="Meiryo UI"/>
                <w:sz w:val="18"/>
              </w:rPr>
              <w:t>¥424億（4Q単体）</w:t>
            </w:r>
          </w:p>
        </w:tc>
        <w:tc>
          <w:tcPr>
            <w:tcW w:type="dxa" w:w="1881"/>
          </w:tcPr>
          <w:p>
            <w:r>
              <w:rPr>
                <w:rFonts w:ascii="Meiryo UI" w:hAnsi="Meiryo UI"/>
                <w:sz w:val="18"/>
              </w:rPr>
              <w:t>構造的</w:t>
            </w:r>
          </w:p>
        </w:tc>
        <w:tc>
          <w:tcPr>
            <w:tcW w:type="dxa" w:w="1881"/>
          </w:tcPr>
          <w:p>
            <w:r>
              <w:rPr>
                <w:rFonts w:ascii="Meiryo UI" w:hAnsi="Meiryo UI"/>
                <w:sz w:val="18"/>
              </w:rPr>
              <w:t>3Q→4Qで成長率が鈍化せず加速。顧客企業のDX投資が止まっていない証拠</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FY27ガイダンス売上¥1,900億（+28%）SBI比+¥132.2億上振れ</w:t>
            </w:r>
          </w:p>
        </w:tc>
        <w:tc>
          <w:tcPr>
            <w:tcW w:type="dxa" w:w="1881"/>
            <w:shd w:val="clear" w:color="auto" w:fill="DDEBF7"/>
          </w:tcPr>
          <w:p>
            <w:r>
              <w:rPr>
                <w:rFonts w:ascii="Meiryo UI" w:hAnsi="Meiryo UI"/>
                <w:sz w:val="18"/>
              </w:rPr>
              <w:t>¥1,900億（FY27通期）</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会社が自ら強気見通しを出した。経営陣の確信度が高い</w:t>
            </w:r>
          </w:p>
        </w:tc>
      </w:tr>
      <w:tr>
        <w:tc>
          <w:tcPr>
            <w:tcW w:type="dxa" w:w="1881"/>
          </w:tcPr>
          <w:p>
            <w:r>
              <w:rPr>
                <w:rFonts w:ascii="Meiryo UI" w:hAnsi="Meiryo UI"/>
                <w:sz w:val="18"/>
              </w:rPr>
              <w:t>💊 薬</w:t>
            </w:r>
          </w:p>
        </w:tc>
        <w:tc>
          <w:tcPr>
            <w:tcW w:type="dxa" w:w="1881"/>
          </w:tcPr>
          <w:p>
            <w:r>
              <w:rPr>
                <w:rFonts w:ascii="Meiryo UI" w:hAnsi="Meiryo UI"/>
                <w:sz w:val="18"/>
              </w:rPr>
              <w:t>コンサルタント5,590人（SBI予想比+181人）</w:t>
            </w:r>
          </w:p>
        </w:tc>
        <w:tc>
          <w:tcPr>
            <w:tcW w:type="dxa" w:w="1881"/>
          </w:tcPr>
          <w:p>
            <w:r>
              <w:rPr>
                <w:rFonts w:ascii="Meiryo UI" w:hAnsi="Meiryo UI"/>
                <w:sz w:val="18"/>
              </w:rPr>
              <w:t>+181人（予想超過）</w:t>
            </w:r>
          </w:p>
        </w:tc>
        <w:tc>
          <w:tcPr>
            <w:tcW w:type="dxa" w:w="1881"/>
          </w:tcPr>
          <w:p>
            <w:r>
              <w:rPr>
                <w:rFonts w:ascii="Meiryo UI" w:hAnsi="Meiryo UI"/>
                <w:sz w:val="18"/>
              </w:rPr>
              <w:t>構造的</w:t>
            </w:r>
          </w:p>
        </w:tc>
        <w:tc>
          <w:tcPr>
            <w:tcW w:type="dxa" w:w="1881"/>
          </w:tcPr>
          <w:p>
            <w:r>
              <w:rPr>
                <w:rFonts w:ascii="Meiryo UI" w:hAnsi="Meiryo UI"/>
                <w:sz w:val="18"/>
              </w:rPr>
              <w:t>採用・育成が計画通り進行。売上拡大の「量的ドライバー」が健全</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GPM58.6%（YoY+0.9pt改善）</w:t>
            </w:r>
          </w:p>
        </w:tc>
        <w:tc>
          <w:tcPr>
            <w:tcW w:type="dxa" w:w="1881"/>
            <w:shd w:val="clear" w:color="auto" w:fill="DDEBF7"/>
          </w:tcPr>
          <w:p>
            <w:r>
              <w:rPr>
                <w:rFonts w:ascii="Meiryo UI" w:hAnsi="Meiryo UI"/>
                <w:sz w:val="18"/>
              </w:rPr>
              <w:t>+0.9pt</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単価上昇・ミックス改善が継続。コスト圧力より価格決定力が勝っている</w:t>
            </w:r>
          </w:p>
        </w:tc>
      </w:tr>
      <w:tr>
        <w:tc>
          <w:tcPr>
            <w:tcW w:type="dxa" w:w="1881"/>
          </w:tcPr>
          <w:p>
            <w:r>
              <w:rPr>
                <w:rFonts w:ascii="Meiryo UI" w:hAnsi="Meiryo UI"/>
                <w:sz w:val="18"/>
              </w:rPr>
              <w:t>💊 薬</w:t>
            </w:r>
          </w:p>
        </w:tc>
        <w:tc>
          <w:tcPr>
            <w:tcW w:type="dxa" w:w="1881"/>
          </w:tcPr>
          <w:p>
            <w:r>
              <w:rPr>
                <w:rFonts w:ascii="Meiryo UI" w:hAnsi="Meiryo UI"/>
                <w:sz w:val="18"/>
              </w:rPr>
              <w:t>FY27 OP¥648億（+27%）SBI比+¥18.3億</w:t>
            </w:r>
          </w:p>
        </w:tc>
        <w:tc>
          <w:tcPr>
            <w:tcW w:type="dxa" w:w="1881"/>
          </w:tcPr>
          <w:p>
            <w:r>
              <w:rPr>
                <w:rFonts w:ascii="Meiryo UI" w:hAnsi="Meiryo UI"/>
                <w:sz w:val="18"/>
              </w:rPr>
              <w:t>¥648億ガイダンス</w:t>
            </w:r>
          </w:p>
        </w:tc>
        <w:tc>
          <w:tcPr>
            <w:tcW w:type="dxa" w:w="1881"/>
          </w:tcPr>
          <w:p>
            <w:r>
              <w:rPr>
                <w:rFonts w:ascii="Meiryo UI" w:hAnsi="Meiryo UI"/>
                <w:sz w:val="18"/>
              </w:rPr>
              <w:t>構造的</w:t>
            </w:r>
          </w:p>
        </w:tc>
        <w:tc>
          <w:tcPr>
            <w:tcW w:type="dxa" w:w="1881"/>
          </w:tcPr>
          <w:p>
            <w:r>
              <w:rPr>
                <w:rFonts w:ascii="Meiryo UI" w:hAnsi="Meiryo UI"/>
                <w:sz w:val="18"/>
              </w:rPr>
              <w:t>売上成長をそのまま利益に落とす高効率ビジネスモデルが維持されている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PBR7.07倍の高バリュエーション</w:t>
            </w:r>
          </w:p>
        </w:tc>
        <w:tc>
          <w:tcPr>
            <w:tcW w:type="dxa" w:w="1881"/>
            <w:shd w:val="clear" w:color="auto" w:fill="DDEBF7"/>
          </w:tcPr>
          <w:p>
            <w:r>
              <w:rPr>
                <w:rFonts w:ascii="Meiryo UI" w:hAnsi="Meiryo UI"/>
                <w:sz w:val="18"/>
              </w:rPr>
              <w:t>BPS¥691に対し株価¥4,887</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純資産ベースでは7倍超。業績が少しでも崩れると倍率収縮で株価が急落しやすい</w:t>
            </w:r>
          </w:p>
        </w:tc>
      </w:tr>
      <w:tr>
        <w:tc>
          <w:tcPr>
            <w:tcW w:type="dxa" w:w="1881"/>
          </w:tcPr>
          <w:p>
            <w:r>
              <w:rPr>
                <w:rFonts w:ascii="Meiryo UI" w:hAnsi="Meiryo UI"/>
                <w:sz w:val="18"/>
              </w:rPr>
              <w:t>☠️ 毒</w:t>
            </w:r>
          </w:p>
        </w:tc>
        <w:tc>
          <w:tcPr>
            <w:tcW w:type="dxa" w:w="1881"/>
          </w:tcPr>
          <w:p>
            <w:r>
              <w:rPr>
                <w:rFonts w:ascii="Meiryo UI" w:hAnsi="Meiryo UI"/>
                <w:sz w:val="18"/>
              </w:rPr>
              <w:t>信用売り残高・逆日歩リスク</w:t>
            </w:r>
          </w:p>
        </w:tc>
        <w:tc>
          <w:tcPr>
            <w:tcW w:type="dxa" w:w="1881"/>
          </w:tcPr>
          <w:p>
            <w:r>
              <w:rPr>
                <w:rFonts w:ascii="Meiryo UI" w:hAnsi="Meiryo UI"/>
                <w:sz w:val="18"/>
              </w:rPr>
              <w:t>定量非開示（高水準と認識）</w:t>
            </w:r>
          </w:p>
        </w:tc>
        <w:tc>
          <w:tcPr>
            <w:tcW w:type="dxa" w:w="1881"/>
          </w:tcPr>
          <w:p>
            <w:r>
              <w:rPr>
                <w:rFonts w:ascii="Meiryo UI" w:hAnsi="Meiryo UI"/>
                <w:sz w:val="18"/>
              </w:rPr>
              <w:t>一過性だが急性</w:t>
            </w:r>
          </w:p>
        </w:tc>
        <w:tc>
          <w:tcPr>
            <w:tcW w:type="dxa" w:w="1881"/>
          </w:tcPr>
          <w:p>
            <w:r>
              <w:rPr>
                <w:rFonts w:ascii="Meiryo UI" w:hAnsi="Meiryo UI"/>
                <w:sz w:val="18"/>
              </w:rPr>
              <w:t>ショートスクイーズが起きると急騰後に急落。今の+8.2%急騰の一部は踏み上げの可能性</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生成AI競合台頭リスク（中長期）</w:t>
            </w:r>
          </w:p>
        </w:tc>
        <w:tc>
          <w:tcPr>
            <w:tcW w:type="dxa" w:w="1881"/>
            <w:shd w:val="clear" w:color="auto" w:fill="DDEBF7"/>
          </w:tcPr>
          <w:p>
            <w:r>
              <w:rPr>
                <w:rFonts w:ascii="Meiryo UI" w:hAnsi="Meiryo UI"/>
                <w:sz w:val="18"/>
              </w:rPr>
              <w:t>定量化困難</w:t>
            </w:r>
          </w:p>
        </w:tc>
        <w:tc>
          <w:tcPr>
            <w:tcW w:type="dxa" w:w="1881"/>
            <w:shd w:val="clear" w:color="auto" w:fill="DDEBF7"/>
          </w:tcPr>
          <w:p>
            <w:r>
              <w:rPr>
                <w:rFonts w:ascii="Meiryo UI" w:hAnsi="Meiryo UI"/>
                <w:sz w:val="18"/>
              </w:rPr>
              <w:t>構造的（潜在）</w:t>
            </w:r>
          </w:p>
        </w:tc>
        <w:tc>
          <w:tcPr>
            <w:tcW w:type="dxa" w:w="1881"/>
            <w:shd w:val="clear" w:color="auto" w:fill="DDEBF7"/>
          </w:tcPr>
          <w:p>
            <w:r>
              <w:rPr>
                <w:rFonts w:ascii="Meiryo UI" w:hAnsi="Meiryo UI"/>
                <w:sz w:val="18"/>
              </w:rPr>
              <w:t>AIが人間コンサルタントの仕事を代替するシナリオ。ただし会社は「AI活用で差別化」と説明</w:t>
            </w:r>
          </w:p>
        </w:tc>
      </w:tr>
      <w:tr>
        <w:tc>
          <w:tcPr>
            <w:tcW w:type="dxa" w:w="1881"/>
          </w:tcPr>
          <w:p>
            <w:r>
              <w:rPr>
                <w:rFonts w:ascii="Meiryo UI" w:hAnsi="Meiryo UI"/>
                <w:sz w:val="18"/>
              </w:rPr>
              <w:t>☠️ 毒</w:t>
            </w:r>
          </w:p>
        </w:tc>
        <w:tc>
          <w:tcPr>
            <w:tcW w:type="dxa" w:w="1881"/>
          </w:tcPr>
          <w:p>
            <w:r>
              <w:rPr>
                <w:rFonts w:ascii="Meiryo UI" w:hAnsi="Meiryo UI"/>
                <w:sz w:val="18"/>
              </w:rPr>
              <w:t>FY27 OP¥648億は前提条件が強気</w:t>
            </w:r>
          </w:p>
        </w:tc>
        <w:tc>
          <w:tcPr>
            <w:tcW w:type="dxa" w:w="1881"/>
          </w:tcPr>
          <w:p>
            <w:r>
              <w:rPr>
                <w:rFonts w:ascii="Meiryo UI" w:hAnsi="Meiryo UI"/>
                <w:sz w:val="18"/>
              </w:rPr>
              <w:t>OPM34.1%維持前提</w:t>
            </w:r>
          </w:p>
        </w:tc>
        <w:tc>
          <w:tcPr>
            <w:tcW w:type="dxa" w:w="1881"/>
          </w:tcPr>
          <w:p>
            <w:r>
              <w:rPr>
                <w:rFonts w:ascii="Meiryo UI" w:hAnsi="Meiryo UI"/>
                <w:sz w:val="18"/>
              </w:rPr>
              <w:t>一過性リスク含む</w:t>
            </w:r>
          </w:p>
        </w:tc>
        <w:tc>
          <w:tcPr>
            <w:tcW w:type="dxa" w:w="1881"/>
          </w:tcPr>
          <w:p>
            <w:r>
              <w:rPr>
                <w:rFonts w:ascii="Meiryo UI" w:hAnsi="Meiryo UI"/>
                <w:sz w:val="18"/>
              </w:rPr>
              <w:t>ガイダンス達成には稼働率・単価の同時維持が必要。どちらか一方でも崩れると未達リスク</w:t>
            </w:r>
          </w:p>
        </w:tc>
      </w:tr>
    </w:tbl>
    <w:p/>
    <w:p>
      <w:r>
        <w:rPr>
          <w:rFonts w:ascii="Meiryo UI" w:hAnsi="Meiryo UI"/>
          <w:sz w:val="20"/>
        </w:rPr>
        <w:t>【実力ベース純利益・実力EPSの算出】</w:t>
      </w:r>
    </w:p>
    <w:p/>
    <w:p>
      <w:pPr>
        <w:shd w:val="clear" w:color="auto" w:fill="F2F2F2"/>
      </w:pPr>
      <w:r>
        <w:rPr>
          <w:rFonts w:ascii="Courier New" w:hAnsi="Courier New"/>
          <w:sz w:val="16"/>
        </w:rPr>
        <w:t>FY26確定値ベース：</w:t>
        <w:br/>
        <w:t xml:space="preserve">  売上高         ：¥1,484億（確定）</w:t>
        <w:br/>
        <w:t xml:space="preserve">  営業利益       ：¥510億（確定）</w:t>
        <w:br/>
        <w:t xml:space="preserve">  OPM            ：約34.4%</w:t>
        <w:br/>
        <w:t xml:space="preserve">  </w:t>
        <w:br/>
        <w:t xml:space="preserve">  税引後純利益推計（税率32%想定）：</w:t>
        <w:br/>
        <w:t xml:space="preserve">  ¥510億 × (1 - 0.32) = ¥346.8億</w:t>
        <w:br/>
        <w:t xml:space="preserve">  </w:t>
        <w:br/>
        <w:t xml:space="preserve">  発行済株数推計（EPS¥249、純利益ベース逆算）：</w:t>
        <w:br/>
        <w:t xml:space="preserve">  FY26 純利益 = EPS¥249 × 株数</w:t>
        <w:br/>
        <w:t xml:space="preserve">  → 株数 = 純利益 ÷ EPS ← EPS¥249が確定値</w:t>
        <w:br/>
        <w:t xml:space="preserve">  → 純利益推計：¥346.8億 ÷ EPS逆算（注）</w:t>
        <w:br/>
        <w:t xml:space="preserve">  </w:t>
        <w:br/>
        <w:t xml:space="preserve">  ※公式EPS¥249（Yahoo Finance確定値）を使用：</w:t>
        <w:br/>
        <w:t xml:space="preserve">  発行済株数 = 純利益 ÷ ¥249</w:t>
        <w:br/>
        <w:t xml:space="preserve">  </w:t>
        <w:br/>
        <w:t xml:space="preserve">  一過性毒の除去（逆日歩関連コスト・特別損益は非開示のため調整不要）：</w:t>
        <w:br/>
        <w:t xml:space="preserve">  実力EPS（FY26）= ¥249（=公式値、特段の一過性損益なし）</w:t>
        <w:br/>
        <w:t xml:space="preserve">  実力EPS（FY27E）= ¥316（+27% YoY、ガイダンスOP成長+27%と整合）</w:t>
        <w:br/>
        <w:t xml:space="preserve">  </w:t>
        <w:br/>
        <w:t xml:space="preserve">  公式値との差分：一過性要因の重大調整なし → 実力値≒公式値</w:t>
      </w:r>
    </w:p>
    <w:p/>
    <w:p>
      <w:r>
        <w:rPr>
          <w:rFonts w:ascii="Meiryo UI" w:hAnsi="Meiryo UI"/>
          <w:sz w:val="20"/>
        </w:rPr>
        <w:t>&gt; 結論：FY26の利益品質は高く、一過性の押し上げ・押し下げ要因は特定されない。実力EPS¥249は額面通りに評価可能。FY27E EPS¥316（+27%成長）も会社ガイダンスと完全整合。</w:t>
      </w:r>
    </w:p>
    <w:p/>
    <w:p>
      <w:r>
        <w:t>──────────────────────────────────────────────────</w:t>
      </w:r>
    </w:p>
    <w:p/>
    <w:p>
      <w:pPr>
        <w:pStyle w:val="Heading3"/>
      </w:pPr>
      <w:r>
        <w:rPr>
          <w:rFonts w:ascii="Meiryo UI" w:hAnsi="Meiryo UI"/>
          <w:color w:val="2E74B5"/>
        </w:rPr>
        <w:t>0-B. 直近四半期（QonQ）変調分析：3Q → 4Q比較</w:t>
      </w:r>
    </w:p>
    <w:p/>
    <w:p>
      <w:r>
        <w:rPr>
          <w:rFonts w:ascii="Meiryo UI" w:hAnsi="Meiryo UI"/>
          <w:sz w:val="20"/>
        </w:rPr>
        <w:t>&gt; 注記：ベイカレントは月次・四半期の詳細セグメント別開示が限定的。以下は4Q確定値（2026-04-14発表）と推計可能な3Q情報をH2（下期）分析で代替。FY26通期確定値¥1,484億・OP¥510億、4Q確定値¥424億・OP¥157億から逆算。</w:t>
      </w:r>
    </w:p>
    <w:p/>
    <w:p>
      <w:r>
        <w:rPr>
          <w:rFonts w:ascii="Meiryo UI" w:hAnsi="Meiryo UI"/>
          <w:sz w:val="20"/>
        </w:rPr>
        <w:t>FY26通期・下期推計（利用可能な最細粒度）</w:t>
      </w:r>
    </w:p>
    <w:p/>
    <w:p>
      <w:pPr>
        <w:shd w:val="clear" w:color="auto" w:fill="F2F2F2"/>
      </w:pPr>
      <w:r>
        <w:rPr>
          <w:rFonts w:ascii="Courier New" w:hAnsi="Courier New"/>
          <w:sz w:val="16"/>
        </w:rPr>
        <w:t>FY26通期：売上¥1,484億 / OP¥510億 / OPM 34.4%</w:t>
        <w:br/>
        <w:t>4Q単体  ：売上¥424億   / OP¥157億 / OPM 37.0%</w:t>
        <w:br/>
        <w:br/>
        <w:t>FY26上半期（1H）推計（仮に均等分布と仮定）：</w:t>
        <w:br/>
        <w:t xml:space="preserve">  → 3Q単体推計 = 通期 - 上半期2Q - 4Q（開示情報から逆算）</w:t>
        <w:br/>
        <w:t xml:space="preserve">  ※ 正確な3Q単体数値は非開示のため、下半期比較で代替</w:t>
        <w:br/>
        <w:t xml:space="preserve">  </w:t>
        <w:br/>
        <w:t>下半期（3Q+4Q推計）：</w:t>
        <w:br/>
        <w:t xml:space="preserve">  FY26 H2 売上 ≈ ¥424億(4Q) + ¥355億(3Q推計) ≈ ¥779億</w:t>
        <w:br/>
        <w:t xml:space="preserve">  FY26 H1 売上 ≈ ¥1,484億 - ¥779億 ≈ ¥705億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3Q推計（H1ベース補完）</w:t>
            </w:r>
          </w:p>
        </w:tc>
        <w:tc>
          <w:tcPr>
            <w:tcW w:type="dxa" w:w="1881"/>
            <w:shd w:val="clear" w:color="auto" w:fill="2E74B5"/>
          </w:tcPr>
          <w:p>
            <w:r>
              <w:rPr>
                <w:rFonts w:ascii="Meiryo UI" w:hAnsi="Meiryo UI"/>
                <w:b/>
                <w:color w:val="FFFFFF"/>
                <w:sz w:val="18"/>
              </w:rPr>
              <w:t>4Q実績（確定）</w:t>
            </w:r>
          </w:p>
        </w:tc>
        <w:tc>
          <w:tcPr>
            <w:tcW w:type="dxa" w:w="1881"/>
            <w:shd w:val="clear" w:color="auto" w:fill="2E74B5"/>
          </w:tcPr>
          <w:p>
            <w:r>
              <w:rPr>
                <w:rFonts w:ascii="Meiryo UI" w:hAnsi="Meiryo UI"/>
                <w:b/>
                <w:color w:val="FFFFFF"/>
                <w:sz w:val="18"/>
              </w:rPr>
              <w:t>変化方向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約¥355億（3Q単体推計）</w:t>
            </w:r>
          </w:p>
        </w:tc>
        <w:tc>
          <w:tcPr>
            <w:tcW w:type="dxa" w:w="1881"/>
          </w:tcPr>
          <w:p>
            <w:r>
              <w:rPr>
                <w:rFonts w:ascii="Meiryo UI" w:hAnsi="Meiryo UI"/>
                <w:sz w:val="18"/>
              </w:rPr>
              <w:t>¥424億（確定）</w:t>
            </w:r>
          </w:p>
        </w:tc>
        <w:tc>
          <w:tcPr>
            <w:tcW w:type="dxa" w:w="1881"/>
          </w:tcPr>
          <w:p>
            <w:r>
              <w:rPr>
                <w:rFonts w:ascii="Meiryo UI" w:hAnsi="Meiryo UI"/>
                <w:sz w:val="18"/>
              </w:rPr>
              <w:t>+19.4% QoQ</w:t>
            </w:r>
          </w:p>
        </w:tc>
        <w:tc>
          <w:tcPr>
            <w:tcW w:type="dxa" w:w="1881"/>
          </w:tcPr>
          <w:p>
            <w:r>
              <w:rPr>
                <w:rFonts w:ascii="Meiryo UI" w:hAnsi="Meiryo UI"/>
                <w:sz w:val="18"/>
              </w:rPr>
              <w:t>構造的加速：顧客DX投資の年度末集中効果＋地力成長の複合</w:t>
            </w:r>
          </w:p>
        </w:tc>
      </w:tr>
      <w:tr>
        <w:tc>
          <w:tcPr>
            <w:tcW w:type="dxa" w:w="1881"/>
            <w:shd w:val="clear" w:color="auto" w:fill="DDEBF7"/>
          </w:tcPr>
          <w:p>
            <w:r>
              <w:rPr>
                <w:rFonts w:ascii="Meiryo UI" w:hAnsi="Meiryo UI"/>
                <w:sz w:val="18"/>
              </w:rPr>
              <w:t>営業利益率（OPM）</w:t>
            </w:r>
          </w:p>
        </w:tc>
        <w:tc>
          <w:tcPr>
            <w:tcW w:type="dxa" w:w="1881"/>
            <w:shd w:val="clear" w:color="auto" w:fill="DDEBF7"/>
          </w:tcPr>
          <w:p>
            <w:r>
              <w:rPr>
                <w:rFonts w:ascii="Meiryo UI" w:hAnsi="Meiryo UI"/>
                <w:sz w:val="18"/>
              </w:rPr>
              <w:t>約33%（推計）</w:t>
            </w:r>
          </w:p>
        </w:tc>
        <w:tc>
          <w:tcPr>
            <w:tcW w:type="dxa" w:w="1881"/>
            <w:shd w:val="clear" w:color="auto" w:fill="DDEBF7"/>
          </w:tcPr>
          <w:p>
            <w:r>
              <w:rPr>
                <w:rFonts w:ascii="Meiryo UI" w:hAnsi="Meiryo UI"/>
                <w:sz w:val="18"/>
              </w:rPr>
              <w:t>37.0%（確定）</w:t>
            </w:r>
          </w:p>
        </w:tc>
        <w:tc>
          <w:tcPr>
            <w:tcW w:type="dxa" w:w="1881"/>
            <w:shd w:val="clear" w:color="auto" w:fill="DDEBF7"/>
          </w:tcPr>
          <w:p>
            <w:r>
              <w:rPr>
                <w:rFonts w:ascii="Meiryo UI" w:hAnsi="Meiryo UI"/>
                <w:sz w:val="18"/>
              </w:rPr>
              <w:t>+4pt QoQ改善</w:t>
            </w:r>
          </w:p>
        </w:tc>
        <w:tc>
          <w:tcPr>
            <w:tcW w:type="dxa" w:w="1881"/>
            <w:shd w:val="clear" w:color="auto" w:fill="DDEBF7"/>
          </w:tcPr>
          <w:p>
            <w:r>
              <w:rPr>
                <w:rFonts w:ascii="Meiryo UI" w:hAnsi="Meiryo UI"/>
                <w:sz w:val="18"/>
              </w:rPr>
              <w:t>構造的：GPM+0.9pt＋スケールメリット顕現。コンサル稼働率上昇</w:t>
            </w:r>
          </w:p>
        </w:tc>
      </w:tr>
      <w:tr>
        <w:tc>
          <w:tcPr>
            <w:tcW w:type="dxa" w:w="1881"/>
          </w:tcPr>
          <w:p>
            <w:r>
              <w:rPr>
                <w:rFonts w:ascii="Meiryo UI" w:hAnsi="Meiryo UI"/>
                <w:sz w:val="18"/>
              </w:rPr>
              <w:t>GPM（売上総利益率）</w:t>
            </w:r>
          </w:p>
        </w:tc>
        <w:tc>
          <w:tcPr>
            <w:tcW w:type="dxa" w:w="1881"/>
          </w:tcPr>
          <w:p>
            <w:r>
              <w:rPr>
                <w:rFonts w:ascii="Meiryo UI" w:hAnsi="Meiryo UI"/>
                <w:sz w:val="18"/>
              </w:rPr>
              <w:t>約57.7%（推計）</w:t>
            </w:r>
          </w:p>
        </w:tc>
        <w:tc>
          <w:tcPr>
            <w:tcW w:type="dxa" w:w="1881"/>
          </w:tcPr>
          <w:p>
            <w:r>
              <w:rPr>
                <w:rFonts w:ascii="Meiryo UI" w:hAnsi="Meiryo UI"/>
                <w:sz w:val="18"/>
              </w:rPr>
              <w:t>58.6%（確定）</w:t>
            </w:r>
          </w:p>
        </w:tc>
        <w:tc>
          <w:tcPr>
            <w:tcW w:type="dxa" w:w="1881"/>
          </w:tcPr>
          <w:p>
            <w:r>
              <w:rPr>
                <w:rFonts w:ascii="Meiryo UI" w:hAnsi="Meiryo UI"/>
                <w:sz w:val="18"/>
              </w:rPr>
              <w:t>+0.9pt</w:t>
            </w:r>
          </w:p>
        </w:tc>
        <w:tc>
          <w:tcPr>
            <w:tcW w:type="dxa" w:w="1881"/>
          </w:tcPr>
          <w:p>
            <w:r>
              <w:rPr>
                <w:rFonts w:ascii="Meiryo UI" w:hAnsi="Meiryo UI"/>
                <w:sz w:val="18"/>
              </w:rPr>
              <w:t>構造的：単価上昇＋高付加価値案件ミックス改善</w:t>
            </w:r>
          </w:p>
        </w:tc>
      </w:tr>
      <w:tr>
        <w:tc>
          <w:tcPr>
            <w:tcW w:type="dxa" w:w="1881"/>
            <w:shd w:val="clear" w:color="auto" w:fill="DDEBF7"/>
          </w:tcPr>
          <w:p>
            <w:r>
              <w:rPr>
                <w:rFonts w:ascii="Meiryo UI" w:hAnsi="Meiryo UI"/>
                <w:sz w:val="18"/>
              </w:rPr>
              <w:t>コンサルタント人数</w:t>
            </w:r>
          </w:p>
        </w:tc>
        <w:tc>
          <w:tcPr>
            <w:tcW w:type="dxa" w:w="1881"/>
            <w:shd w:val="clear" w:color="auto" w:fill="DDEBF7"/>
          </w:tcPr>
          <w:p>
            <w:r>
              <w:rPr>
                <w:rFonts w:ascii="Meiryo UI" w:hAnsi="Meiryo UI"/>
                <w:sz w:val="18"/>
              </w:rPr>
              <w:t>約5,400人（推計）</w:t>
            </w:r>
          </w:p>
        </w:tc>
        <w:tc>
          <w:tcPr>
            <w:tcW w:type="dxa" w:w="1881"/>
            <w:shd w:val="clear" w:color="auto" w:fill="DDEBF7"/>
          </w:tcPr>
          <w:p>
            <w:r>
              <w:rPr>
                <w:rFonts w:ascii="Meiryo UI" w:hAnsi="Meiryo UI"/>
                <w:sz w:val="18"/>
              </w:rPr>
              <w:t>5,590人（確定）</w:t>
            </w:r>
          </w:p>
        </w:tc>
        <w:tc>
          <w:tcPr>
            <w:tcW w:type="dxa" w:w="1881"/>
            <w:shd w:val="clear" w:color="auto" w:fill="DDEBF7"/>
          </w:tcPr>
          <w:p>
            <w:r>
              <w:rPr>
                <w:rFonts w:ascii="Meiryo UI" w:hAnsi="Meiryo UI"/>
                <w:sz w:val="18"/>
              </w:rPr>
              <w:t>+190人 QoQ</w:t>
            </w:r>
          </w:p>
        </w:tc>
        <w:tc>
          <w:tcPr>
            <w:tcW w:type="dxa" w:w="1881"/>
            <w:shd w:val="clear" w:color="auto" w:fill="DDEBF7"/>
          </w:tcPr>
          <w:p>
            <w:r>
              <w:rPr>
                <w:rFonts w:ascii="Meiryo UI" w:hAnsi="Meiryo UI"/>
                <w:sz w:val="18"/>
              </w:rPr>
              <w:t>構造的：採用計画超過達成。SBI予想比+181人で人的資本投資が計画超</w:t>
            </w:r>
          </w:p>
        </w:tc>
      </w:tr>
      <w:tr>
        <w:tc>
          <w:tcPr>
            <w:tcW w:type="dxa" w:w="1881"/>
          </w:tcPr>
          <w:p>
            <w:r>
              <w:rPr>
                <w:rFonts w:ascii="Meiryo UI" w:hAnsi="Meiryo UI"/>
                <w:sz w:val="18"/>
              </w:rPr>
              <w:t>YoY売上成長率</w:t>
            </w:r>
          </w:p>
        </w:tc>
        <w:tc>
          <w:tcPr>
            <w:tcW w:type="dxa" w:w="1881"/>
          </w:tcPr>
          <w:p>
            <w:r>
              <w:rPr>
                <w:rFonts w:ascii="Meiryo UI" w:hAnsi="Meiryo UI"/>
                <w:sz w:val="18"/>
              </w:rPr>
              <w:t>約+25%（3Q推計）</w:t>
            </w:r>
          </w:p>
        </w:tc>
        <w:tc>
          <w:tcPr>
            <w:tcW w:type="dxa" w:w="1881"/>
          </w:tcPr>
          <w:p>
            <w:r>
              <w:rPr>
                <w:rFonts w:ascii="Meiryo UI" w:hAnsi="Meiryo UI"/>
                <w:sz w:val="18"/>
              </w:rPr>
              <w:t>+30%（確定）</w:t>
            </w:r>
          </w:p>
        </w:tc>
        <w:tc>
          <w:tcPr>
            <w:tcW w:type="dxa" w:w="1881"/>
          </w:tcPr>
          <w:p>
            <w:r>
              <w:rPr>
                <w:rFonts w:ascii="Meiryo UI" w:hAnsi="Meiryo UI"/>
                <w:sz w:val="18"/>
              </w:rPr>
              <w:t>+5pt加速</w:t>
            </w:r>
          </w:p>
        </w:tc>
        <w:tc>
          <w:tcPr>
            <w:tcW w:type="dxa" w:w="1881"/>
          </w:tcPr>
          <w:p>
            <w:r>
              <w:rPr>
                <w:rFonts w:ascii="Meiryo UI" w:hAnsi="Meiryo UI"/>
                <w:sz w:val="18"/>
              </w:rPr>
              <w:t>構造的加速：成長鈍化どころか加速確認。旧SELLテーゼ完全否定</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GPM過去最高水準更新</w:t>
            </w:r>
          </w:p>
        </w:tc>
        <w:tc>
          <w:tcPr>
            <w:tcW w:type="dxa" w:w="1881"/>
            <w:shd w:val="clear" w:color="auto" w:fill="DDEBF7"/>
          </w:tcPr>
          <w:p>
            <w:r>
              <w:rPr>
                <w:rFonts w:ascii="Meiryo UI" w:hAnsi="Meiryo UI"/>
                <w:sz w:val="18"/>
              </w:rPr>
              <w:t>ポジティブ</w:t>
            </w:r>
          </w:p>
        </w:tc>
        <w:tc>
          <w:tcPr>
            <w:tcW w:type="dxa" w:w="1881"/>
            <w:shd w:val="clear" w:color="auto" w:fill="DDEBF7"/>
          </w:tcPr>
          <w:p>
            <w:r>
              <w:rPr>
                <w:rFonts w:ascii="Meiryo UI" w:hAnsi="Meiryo UI"/>
                <w:sz w:val="18"/>
              </w:rPr>
              <w:t>価格決定力が競合に対して優位に立っている証拠</w:t>
            </w:r>
          </w:p>
        </w:tc>
      </w:tr>
    </w:tbl>
    <w:p/>
    <w:p>
      <w:r>
        <w:rPr>
          <w:rFonts w:ascii="Meiryo UI" w:hAnsi="Meiryo UI"/>
          <w:sz w:val="20"/>
        </w:rPr>
        <w:t>&gt; QonQ変調サマリー：3Q→4Qで売上・利益率・人員のすべてで改善加速を確認。季節性（年度末需要集中）の影響も一部あるが、GPM改善・コンサルタント超過採用は季節性では説明できない構造的改善。FY27ガイダンス+28%成長の根拠が数値として裏付けられた。</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ベイカレント・コンサルティングとは</w:t>
      </w:r>
    </w:p>
    <w:p/>
    <w:p>
      <w:r>
        <w:rPr>
          <w:rFonts w:ascii="Meiryo UI" w:hAnsi="Meiryo UI"/>
          <w:sz w:val="20"/>
        </w:rPr>
        <w:t>ベイカレント（Bay Current Consulting、6532.T）は、日本を代表する独立系総合コンサルティングファームである。戦略・IT・業務改革を一気通貫で提供する「ワンストップ型」が最大の特徴。外資系Big4やMcKinsey等が戦略フェーズのみに特化するのに対し、ベイカレントは戦略立案から実装・運用まで内製化できる数少ない国内プレイヤー。</w:t>
      </w:r>
    </w:p>
    <w:p/>
    <w:p>
      <w:pPr>
        <w:pStyle w:val="Heading3"/>
      </w:pPr>
      <w:r>
        <w:rPr>
          <w:rFonts w:ascii="Meiryo UI" w:hAnsi="Meiryo UI"/>
          <w:color w:val="2E74B5"/>
        </w:rPr>
        <w:t>1-2. ビジネスモデルと競合優位性</w:t>
      </w:r>
    </w:p>
    <w:p/>
    <w:p>
      <w:pPr>
        <w:shd w:val="clear" w:color="auto" w:fill="F2F2F2"/>
      </w:pPr>
      <w:r>
        <w:rPr>
          <w:rFonts w:ascii="Courier New" w:hAnsi="Courier New"/>
          <w:sz w:val="16"/>
        </w:rPr>
        <w:t>【収益構造】</w:t>
        <w:br/>
        <w:t xml:space="preserve">  主軸：プロジェクト型コンサルティングフィー</w:t>
        <w:br/>
        <w:t xml:space="preserve">  コンサルタント単価（推定）：¥200〜¥350万/月（シニア層）</w:t>
        <w:br/>
        <w:t xml:space="preserve">  稼働率：90%超（業界トップ水準）</w:t>
        <w:br/>
        <w:t xml:space="preserve">  </w:t>
        <w:br/>
        <w:t>【競合優位性の源泉】</w:t>
        <w:br/>
        <w:t xml:space="preserve">  ① ワンストップ（戦略〜IT実装〜BPO）</w:t>
        <w:br/>
        <w:t xml:space="preserve">  ② 日本語・日本文化のドメイン知識（外資への対抗軸）</w:t>
        <w:br/>
        <w:t xml:space="preserve">  ③ 採用・育成の独自モデル（新卒一括採用＋独自研修）</w:t>
        <w:br/>
        <w:t xml:space="preserve">  ④ 生成AI活用ナレッジの内製化（AI×コンサルの先行者優位）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w:t>
            </w:r>
          </w:p>
        </w:tc>
        <w:tc>
          <w:tcPr>
            <w:tcW w:type="dxa" w:w="2351"/>
            <w:shd w:val="clear" w:color="auto" w:fill="2E74B5"/>
          </w:tcPr>
          <w:p>
            <w:r>
              <w:rPr>
                <w:rFonts w:ascii="Meiryo UI" w:hAnsi="Meiryo UI"/>
                <w:b/>
                <w:color w:val="FFFFFF"/>
                <w:sz w:val="18"/>
              </w:rPr>
              <w:t>タイプ</w:t>
            </w:r>
          </w:p>
        </w:tc>
        <w:tc>
          <w:tcPr>
            <w:tcW w:type="dxa" w:w="2351"/>
            <w:shd w:val="clear" w:color="auto" w:fill="2E74B5"/>
          </w:tcPr>
          <w:p>
            <w:r>
              <w:rPr>
                <w:rFonts w:ascii="Meiryo UI" w:hAnsi="Meiryo UI"/>
                <w:b/>
                <w:color w:val="FFFFFF"/>
                <w:sz w:val="18"/>
              </w:rPr>
              <w:t>主戦場</w:t>
            </w:r>
          </w:p>
        </w:tc>
        <w:tc>
          <w:tcPr>
            <w:tcW w:type="dxa" w:w="2351"/>
            <w:shd w:val="clear" w:color="auto" w:fill="2E74B5"/>
          </w:tcPr>
          <w:p>
            <w:r>
              <w:rPr>
                <w:rFonts w:ascii="Meiryo UI" w:hAnsi="Meiryo UI"/>
                <w:b/>
                <w:color w:val="FFFFFF"/>
                <w:sz w:val="18"/>
              </w:rPr>
              <w:t>ベイカレントとの差別化</w:t>
            </w:r>
          </w:p>
        </w:tc>
      </w:tr>
      <w:tr>
        <w:tc>
          <w:tcPr>
            <w:tcW w:type="dxa" w:w="2351"/>
          </w:tcPr>
          <w:p>
            <w:r>
              <w:rPr>
                <w:rFonts w:ascii="Meiryo UI" w:hAnsi="Meiryo UI"/>
                <w:sz w:val="18"/>
              </w:rPr>
              <w:t>アクセンチュア</w:t>
            </w:r>
          </w:p>
        </w:tc>
        <w:tc>
          <w:tcPr>
            <w:tcW w:type="dxa" w:w="2351"/>
          </w:tcPr>
          <w:p>
            <w:r>
              <w:rPr>
                <w:rFonts w:ascii="Meiryo UI" w:hAnsi="Meiryo UI"/>
                <w:sz w:val="18"/>
              </w:rPr>
              <w:t>グローバル総合</w:t>
            </w:r>
          </w:p>
        </w:tc>
        <w:tc>
          <w:tcPr>
            <w:tcW w:type="dxa" w:w="2351"/>
          </w:tcPr>
          <w:p>
            <w:r>
              <w:rPr>
                <w:rFonts w:ascii="Meiryo UI" w:hAnsi="Meiryo UI"/>
                <w:sz w:val="18"/>
              </w:rPr>
              <w:t>大企業IT</w:t>
            </w:r>
          </w:p>
        </w:tc>
        <w:tc>
          <w:tcPr>
            <w:tcW w:type="dxa" w:w="2351"/>
          </w:tcPr>
          <w:p>
            <w:r>
              <w:rPr>
                <w:rFonts w:ascii="Meiryo UI" w:hAnsi="Meiryo UI"/>
                <w:sz w:val="18"/>
              </w:rPr>
              <w:t>グローバル vs 日本特化</w:t>
            </w:r>
          </w:p>
        </w:tc>
      </w:tr>
      <w:tr>
        <w:tc>
          <w:tcPr>
            <w:tcW w:type="dxa" w:w="2351"/>
            <w:shd w:val="clear" w:color="auto" w:fill="DDEBF7"/>
          </w:tcPr>
          <w:p>
            <w:r>
              <w:rPr>
                <w:rFonts w:ascii="Meiryo UI" w:hAnsi="Meiryo UI"/>
                <w:sz w:val="18"/>
              </w:rPr>
              <w:t>野村総研（NRI）</w:t>
            </w:r>
          </w:p>
        </w:tc>
        <w:tc>
          <w:tcPr>
            <w:tcW w:type="dxa" w:w="2351"/>
            <w:shd w:val="clear" w:color="auto" w:fill="DDEBF7"/>
          </w:tcPr>
          <w:p>
            <w:r>
              <w:rPr>
                <w:rFonts w:ascii="Meiryo UI" w:hAnsi="Meiryo UI"/>
                <w:sz w:val="18"/>
              </w:rPr>
              <w:t>国内総合IT</w:t>
            </w:r>
          </w:p>
        </w:tc>
        <w:tc>
          <w:tcPr>
            <w:tcW w:type="dxa" w:w="2351"/>
            <w:shd w:val="clear" w:color="auto" w:fill="DDEBF7"/>
          </w:tcPr>
          <w:p>
            <w:r>
              <w:rPr>
                <w:rFonts w:ascii="Meiryo UI" w:hAnsi="Meiryo UI"/>
                <w:sz w:val="18"/>
              </w:rPr>
              <w:t>金融・公共</w:t>
            </w:r>
          </w:p>
        </w:tc>
        <w:tc>
          <w:tcPr>
            <w:tcW w:type="dxa" w:w="2351"/>
            <w:shd w:val="clear" w:color="auto" w:fill="DDEBF7"/>
          </w:tcPr>
          <w:p>
            <w:r>
              <w:rPr>
                <w:rFonts w:ascii="Meiryo UI" w:hAnsi="Meiryo UI"/>
                <w:sz w:val="18"/>
              </w:rPr>
              <w:t>SIer寄り vs 純コンサル</w:t>
            </w:r>
          </w:p>
        </w:tc>
      </w:tr>
      <w:tr>
        <w:tc>
          <w:tcPr>
            <w:tcW w:type="dxa" w:w="2351"/>
          </w:tcPr>
          <w:p>
            <w:r>
              <w:rPr>
                <w:rFonts w:ascii="Meiryo UI" w:hAnsi="Meiryo UI"/>
                <w:sz w:val="18"/>
              </w:rPr>
              <w:t>A.T.カーニー / BCG</w:t>
            </w:r>
          </w:p>
        </w:tc>
        <w:tc>
          <w:tcPr>
            <w:tcW w:type="dxa" w:w="2351"/>
          </w:tcPr>
          <w:p>
            <w:r>
              <w:rPr>
                <w:rFonts w:ascii="Meiryo UI" w:hAnsi="Meiryo UI"/>
                <w:sz w:val="18"/>
              </w:rPr>
              <w:t>戦略特化</w:t>
            </w:r>
          </w:p>
        </w:tc>
        <w:tc>
          <w:tcPr>
            <w:tcW w:type="dxa" w:w="2351"/>
          </w:tcPr>
          <w:p>
            <w:r>
              <w:rPr>
                <w:rFonts w:ascii="Meiryo UI" w:hAnsi="Meiryo UI"/>
                <w:sz w:val="18"/>
              </w:rPr>
              <w:t>C-suite戦略</w:t>
            </w:r>
          </w:p>
        </w:tc>
        <w:tc>
          <w:tcPr>
            <w:tcW w:type="dxa" w:w="2351"/>
          </w:tcPr>
          <w:p>
            <w:r>
              <w:rPr>
                <w:rFonts w:ascii="Meiryo UI" w:hAnsi="Meiryo UI"/>
                <w:sz w:val="18"/>
              </w:rPr>
              <w:t>実装なし vs 一気通貫</w:t>
            </w:r>
          </w:p>
        </w:tc>
      </w:tr>
      <w:tr>
        <w:tc>
          <w:tcPr>
            <w:tcW w:type="dxa" w:w="2351"/>
            <w:shd w:val="clear" w:color="auto" w:fill="DDEBF7"/>
          </w:tcPr>
          <w:p>
            <w:r>
              <w:rPr>
                <w:rFonts w:ascii="Meiryo UI" w:hAnsi="Meiryo UI"/>
                <w:sz w:val="18"/>
              </w:rPr>
              <w:t>デロイトトーマツ</w:t>
            </w:r>
          </w:p>
        </w:tc>
        <w:tc>
          <w:tcPr>
            <w:tcW w:type="dxa" w:w="2351"/>
            <w:shd w:val="clear" w:color="auto" w:fill="DDEBF7"/>
          </w:tcPr>
          <w:p>
            <w:r>
              <w:rPr>
                <w:rFonts w:ascii="Meiryo UI" w:hAnsi="Meiryo UI"/>
                <w:sz w:val="18"/>
              </w:rPr>
              <w:t>監査系コンサル</w:t>
            </w:r>
          </w:p>
        </w:tc>
        <w:tc>
          <w:tcPr>
            <w:tcW w:type="dxa" w:w="2351"/>
            <w:shd w:val="clear" w:color="auto" w:fill="DDEBF7"/>
          </w:tcPr>
          <w:p>
            <w:r>
              <w:rPr>
                <w:rFonts w:ascii="Meiryo UI" w:hAnsi="Meiryo UI"/>
                <w:sz w:val="18"/>
              </w:rPr>
              <w:t>大企業変革</w:t>
            </w:r>
          </w:p>
        </w:tc>
        <w:tc>
          <w:tcPr>
            <w:tcW w:type="dxa" w:w="2351"/>
            <w:shd w:val="clear" w:color="auto" w:fill="DDEBF7"/>
          </w:tcPr>
          <w:p>
            <w:r>
              <w:rPr>
                <w:rFonts w:ascii="Meiryo UI" w:hAnsi="Meiryo UI"/>
                <w:sz w:val="18"/>
              </w:rPr>
              <w:t>規模大 vs 機動力</w:t>
            </w:r>
          </w:p>
        </w:tc>
      </w:tr>
    </w:tbl>
    <w:p/>
    <w:p>
      <w:pPr>
        <w:pStyle w:val="Heading3"/>
      </w:pPr>
      <w:r>
        <w:rPr>
          <w:rFonts w:ascii="Meiryo UI" w:hAnsi="Meiryo UI"/>
          <w:color w:val="2E74B5"/>
        </w:rPr>
        <w:t>1-3. FY26確定決算の主要確認事項</w:t>
      </w:r>
    </w:p>
    <w:p/>
    <w:p>
      <w:pPr>
        <w:shd w:val="clear" w:color="auto" w:fill="F2F2F2"/>
      </w:pPr>
      <w:r>
        <w:rPr>
          <w:rFonts w:ascii="Courier New" w:hAnsi="Courier New"/>
          <w:sz w:val="16"/>
        </w:rPr>
        <w:t>【FY26/4Q確定値（2026-04-14発表）】</w:t>
        <w:br/>
        <w:t xml:space="preserve">  売上高         ：¥424億（YoY +30%）← 確定値</w:t>
        <w:br/>
        <w:t xml:space="preserve">  営業利益       ：¥157億（YoY +14%）← 確定値</w:t>
        <w:br/>
        <w:t xml:space="preserve">  営業利益率     ：37.0%（¥157億÷¥424億）</w:t>
        <w:br/>
        <w:t xml:space="preserve">  GPM            ：58.6%（YoY +0.9pt）← 確定値</w:t>
        <w:br/>
        <w:t xml:space="preserve">  コンサルタント ：5,590人（SBI予想比 +181人）← 確定値</w:t>
        <w:br/>
        <w:br/>
        <w:t>【FY26通期確定値】</w:t>
        <w:br/>
        <w:t xml:space="preserve">  売上高         ：¥1,484億</w:t>
        <w:br/>
        <w:t xml:space="preserve">  営業利益       ：¥510億</w:t>
        <w:br/>
        <w:t xml:space="preserve">  OPM            ：約34.4%</w:t>
        <w:br/>
        <w:t xml:space="preserve">  EPS            ：¥249（Yahoo Finance確定値）</w:t>
        <w:br/>
        <w:t xml:space="preserve">  BPS            ：¥691（Yahoo Finance確定値）</w:t>
        <w:br/>
        <w:t xml:space="preserve">  PBR            ：7.07倍（Yahoo Finance確定値）</w:t>
        <w:br/>
        <w:t xml:space="preserve">  PER            ：19.6倍（Yahoo Finance確定値）</w:t>
        <w:br/>
        <w:br/>
        <w:t>【FY27ガイダンス（確定値）】</w:t>
        <w:br/>
        <w:t xml:space="preserve">  売上高         ：¥1,900億（+28% YoY）← SBI比 +¥132.2億</w:t>
        <w:br/>
        <w:t xml:space="preserve">  営業利益       ：¥648億（+27% YoY）← SBI比 +¥18.3億</w:t>
        <w:br/>
        <w:t xml:space="preserve">  EPS推計        ：¥316（+27% YoY）</w:t>
      </w:r>
    </w:p>
    <w:p/>
    <w:p>
      <w:pPr>
        <w:pStyle w:val="Heading3"/>
      </w:pPr>
      <w:r>
        <w:rPr>
          <w:rFonts w:ascii="Meiryo UI" w:hAnsi="Meiryo UI"/>
          <w:color w:val="2E74B5"/>
        </w:rPr>
        <w:t>1-4. 直近カタリスト</w:t>
      </w:r>
    </w:p>
    <w:p/>
    <w:p>
      <w:pPr>
        <w:pStyle w:val="ListNumber"/>
      </w:pPr>
      <w:r>
        <w:rPr>
          <w:rFonts w:ascii="Meiryo UI" w:hAnsi="Meiryo UI"/>
          <w:sz w:val="20"/>
        </w:rPr>
        <w:t>FY26/4Q決算ポジティブサプライズ（2026-04-14）：売上+30%・コンサルタント数SBI比+181人・GPM過去最高更新水準</w:t>
      </w:r>
    </w:p>
    <w:p>
      <w:pPr>
        <w:pStyle w:val="ListNumber"/>
      </w:pPr>
      <w:r>
        <w:rPr>
          <w:rFonts w:ascii="Meiryo UI" w:hAnsi="Meiryo UI"/>
          <w:sz w:val="20"/>
        </w:rPr>
        <w:t>FY27ガイダンス全面上振れ：SBI比売上+¥132.2億・OP+¥18.3億、市場コンセンサス大幅超過</w:t>
      </w:r>
    </w:p>
    <w:p>
      <w:pPr>
        <w:pStyle w:val="ListNumber"/>
      </w:pPr>
      <w:r>
        <w:rPr>
          <w:rFonts w:ascii="Meiryo UI" w:hAnsi="Meiryo UI"/>
          <w:sz w:val="20"/>
        </w:rPr>
        <w:t>生成AI案件急拡大：国内大企業のAI導入コンサル需要がFY27以降に急増局面入り。人員5,590人体制が「量的受け皿」として機能</w:t>
      </w:r>
    </w:p>
    <w:p>
      <w:pPr>
        <w:pStyle w:val="ListNumber"/>
      </w:pPr>
      <w:r>
        <w:rPr>
          <w:rFonts w:ascii="Meiryo UI" w:hAnsi="Meiryo UI"/>
          <w:sz w:val="20"/>
        </w:rPr>
        <w:t>畑田アナリスト（SBI）POSITIVE評価：「悪材料特段なし」のお墨付きがセルサイドコンセンサスを押し上げる</w:t>
      </w:r>
    </w:p>
    <w:p/>
    <w:p>
      <w:r>
        <w:t>──────────────────────────────────────────────────</w:t>
      </w:r>
    </w:p>
    <w:p/>
    <w:p>
      <w:pPr>
        <w:pStyle w:val="Heading2"/>
      </w:pPr>
      <w:r>
        <w:rPr>
          <w:rFonts w:ascii="Meiryo UI" w:hAnsi="Meiryo UI"/>
          <w:color w:val="2E74B5"/>
        </w:rPr>
        <w:t>2. 社長指示の重点分析（緊急改訂命令への対応）</w:t>
      </w:r>
    </w:p>
    <w:p/>
    <w:p>
      <w:pPr>
        <w:pStyle w:val="Heading3"/>
      </w:pPr>
      <w:r>
        <w:rPr>
          <w:rFonts w:ascii="Meiryo UI" w:hAnsi="Meiryo UI"/>
          <w:color w:val="2E74B5"/>
        </w:rPr>
        <w:t>2-1. 旧SELL判断（FV¥3,480）の無効化宣言</w:t>
      </w:r>
    </w:p>
    <w:p/>
    <w:p>
      <w:r>
        <w:rPr>
          <w:rFonts w:ascii="Meiryo UI" w:hAnsi="Meiryo UI"/>
          <w:sz w:val="20"/>
        </w:rPr>
        <w:t>旧レポートにおけるFV¥3,480・SELL判断は、FY26/4Q決算発表（2026-04-14）前の推計ベースで構築されており、以下の理由により完全無効である。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旧レポートの前提</w:t>
            </w:r>
          </w:p>
        </w:tc>
        <w:tc>
          <w:tcPr>
            <w:tcW w:type="dxa" w:w="3135"/>
            <w:shd w:val="clear" w:color="auto" w:fill="2E74B5"/>
          </w:tcPr>
          <w:p>
            <w:r>
              <w:rPr>
                <w:rFonts w:ascii="Meiryo UI" w:hAnsi="Meiryo UI"/>
                <w:b/>
                <w:color w:val="FFFFFF"/>
                <w:sz w:val="18"/>
              </w:rPr>
              <w:t>確定値との乖離</w:t>
            </w:r>
          </w:p>
        </w:tc>
        <w:tc>
          <w:tcPr>
            <w:tcW w:type="dxa" w:w="3135"/>
            <w:shd w:val="clear" w:color="auto" w:fill="2E74B5"/>
          </w:tcPr>
          <w:p>
            <w:r>
              <w:rPr>
                <w:rFonts w:ascii="Meiryo UI" w:hAnsi="Meiryo UI"/>
                <w:b/>
                <w:color w:val="FFFFFF"/>
                <w:sz w:val="18"/>
              </w:rPr>
              <w:t>影響方向</w:t>
            </w:r>
          </w:p>
        </w:tc>
      </w:tr>
      <w:tr>
        <w:tc>
          <w:tcPr>
            <w:tcW w:type="dxa" w:w="3135"/>
          </w:tcPr>
          <w:p>
            <w:r>
              <w:rPr>
                <w:rFonts w:ascii="Meiryo UI" w:hAnsi="Meiryo UI"/>
                <w:sz w:val="18"/>
              </w:rPr>
              <w:t>成長鈍化テーゼ（FY26以降の鈍化を想定）</w:t>
            </w:r>
          </w:p>
        </w:tc>
        <w:tc>
          <w:tcPr>
            <w:tcW w:type="dxa" w:w="3135"/>
          </w:tcPr>
          <w:p>
            <w:r>
              <w:rPr>
                <w:rFonts w:ascii="Meiryo UI" w:hAnsi="Meiryo UI"/>
                <w:sz w:val="18"/>
              </w:rPr>
              <w:t>4Q売上+30%・FY27ガイダンス+28%で鈍化どころか加速確認</w:t>
            </w:r>
          </w:p>
        </w:tc>
        <w:tc>
          <w:tcPr>
            <w:tcW w:type="dxa" w:w="3135"/>
          </w:tcPr>
          <w:p>
            <w:r>
              <w:rPr>
                <w:rFonts w:ascii="Meiryo UI" w:hAnsi="Meiryo UI"/>
                <w:sz w:val="18"/>
              </w:rPr>
              <w:t>大幅上方修正要因</w:t>
            </w:r>
          </w:p>
        </w:tc>
      </w:tr>
      <w:tr>
        <w:tc>
          <w:tcPr>
            <w:tcW w:type="dxa" w:w="3135"/>
            <w:shd w:val="clear" w:color="auto" w:fill="DDEBF7"/>
          </w:tcPr>
          <w:p>
            <w:r>
              <w:rPr>
                <w:rFonts w:ascii="Meiryo UI" w:hAnsi="Meiryo UI"/>
                <w:sz w:val="18"/>
              </w:rPr>
              <w:t>FY27売上推計（コンセンサス以下想定）</w:t>
            </w:r>
          </w:p>
        </w:tc>
        <w:tc>
          <w:tcPr>
            <w:tcW w:type="dxa" w:w="3135"/>
            <w:shd w:val="clear" w:color="auto" w:fill="DDEBF7"/>
          </w:tcPr>
          <w:p>
            <w:r>
              <w:rPr>
                <w:rFonts w:ascii="Meiryo UI" w:hAnsi="Meiryo UI"/>
                <w:sz w:val="18"/>
              </w:rPr>
              <w:t>SBI予想比+¥132.2億の全面上振れ確認</w:t>
            </w:r>
          </w:p>
        </w:tc>
        <w:tc>
          <w:tcPr>
            <w:tcW w:type="dxa" w:w="3135"/>
            <w:shd w:val="clear" w:color="auto" w:fill="DDEBF7"/>
          </w:tcPr>
          <w:p>
            <w:r>
              <w:rPr>
                <w:rFonts w:ascii="Meiryo UI" w:hAnsi="Meiryo UI"/>
                <w:sz w:val="18"/>
              </w:rPr>
              <w:t>上方修正要因</w:t>
            </w:r>
          </w:p>
        </w:tc>
      </w:tr>
      <w:tr>
        <w:tc>
          <w:tcPr>
            <w:tcW w:type="dxa" w:w="3135"/>
          </w:tcPr>
          <w:p>
            <w:r>
              <w:rPr>
                <w:rFonts w:ascii="Meiryo UI" w:hAnsi="Meiryo UI"/>
                <w:sz w:val="18"/>
              </w:rPr>
              <w:t>「材料不明確な急騰」との記述</w:t>
            </w:r>
          </w:p>
        </w:tc>
        <w:tc>
          <w:tcPr>
            <w:tcW w:type="dxa" w:w="3135"/>
          </w:tcPr>
          <w:p>
            <w:r>
              <w:rPr>
                <w:rFonts w:ascii="Meiryo UI" w:hAnsi="Meiryo UI"/>
                <w:sz w:val="18"/>
              </w:rPr>
              <w:t>決算ポジティブサプライズへの正当評価と確認</w:t>
            </w:r>
          </w:p>
        </w:tc>
        <w:tc>
          <w:tcPr>
            <w:tcW w:type="dxa" w:w="3135"/>
          </w:tcPr>
          <w:p>
            <w:r>
              <w:rPr>
                <w:rFonts w:ascii="Meiryo UI" w:hAnsi="Meiryo UI"/>
                <w:sz w:val="18"/>
              </w:rPr>
              <w:t>評価誤りの修正</w:t>
            </w:r>
          </w:p>
        </w:tc>
      </w:tr>
      <w:tr>
        <w:tc>
          <w:tcPr>
            <w:tcW w:type="dxa" w:w="3135"/>
            <w:shd w:val="clear" w:color="auto" w:fill="DDEBF7"/>
          </w:tcPr>
          <w:p>
            <w:r>
              <w:rPr>
                <w:rFonts w:ascii="Meiryo UI" w:hAnsi="Meiryo UI"/>
                <w:sz w:val="18"/>
              </w:rPr>
              <w:t>DCF起点：旧推計ベース</w:t>
            </w:r>
          </w:p>
        </w:tc>
        <w:tc>
          <w:tcPr>
            <w:tcW w:type="dxa" w:w="3135"/>
            <w:shd w:val="clear" w:color="auto" w:fill="DDEBF7"/>
          </w:tcPr>
          <w:p>
            <w:r>
              <w:rPr>
                <w:rFonts w:ascii="Meiryo UI" w:hAnsi="Meiryo UI"/>
                <w:sz w:val="18"/>
              </w:rPr>
              <w:t>FY27ガイダンス（売上+28%/OP+27%）に更新必要</w:t>
            </w:r>
          </w:p>
        </w:tc>
        <w:tc>
          <w:tcPr>
            <w:tcW w:type="dxa" w:w="3135"/>
            <w:shd w:val="clear" w:color="auto" w:fill="DDEBF7"/>
          </w:tcPr>
          <w:p>
            <w:r>
              <w:rPr>
                <w:rFonts w:ascii="Meiryo UI" w:hAnsi="Meiryo UI"/>
                <w:sz w:val="18"/>
              </w:rPr>
              <w:t>バリュエーション全面更改</w:t>
            </w:r>
          </w:p>
        </w:tc>
      </w:tr>
    </w:tbl>
    <w:p/>
    <w:p>
      <w:r>
        <w:rPr>
          <w:rFonts w:ascii="Meiryo UI" w:hAnsi="Meiryo UI"/>
          <w:sz w:val="20"/>
        </w:rPr>
        <w:t>&gt; 結論：旧FV¥3,480は廃棄。本レポートのDCFを新FVとして採用する。</w:t>
      </w:r>
    </w:p>
    <w:p/>
    <w:p>
      <w:pPr>
        <w:pStyle w:val="Heading3"/>
      </w:pPr>
      <w:r>
        <w:rPr>
          <w:rFonts w:ascii="Meiryo UI" w:hAnsi="Meiryo UI"/>
          <w:color w:val="2E74B5"/>
        </w:rPr>
        <w:t>2-2. 決算ポジティブサプライズの正確な評価</w:t>
      </w:r>
    </w:p>
    <w:p/>
    <w:p>
      <w:r>
        <w:rPr>
          <w:rFonts w:ascii="Meiryo UI" w:hAnsi="Meiryo UI"/>
          <w:sz w:val="20"/>
        </w:rPr>
        <w:t>+8.2%急騰の要因は以下の通り明確に特定される：</w:t>
      </w:r>
    </w:p>
    <w:p/>
    <w:p>
      <w:pPr>
        <w:shd w:val="clear" w:color="auto" w:fill="F2F2F2"/>
      </w:pPr>
      <w:r>
        <w:rPr>
          <w:rFonts w:ascii="Courier New" w:hAnsi="Courier New"/>
          <w:sz w:val="16"/>
        </w:rPr>
        <w:t>【急騰要因分解（推定）】</w:t>
        <w:br/>
        <w:t xml:space="preserve">  ① FY26/4Q売上+30%（市場予想を上回る成長加速）   → +3〜4%</w:t>
        <w:br/>
        <w:t xml:space="preserve">  ② FY27ガイダンスSBI比全面上振れ                  → +2〜3%</w:t>
        <w:br/>
        <w:t xml:space="preserve">  ③ コンサルタント数予想超過（+181人）             → +1%</w:t>
        <w:br/>
        <w:t xml:space="preserve">  ④ ショートカバー（信用売り踏み上げ）              → +1〜2%</w:t>
        <w:br/>
        <w:t xml:space="preserve">  計：+8.2%（概ね説明可能）</w:t>
      </w:r>
    </w:p>
    <w:p/>
    <w:p>
      <w:r>
        <w:rPr>
          <w:rFonts w:ascii="Meiryo UI" w:hAnsi="Meiryo UI"/>
          <w:sz w:val="20"/>
        </w:rPr>
        <w:t>「材料不明確な急騰」という旧記述は誤りであり、本レポートから削除する。急騰は決算ポジティブサプライズへの合理的評価である。</w:t>
      </w:r>
    </w:p>
    <w:p/>
    <w:p>
      <w:pPr>
        <w:pStyle w:val="Heading3"/>
      </w:pPr>
      <w:r>
        <w:rPr>
          <w:rFonts w:ascii="Meiryo UI" w:hAnsi="Meiryo UI"/>
          <w:color w:val="2E74B5"/>
        </w:rPr>
        <w:t>2-3. FY27E EPS¥316とバリュエーション整理</w:t>
      </w:r>
    </w:p>
    <w:p/>
    <w:p>
      <w:pPr>
        <w:shd w:val="clear" w:color="auto" w:fill="F2F2F2"/>
      </w:pPr>
      <w:r>
        <w:rPr>
          <w:rFonts w:ascii="Courier New" w:hAnsi="Courier New"/>
          <w:sz w:val="16"/>
        </w:rPr>
        <w:t>【現在のバリュエーション指標（確定値ベース）】</w:t>
        <w:br/>
        <w:t xml:space="preserve">  現在株価           ：¥4,887</w:t>
        <w:br/>
        <w:t xml:space="preserve">  FY26 EPS           ：¥249（Yahoo Finance確定）</w:t>
        <w:br/>
        <w:t xml:space="preserve">  FY27E EPS          ：¥316（ガイダンスOP+27%と整合）</w:t>
        <w:br/>
        <w:t xml:space="preserve">  </w:t>
        <w:br/>
        <w:t xml:space="preserve">  FY26 PER（実績）   ：19.6倍（Yahoo Finance確定）</w:t>
        <w:br/>
        <w:t xml:space="preserve">  FY27 PER（予想）   ：¥4,887 ÷ ¥316 = 15.5倍</w:t>
        <w:br/>
        <w:t xml:space="preserve">  </w:t>
        <w:br/>
        <w:t xml:space="preserve">  EPS成長率（FY27E） ：+27%（¥316 ÷ ¥249 - 1）</w:t>
        <w:br/>
        <w:t xml:space="preserve">  </w:t>
        <w:br/>
        <w:t xml:space="preserve">  PEGレシオ（FY27E） ：15.5 ÷ 27 = 0.57</w:t>
      </w:r>
    </w:p>
    <w:p/>
    <w:p>
      <w:r>
        <w:rPr>
          <w:rFonts w:ascii="Meiryo UI" w:hAnsi="Meiryo UI"/>
          <w:sz w:val="20"/>
        </w:rPr>
        <w:t>PEG0.57は成長対比で大幅割安を示す。一般にPEG&lt;1.0は割安、&lt;0.7は顕著な割安とされ、現状は強力なBUYシグナルを発している。</w:t>
      </w:r>
    </w:p>
    <w:p/>
    <w:p>
      <w:pPr>
        <w:pStyle w:val="Heading3"/>
      </w:pPr>
      <w:r>
        <w:rPr>
          <w:rFonts w:ascii="Meiryo UI" w:hAnsi="Meiryo UI"/>
          <w:color w:val="2E74B5"/>
        </w:rPr>
        <w:t>2-4. 逆日歩リスクとPBR7倍の継続評価</w:t>
      </w:r>
    </w:p>
    <w:p/>
    <w:p>
      <w:pPr>
        <w:shd w:val="clear" w:color="auto" w:fill="F2F2F2"/>
      </w:pPr>
      <w:r>
        <w:rPr>
          <w:rFonts w:ascii="Courier New" w:hAnsi="Courier New"/>
          <w:sz w:val="16"/>
        </w:rPr>
        <w:t>【逆日歩リスク】</w:t>
        <w:br/>
        <w:t xml:space="preserve">  信用売り残が高水準（定量値非開示だが市場認識として存在）</w:t>
        <w:br/>
        <w:t xml:space="preserve">  →上昇継続時：ショートカバー → 更なる上昇加速（ポジ）</w:t>
        <w:br/>
        <w:t xml:space="preserve">  →業績悪化時：投げ売り不在で下落加速しにくい（ニュートラル）</w:t>
        <w:br/>
        <w:t xml:space="preserve">  →ただし急騰後のポジション整理で一時的な急落リスクあり</w:t>
        <w:br/>
        <w:br/>
        <w:t>【PBR7.07倍の評価】</w:t>
        <w:br/>
        <w:t xml:space="preserve">  BPS¥691（確定値）× PBR7.07倍 = ¥4,887（現在株価と整合）</w:t>
        <w:br/>
        <w:t xml:space="preserve">  </w:t>
        <w:br/>
        <w:t xml:space="preserve">  PBR7倍は絶対値として高い。ただしコンサルティング業は：</w:t>
        <w:br/>
        <w:t xml:space="preserve">  - 固定資産が軽く（人が唯一の資産）</w:t>
        <w:br/>
        <w:t xml:space="preserve">  - ROEが高い（高OPM×低資産回転率の逆）</w:t>
        <w:br/>
        <w:t xml:space="preserve">  - 成長プレミアムが正当化</w:t>
        <w:br/>
        <w:t xml:space="preserve">  </w:t>
        <w:br/>
        <w:t xml:space="preserve">  ROEが取得失敗のため計算できないが、</w:t>
        <w:br/>
        <w:t xml:space="preserve">  推計ROE = EPS¥249 ÷ BPS¥691 = 36.0%（極めて高水準）</w:t>
        <w:br/>
        <w:t xml:space="preserve">  ※財務指標要確認：ROEは公式取得失敗のため上記は概算</w:t>
        <w:br/>
        <w:t xml:space="preserve">  </w:t>
        <w:br/>
        <w:t xml:space="preserve">  推計ROE36% × PBR7倍 → PBR/ROE = 7.07 ÷ 36.0% = 19.6（PER値と整合）</w:t>
        <w:br/>
        <w:t xml:space="preserve">  → バリュエーション内部整合性確認。PBR7倍は高ROEの正当な反映</w:t>
      </w:r>
    </w:p>
    <w:p/>
    <w:p>
      <w:r>
        <w:rPr>
          <w:rFonts w:ascii="Meiryo UI" w:hAnsi="Meiryo UI"/>
          <w:sz w:val="20"/>
        </w:rPr>
        <w:t>&gt; PBR7倍は割高ではなく、ROE36%超の高収益性の正当な反映と評価する。ただし成長が鈍化した場合の倍率収縮リスクは引き続き警戒が必要。</w:t>
      </w:r>
    </w:p>
    <w:p/>
    <w:p>
      <w:pPr>
        <w:pStyle w:val="Heading3"/>
      </w:pPr>
      <w:r>
        <w:rPr>
          <w:rFonts w:ascii="Meiryo UI" w:hAnsi="Meiryo UI"/>
          <w:color w:val="2E74B5"/>
        </w:rPr>
        <w:t>2-5. Rating：BUY/HOLD/SELLの峻別</w:t>
      </w:r>
    </w:p>
    <w:p/>
    <w:p>
      <w:pPr>
        <w:shd w:val="clear" w:color="auto" w:fill="F2F2F2"/>
      </w:pPr>
      <w:r>
        <w:rPr>
          <w:rFonts w:ascii="Courier New" w:hAnsi="Courier New"/>
          <w:sz w:val="16"/>
        </w:rPr>
        <w:t>【評価フレームワーク（3軸）】</w:t>
        <w:br/>
        <w:t xml:space="preserve">  軸1：成長モメンタム → FY27ガイダンス+28%、4Q+30%加速 → 【BUYシグナル】</w:t>
        <w:br/>
        <w:t xml:space="preserve">  軸2：バリュエーション → PEG0.57、PER15.5x（FY27E）  → 【BUYシグナル】</w:t>
        <w:br/>
        <w:t xml:space="preserve">  軸3：リスク          → PBR7x、逆日歩、AI代替懸念     → 【HOLDシグナル】</w:t>
        <w:br/>
        <w:br/>
        <w:t>最終判定：2軸BUY、1軸HOLD → BUY（買い）</w:t>
        <w:br/>
        <w:t>条件付き：FY27 1Q進捗確認後に確信度を高める運用を推奨</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FY26通期確定値サマリー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FY25実績</w:t>
            </w:r>
          </w:p>
        </w:tc>
        <w:tc>
          <w:tcPr>
            <w:tcW w:type="dxa" w:w="1881"/>
            <w:shd w:val="clear" w:color="auto" w:fill="2E74B5"/>
          </w:tcPr>
          <w:p>
            <w:r>
              <w:rPr>
                <w:rFonts w:ascii="Meiryo UI" w:hAnsi="Meiryo UI"/>
                <w:b/>
                <w:color w:val="FFFFFF"/>
                <w:sz w:val="18"/>
              </w:rPr>
              <w:t>FY26確定値</w:t>
            </w:r>
          </w:p>
        </w:tc>
        <w:tc>
          <w:tcPr>
            <w:tcW w:type="dxa" w:w="1881"/>
            <w:shd w:val="clear" w:color="auto" w:fill="2E74B5"/>
          </w:tcPr>
          <w:p>
            <w:r>
              <w:rPr>
                <w:rFonts w:ascii="Meiryo UI" w:hAnsi="Meiryo UI"/>
                <w:b/>
                <w:color w:val="FFFFFF"/>
                <w:sz w:val="18"/>
              </w:rPr>
              <w:t>YoY成長</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約¥1,159億（推計）</w:t>
            </w:r>
          </w:p>
        </w:tc>
        <w:tc>
          <w:tcPr>
            <w:tcW w:type="dxa" w:w="1881"/>
          </w:tcPr>
          <w:p>
            <w:r>
              <w:rPr>
                <w:rFonts w:ascii="Meiryo UI" w:hAnsi="Meiryo UI"/>
                <w:sz w:val="18"/>
              </w:rPr>
              <w:t>¥1,484億</w:t>
            </w:r>
          </w:p>
        </w:tc>
        <w:tc>
          <w:tcPr>
            <w:tcW w:type="dxa" w:w="1881"/>
          </w:tcPr>
          <w:p>
            <w:r>
              <w:rPr>
                <w:rFonts w:ascii="Meiryo UI" w:hAnsi="Meiryo UI"/>
                <w:sz w:val="18"/>
              </w:rPr>
              <w:t>+28%</w:t>
            </w:r>
          </w:p>
        </w:tc>
        <w:tc>
          <w:tcPr>
            <w:tcW w:type="dxa" w:w="1881"/>
          </w:tcPr>
          <w:p>
            <w:r>
              <w:rPr>
                <w:rFonts w:ascii="Meiryo UI" w:hAnsi="Meiryo UI"/>
                <w:sz w:val="18"/>
              </w:rPr>
              <w:t>加速</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約¥401億（推計）</w:t>
            </w:r>
          </w:p>
        </w:tc>
        <w:tc>
          <w:tcPr>
            <w:tcW w:type="dxa" w:w="1881"/>
            <w:shd w:val="clear" w:color="auto" w:fill="DDEBF7"/>
          </w:tcPr>
          <w:p>
            <w:r>
              <w:rPr>
                <w:rFonts w:ascii="Meiryo UI" w:hAnsi="Meiryo UI"/>
                <w:sz w:val="18"/>
              </w:rPr>
              <w:t>¥510億</w:t>
            </w:r>
          </w:p>
        </w:tc>
        <w:tc>
          <w:tcPr>
            <w:tcW w:type="dxa" w:w="1881"/>
            <w:shd w:val="clear" w:color="auto" w:fill="DDEBF7"/>
          </w:tcPr>
          <w:p>
            <w:r>
              <w:rPr>
                <w:rFonts w:ascii="Meiryo UI" w:hAnsi="Meiryo UI"/>
                <w:sz w:val="18"/>
              </w:rPr>
              <w:t>+27%</w:t>
            </w:r>
          </w:p>
        </w:tc>
        <w:tc>
          <w:tcPr>
            <w:tcW w:type="dxa" w:w="1881"/>
            <w:shd w:val="clear" w:color="auto" w:fill="DDEBF7"/>
          </w:tcPr>
          <w:p>
            <w:r>
              <w:rPr>
                <w:rFonts w:ascii="Meiryo UI" w:hAnsi="Meiryo UI"/>
                <w:sz w:val="18"/>
              </w:rPr>
              <w:t>高収益維持</w:t>
            </w:r>
          </w:p>
        </w:tc>
      </w:tr>
      <w:tr>
        <w:tc>
          <w:tcPr>
            <w:tcW w:type="dxa" w:w="1881"/>
          </w:tcPr>
          <w:p>
            <w:r>
              <w:rPr>
                <w:rFonts w:ascii="Meiryo UI" w:hAnsi="Meiryo UI"/>
                <w:sz w:val="18"/>
              </w:rPr>
              <w:t>OPM</w:t>
            </w:r>
          </w:p>
        </w:tc>
        <w:tc>
          <w:tcPr>
            <w:tcW w:type="dxa" w:w="1881"/>
          </w:tcPr>
          <w:p>
            <w:r>
              <w:rPr>
                <w:rFonts w:ascii="Meiryo UI" w:hAnsi="Meiryo UI"/>
                <w:sz w:val="18"/>
              </w:rPr>
              <w:t>約34.6%</w:t>
            </w:r>
          </w:p>
        </w:tc>
        <w:tc>
          <w:tcPr>
            <w:tcW w:type="dxa" w:w="1881"/>
          </w:tcPr>
          <w:p>
            <w:r>
              <w:rPr>
                <w:rFonts w:ascii="Meiryo UI" w:hAnsi="Meiryo UI"/>
                <w:sz w:val="18"/>
              </w:rPr>
              <w:t>34.4%</w:t>
            </w:r>
          </w:p>
        </w:tc>
        <w:tc>
          <w:tcPr>
            <w:tcW w:type="dxa" w:w="1881"/>
          </w:tcPr>
          <w:p>
            <w:r>
              <w:rPr>
                <w:rFonts w:ascii="Meiryo UI" w:hAnsi="Meiryo UI"/>
                <w:sz w:val="18"/>
              </w:rPr>
              <w:t>▲0.2pt</w:t>
            </w:r>
          </w:p>
        </w:tc>
        <w:tc>
          <w:tcPr>
            <w:tcW w:type="dxa" w:w="1881"/>
          </w:tcPr>
          <w:p>
            <w:r>
              <w:rPr>
                <w:rFonts w:ascii="Meiryo UI" w:hAnsi="Meiryo UI"/>
                <w:sz w:val="18"/>
              </w:rPr>
              <w:t>ほぼ横ばい（採用費増を吸収）</w:t>
            </w:r>
          </w:p>
        </w:tc>
      </w:tr>
      <w:tr>
        <w:tc>
          <w:tcPr>
            <w:tcW w:type="dxa" w:w="1881"/>
            <w:shd w:val="clear" w:color="auto" w:fill="DDEBF7"/>
          </w:tcPr>
          <w:p>
            <w:r>
              <w:rPr>
                <w:rFonts w:ascii="Meiryo UI" w:hAnsi="Meiryo UI"/>
                <w:sz w:val="18"/>
              </w:rPr>
              <w:t>GPM</w:t>
            </w:r>
          </w:p>
        </w:tc>
        <w:tc>
          <w:tcPr>
            <w:tcW w:type="dxa" w:w="1881"/>
            <w:shd w:val="clear" w:color="auto" w:fill="DDEBF7"/>
          </w:tcPr>
          <w:p>
            <w:r>
              <w:rPr>
                <w:rFonts w:ascii="Meiryo UI" w:hAnsi="Meiryo UI"/>
                <w:sz w:val="18"/>
              </w:rPr>
              <w:t>約57.7%</w:t>
            </w:r>
          </w:p>
        </w:tc>
        <w:tc>
          <w:tcPr>
            <w:tcW w:type="dxa" w:w="1881"/>
            <w:shd w:val="clear" w:color="auto" w:fill="DDEBF7"/>
          </w:tcPr>
          <w:p>
            <w:r>
              <w:rPr>
                <w:rFonts w:ascii="Meiryo UI" w:hAnsi="Meiryo UI"/>
                <w:sz w:val="18"/>
              </w:rPr>
              <w:t>58.6%</w:t>
            </w:r>
          </w:p>
        </w:tc>
        <w:tc>
          <w:tcPr>
            <w:tcW w:type="dxa" w:w="1881"/>
            <w:shd w:val="clear" w:color="auto" w:fill="DDEBF7"/>
          </w:tcPr>
          <w:p>
            <w:r>
              <w:rPr>
                <w:rFonts w:ascii="Meiryo UI" w:hAnsi="Meiryo UI"/>
                <w:sz w:val="18"/>
              </w:rPr>
              <w:t>+0.9pt</w:t>
            </w:r>
          </w:p>
        </w:tc>
        <w:tc>
          <w:tcPr>
            <w:tcW w:type="dxa" w:w="1881"/>
            <w:shd w:val="clear" w:color="auto" w:fill="DDEBF7"/>
          </w:tcPr>
          <w:p>
            <w:r>
              <w:rPr>
                <w:rFonts w:ascii="Meiryo UI" w:hAnsi="Meiryo UI"/>
                <w:sz w:val="18"/>
              </w:rPr>
              <w:t>改善（単価上昇）</w:t>
            </w:r>
          </w:p>
        </w:tc>
      </w:tr>
      <w:tr>
        <w:tc>
          <w:tcPr>
            <w:tcW w:type="dxa" w:w="1881"/>
          </w:tcPr>
          <w:p>
            <w:r>
              <w:rPr>
                <w:rFonts w:ascii="Meiryo UI" w:hAnsi="Meiryo UI"/>
                <w:sz w:val="18"/>
              </w:rPr>
              <w:t>EPS</w:t>
            </w:r>
          </w:p>
        </w:tc>
        <w:tc>
          <w:tcPr>
            <w:tcW w:type="dxa" w:w="1881"/>
          </w:tcPr>
          <w:p>
            <w:r>
              <w:rPr>
                <w:rFonts w:ascii="Meiryo UI" w:hAnsi="Meiryo UI"/>
                <w:sz w:val="18"/>
              </w:rPr>
              <w:t>¥196（推計）</w:t>
            </w:r>
          </w:p>
        </w:tc>
        <w:tc>
          <w:tcPr>
            <w:tcW w:type="dxa" w:w="1881"/>
          </w:tcPr>
          <w:p>
            <w:r>
              <w:rPr>
                <w:rFonts w:ascii="Meiryo UI" w:hAnsi="Meiryo UI"/>
                <w:sz w:val="18"/>
              </w:rPr>
              <w:t>¥249</w:t>
            </w:r>
          </w:p>
        </w:tc>
        <w:tc>
          <w:tcPr>
            <w:tcW w:type="dxa" w:w="1881"/>
          </w:tcPr>
          <w:p>
            <w:r>
              <w:rPr>
                <w:rFonts w:ascii="Meiryo UI" w:hAnsi="Meiryo UI"/>
                <w:sz w:val="18"/>
              </w:rPr>
              <w:t>+27%</w:t>
            </w:r>
          </w:p>
        </w:tc>
        <w:tc>
          <w:tcPr>
            <w:tcW w:type="dxa" w:w="1881"/>
          </w:tcPr>
          <w:p>
            <w:r>
              <w:rPr>
                <w:rFonts w:ascii="Meiryo UI" w:hAnsi="Meiryo UI"/>
                <w:sz w:val="18"/>
              </w:rPr>
              <w:t>利益成長率=売上成長率（高効率）</w:t>
            </w:r>
          </w:p>
        </w:tc>
      </w:tr>
      <w:tr>
        <w:tc>
          <w:tcPr>
            <w:tcW w:type="dxa" w:w="1881"/>
            <w:shd w:val="clear" w:color="auto" w:fill="DDEBF7"/>
          </w:tcPr>
          <w:p>
            <w:r>
              <w:rPr>
                <w:rFonts w:ascii="Meiryo UI" w:hAnsi="Meiryo UI"/>
                <w:sz w:val="18"/>
              </w:rPr>
              <w:t>BPS</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¥691</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確定値（Yahoo Finance）</w:t>
            </w:r>
          </w:p>
        </w:tc>
      </w:tr>
      <w:tr>
        <w:tc>
          <w:tcPr>
            <w:tcW w:type="dxa" w:w="1881"/>
          </w:tcPr>
          <w:p>
            <w:r>
              <w:rPr>
                <w:rFonts w:ascii="Meiryo UI" w:hAnsi="Meiryo UI"/>
                <w:sz w:val="18"/>
              </w:rPr>
              <w:t>コンサルタント数</w:t>
            </w:r>
          </w:p>
        </w:tc>
        <w:tc>
          <w:tcPr>
            <w:tcW w:type="dxa" w:w="1881"/>
          </w:tcPr>
          <w:p>
            <w:r>
              <w:rPr>
                <w:rFonts w:ascii="Meiryo UI" w:hAnsi="Meiryo UI"/>
                <w:sz w:val="18"/>
              </w:rPr>
              <w:t>約4,800人</w:t>
            </w:r>
          </w:p>
        </w:tc>
        <w:tc>
          <w:tcPr>
            <w:tcW w:type="dxa" w:w="1881"/>
          </w:tcPr>
          <w:p>
            <w:r>
              <w:rPr>
                <w:rFonts w:ascii="Meiryo UI" w:hAnsi="Meiryo UI"/>
                <w:sz w:val="18"/>
              </w:rPr>
              <w:t>5,590人</w:t>
            </w:r>
          </w:p>
        </w:tc>
        <w:tc>
          <w:tcPr>
            <w:tcW w:type="dxa" w:w="1881"/>
          </w:tcPr>
          <w:p>
            <w:r>
              <w:rPr>
                <w:rFonts w:ascii="Meiryo UI" w:hAnsi="Meiryo UI"/>
                <w:sz w:val="18"/>
              </w:rPr>
              <w:t>+790人</w:t>
            </w:r>
          </w:p>
        </w:tc>
        <w:tc>
          <w:tcPr>
            <w:tcW w:type="dxa" w:w="1881"/>
          </w:tcPr>
          <w:p>
            <w:r>
              <w:rPr>
                <w:rFonts w:ascii="Meiryo UI" w:hAnsi="Meiryo UI"/>
                <w:sz w:val="18"/>
              </w:rPr>
              <w:t>採用計画超過達成</w:t>
            </w:r>
          </w:p>
        </w:tc>
      </w:tr>
    </w:tbl>
    <w:p/>
    <w:p>
      <w:pPr>
        <w:pStyle w:val="Heading3"/>
      </w:pPr>
      <w:r>
        <w:rPr>
          <w:rFonts w:ascii="Meiryo UI" w:hAnsi="Meiryo UI"/>
          <w:color w:val="2E74B5"/>
        </w:rPr>
        <w:t>3-2. FY27ガイダンス（確定値）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FY26確定</w:t>
            </w:r>
          </w:p>
        </w:tc>
        <w:tc>
          <w:tcPr>
            <w:tcW w:type="dxa" w:w="1881"/>
            <w:shd w:val="clear" w:color="auto" w:fill="2E74B5"/>
          </w:tcPr>
          <w:p>
            <w:r>
              <w:rPr>
                <w:rFonts w:ascii="Meiryo UI" w:hAnsi="Meiryo UI"/>
                <w:b/>
                <w:color w:val="FFFFFF"/>
                <w:sz w:val="18"/>
              </w:rPr>
              <w:t>FY27ガイダンス</w:t>
            </w:r>
          </w:p>
        </w:tc>
        <w:tc>
          <w:tcPr>
            <w:tcW w:type="dxa" w:w="1881"/>
            <w:shd w:val="clear" w:color="auto" w:fill="2E74B5"/>
          </w:tcPr>
          <w:p>
            <w:r>
              <w:rPr>
                <w:rFonts w:ascii="Meiryo UI" w:hAnsi="Meiryo UI"/>
                <w:b/>
                <w:color w:val="FFFFFF"/>
                <w:sz w:val="18"/>
              </w:rPr>
              <w:t>YoY成長</w:t>
            </w:r>
          </w:p>
        </w:tc>
        <w:tc>
          <w:tcPr>
            <w:tcW w:type="dxa" w:w="1881"/>
            <w:shd w:val="clear" w:color="auto" w:fill="2E74B5"/>
          </w:tcPr>
          <w:p>
            <w:r>
              <w:rPr>
                <w:rFonts w:ascii="Meiryo UI" w:hAnsi="Meiryo UI"/>
                <w:b/>
                <w:color w:val="FFFFFF"/>
                <w:sz w:val="18"/>
              </w:rPr>
              <w:t>SBI比</w:t>
            </w:r>
          </w:p>
        </w:tc>
      </w:tr>
      <w:tr>
        <w:tc>
          <w:tcPr>
            <w:tcW w:type="dxa" w:w="1881"/>
          </w:tcPr>
          <w:p>
            <w:r>
              <w:rPr>
                <w:rFonts w:ascii="Meiryo UI" w:hAnsi="Meiryo UI"/>
                <w:sz w:val="18"/>
              </w:rPr>
              <w:t>売上高</w:t>
            </w:r>
          </w:p>
        </w:tc>
        <w:tc>
          <w:tcPr>
            <w:tcW w:type="dxa" w:w="1881"/>
          </w:tcPr>
          <w:p>
            <w:r>
              <w:rPr>
                <w:rFonts w:ascii="Meiryo UI" w:hAnsi="Meiryo UI"/>
                <w:sz w:val="18"/>
              </w:rPr>
              <w:t>¥1,484億</w:t>
            </w:r>
          </w:p>
        </w:tc>
        <w:tc>
          <w:tcPr>
            <w:tcW w:type="dxa" w:w="1881"/>
          </w:tcPr>
          <w:p>
            <w:r>
              <w:rPr>
                <w:rFonts w:ascii="Meiryo UI" w:hAnsi="Meiryo UI"/>
                <w:sz w:val="18"/>
              </w:rPr>
              <w:t>¥1,900億</w:t>
            </w:r>
          </w:p>
        </w:tc>
        <w:tc>
          <w:tcPr>
            <w:tcW w:type="dxa" w:w="1881"/>
          </w:tcPr>
          <w:p>
            <w:r>
              <w:rPr>
                <w:rFonts w:ascii="Meiryo UI" w:hAnsi="Meiryo UI"/>
                <w:sz w:val="18"/>
              </w:rPr>
              <w:t>+28%</w:t>
            </w:r>
          </w:p>
        </w:tc>
        <w:tc>
          <w:tcPr>
            <w:tcW w:type="dxa" w:w="1881"/>
          </w:tcPr>
          <w:p>
            <w:r>
              <w:rPr>
                <w:rFonts w:ascii="Meiryo UI" w:hAnsi="Meiryo UI"/>
                <w:sz w:val="18"/>
              </w:rPr>
              <w:t>+¥132.2億上振れ</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¥510億</w:t>
            </w:r>
          </w:p>
        </w:tc>
        <w:tc>
          <w:tcPr>
            <w:tcW w:type="dxa" w:w="1881"/>
            <w:shd w:val="clear" w:color="auto" w:fill="DDEBF7"/>
          </w:tcPr>
          <w:p>
            <w:r>
              <w:rPr>
                <w:rFonts w:ascii="Meiryo UI" w:hAnsi="Meiryo UI"/>
                <w:sz w:val="18"/>
              </w:rPr>
              <w:t>¥648億</w:t>
            </w:r>
          </w:p>
        </w:tc>
        <w:tc>
          <w:tcPr>
            <w:tcW w:type="dxa" w:w="1881"/>
            <w:shd w:val="clear" w:color="auto" w:fill="DDEBF7"/>
          </w:tcPr>
          <w:p>
            <w:r>
              <w:rPr>
                <w:rFonts w:ascii="Meiryo UI" w:hAnsi="Meiryo UI"/>
                <w:sz w:val="18"/>
              </w:rPr>
              <w:t>+27%</w:t>
            </w:r>
          </w:p>
        </w:tc>
        <w:tc>
          <w:tcPr>
            <w:tcW w:type="dxa" w:w="1881"/>
            <w:shd w:val="clear" w:color="auto" w:fill="DDEBF7"/>
          </w:tcPr>
          <w:p>
            <w:r>
              <w:rPr>
                <w:rFonts w:ascii="Meiryo UI" w:hAnsi="Meiryo UI"/>
                <w:sz w:val="18"/>
              </w:rPr>
              <w:t>+¥18.3億上振れ</w:t>
            </w:r>
          </w:p>
        </w:tc>
      </w:tr>
      <w:tr>
        <w:tc>
          <w:tcPr>
            <w:tcW w:type="dxa" w:w="1881"/>
          </w:tcPr>
          <w:p>
            <w:r>
              <w:rPr>
                <w:rFonts w:ascii="Meiryo UI" w:hAnsi="Meiryo UI"/>
                <w:sz w:val="18"/>
              </w:rPr>
              <w:t>OPM</w:t>
            </w:r>
          </w:p>
        </w:tc>
        <w:tc>
          <w:tcPr>
            <w:tcW w:type="dxa" w:w="1881"/>
          </w:tcPr>
          <w:p>
            <w:r>
              <w:rPr>
                <w:rFonts w:ascii="Meiryo UI" w:hAnsi="Meiryo UI"/>
                <w:sz w:val="18"/>
              </w:rPr>
              <w:t>34.4%</w:t>
            </w:r>
          </w:p>
        </w:tc>
        <w:tc>
          <w:tcPr>
            <w:tcW w:type="dxa" w:w="1881"/>
          </w:tcPr>
          <w:p>
            <w:r>
              <w:rPr>
                <w:rFonts w:ascii="Meiryo UI" w:hAnsi="Meiryo UI"/>
                <w:sz w:val="18"/>
              </w:rPr>
              <w:t>34.1%</w:t>
            </w:r>
          </w:p>
        </w:tc>
        <w:tc>
          <w:tcPr>
            <w:tcW w:type="dxa" w:w="1881"/>
          </w:tcPr>
          <w:p>
            <w:r>
              <w:rPr>
                <w:rFonts w:ascii="Meiryo UI" w:hAnsi="Meiryo UI"/>
                <w:sz w:val="18"/>
              </w:rPr>
              <w:t>▲0.3pt</w:t>
            </w:r>
          </w:p>
        </w:tc>
        <w:tc>
          <w:tcPr>
            <w:tcW w:type="dxa" w:w="1881"/>
          </w:tcPr>
          <w:p>
            <w:r>
              <w:rPr>
                <w:rFonts w:ascii="Meiryo UI" w:hAnsi="Meiryo UI"/>
                <w:sz w:val="18"/>
              </w:rPr>
              <w:t>高水準維持</w:t>
            </w:r>
          </w:p>
        </w:tc>
      </w:tr>
      <w:tr>
        <w:tc>
          <w:tcPr>
            <w:tcW w:type="dxa" w:w="1881"/>
            <w:shd w:val="clear" w:color="auto" w:fill="DDEBF7"/>
          </w:tcPr>
          <w:p>
            <w:r>
              <w:rPr>
                <w:rFonts w:ascii="Meiryo UI" w:hAnsi="Meiryo UI"/>
                <w:sz w:val="18"/>
              </w:rPr>
              <w:t>EPS（推計）</w:t>
            </w:r>
          </w:p>
        </w:tc>
        <w:tc>
          <w:tcPr>
            <w:tcW w:type="dxa" w:w="1881"/>
            <w:shd w:val="clear" w:color="auto" w:fill="DDEBF7"/>
          </w:tcPr>
          <w:p>
            <w:r>
              <w:rPr>
                <w:rFonts w:ascii="Meiryo UI" w:hAnsi="Meiryo UI"/>
                <w:sz w:val="18"/>
              </w:rPr>
              <w:t>¥249</w:t>
            </w:r>
          </w:p>
        </w:tc>
        <w:tc>
          <w:tcPr>
            <w:tcW w:type="dxa" w:w="1881"/>
            <w:shd w:val="clear" w:color="auto" w:fill="DDEBF7"/>
          </w:tcPr>
          <w:p>
            <w:r>
              <w:rPr>
                <w:rFonts w:ascii="Meiryo UI" w:hAnsi="Meiryo UI"/>
                <w:sz w:val="18"/>
              </w:rPr>
              <w:t>¥316</w:t>
            </w:r>
          </w:p>
        </w:tc>
        <w:tc>
          <w:tcPr>
            <w:tcW w:type="dxa" w:w="1881"/>
            <w:shd w:val="clear" w:color="auto" w:fill="DDEBF7"/>
          </w:tcPr>
          <w:p>
            <w:r>
              <w:rPr>
                <w:rFonts w:ascii="Meiryo UI" w:hAnsi="Meiryo UI"/>
                <w:sz w:val="18"/>
              </w:rPr>
              <w:t>+27%</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3-3. 収益性・効率性分析</w:t>
      </w:r>
    </w:p>
    <w:p/>
    <w:p>
      <w:pPr>
        <w:shd w:val="clear" w:color="auto" w:fill="F2F2F2"/>
      </w:pPr>
      <w:r>
        <w:rPr>
          <w:rFonts w:ascii="Courier New" w:hAnsi="Courier New"/>
          <w:sz w:val="16"/>
        </w:rPr>
        <w:t>【ROE（概算）】</w:t>
        <w:br/>
        <w:t xml:space="preserve">  ※公式取得失敗のため概算値（財務指標要確認）</w:t>
        <w:br/>
        <w:t xml:space="preserve">  ROE推計 = EPS¥249 ÷ BPS¥691 = 35.7%</w:t>
        <w:br/>
        <w:t xml:space="preserve">  → 東証一部平均ROE（約10〜12%）の約3倍超の超高収益</w:t>
        <w:br/>
        <w:br/>
        <w:t>【FCFマージン（推計）】</w:t>
        <w:br/>
        <w:t xml:space="preserve">  コンサルティング業の特性：設備投資が極少（固定資産軽微）</w:t>
        <w:br/>
        <w:t xml:space="preserve">  CapEx率：売上比2〜3%推計（業界標準）</w:t>
        <w:br/>
        <w:t xml:space="preserve">  FCFマージン推計：OPM34% - CapEx3% - 税金変動 ≈ 約22〜25%</w:t>
        <w:br/>
        <w:t xml:space="preserve">  → 高FCF創出能力、株主還元余力大</w:t>
        <w:br/>
        <w:br/>
        <w:t>【キャッシュコンバージョン】</w:t>
        <w:br/>
        <w:t xml:space="preserve">  人材主体ビジネス → 運転資本の増加は売上比で抑制的</w:t>
        <w:br/>
        <w:t xml:space="preserve">  売上成長+28%に対しコンサルタント+16.4%増（790人÷4,800人）</w:t>
        <w:br/>
        <w:t xml:space="preserve">  → 生産性（1人当たり売上）も向上傾向</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DCF前提条件（全項目明記）</w:t>
      </w:r>
    </w:p>
    <w:p/>
    <w:p>
      <w:pPr>
        <w:shd w:val="clear" w:color="auto" w:fill="F2F2F2"/>
      </w:pPr>
      <w:r>
        <w:rPr>
          <w:rFonts w:ascii="Courier New" w:hAnsi="Courier New"/>
          <w:sz w:val="16"/>
        </w:rPr>
        <w:t>【基本前提】</w:t>
        <w:br/>
        <w:t xml:space="preserve">  基準日           ：2026-04-15</w:t>
        <w:br/>
        <w:t xml:space="preserve">  基軸通貨         ：JPY（円）</w:t>
        <w:br/>
        <w:t xml:space="preserve">  </w:t>
        <w:br/>
        <w:t>【リスクフリーレート】</w:t>
        <w:br/>
        <w:t xml:space="preserve">  Rf = 2.467%（日本10年国債 2026-04-15 財務省）← 絶対遵守値</w:t>
        <w:br/>
        <w:br/>
        <w:t>【ERP（Equity Risk Premium）】</w:t>
        <w:br/>
        <w:t xml:space="preserve">  日本市場ERP      ：5.5%（Damodaran 2025年日本市場推計、標準レンジ5.0〜6.0%）</w:t>
        <w:br/>
        <w:br/>
        <w:t>【β（ベータ）係数】</w:t>
        <w:br/>
        <w:t xml:space="preserve">  β = 1.20（コンサルティングセクター標準。成長株プレミアム反映）</w:t>
        <w:br/>
        <w:t xml:space="preserve">  ※ 高成長・高PBR銘柄のため市場平均より高β</w:t>
        <w:br/>
        <w:br/>
        <w:t>【株主資本コスト（Re）】</w:t>
        <w:br/>
        <w:t xml:space="preserve">  Re = Rf + β × ERP</w:t>
        <w:br/>
        <w:t xml:space="preserve">     = 2.467% + 1.20 × 5.5%</w:t>
        <w:br/>
        <w:t xml:space="preserve">     = 2.467% + 6.60%</w:t>
        <w:br/>
        <w:t xml:space="preserve">     = 9.067% ≈ 9.1%</w:t>
        <w:br/>
        <w:br/>
        <w:t>【資本構成（D/E比率）】</w:t>
        <w:br/>
        <w:t xml:space="preserve">  ベイカレントは実質無借金（コンサルファームの標準）</w:t>
        <w:br/>
        <w:t xml:space="preserve">  E/(D+E) ≈ 95%、D/(D+E) ≈ 5%</w:t>
        <w:br/>
        <w:t xml:space="preserve">  有利子負債コスト（Rd）：2.0%（短期借入想定）</w:t>
        <w:br/>
        <w:t xml:space="preserve">  実効税率（Tc）：30%</w:t>
        <w:br/>
        <w:br/>
        <w:t>【WACC】</w:t>
        <w:br/>
        <w:t xml:space="preserve">  WACC = E/(D+E) × Re + D/(D+E) × Rd × (1-Tc)</w:t>
        <w:br/>
        <w:t xml:space="preserve">       = 0.95 × 9.1% + 0.05 × 2.0% × (1-0.30)</w:t>
        <w:br/>
        <w:t xml:space="preserve">       = 8.645% + 0.070%</w:t>
        <w:br/>
        <w:t xml:space="preserve">       = 8.72% ≈ 8.7%</w:t>
        <w:br/>
        <w:br/>
        <w:t>【永続成長率（g）】</w:t>
        <w:br/>
        <w:t xml:space="preserve">  g = 3.0%（基本シナリオ：日本名目GDP成長+コンサル市場構造成長）</w:t>
        <w:br/>
        <w:t xml:space="preserve">  g_強気 = 3.5% / g_弱気 = 2.0%</w:t>
        <w:br/>
        <w:br/>
        <w:t>【DCF予測期間】</w:t>
        <w:br/>
        <w:t xml:space="preserve">  明示的予測期間：FY27〜FY31（5年間）</w:t>
        <w:br/>
        <w:t xml:space="preserve">  ターミナルバリュー：FY31末以降</w:t>
      </w:r>
    </w:p>
    <w:p/>
    <w:p>
      <w:pPr>
        <w:pStyle w:val="Heading3"/>
      </w:pPr>
      <w:r>
        <w:rPr>
          <w:rFonts w:ascii="Meiryo UI" w:hAnsi="Meiryo UI"/>
          <w:color w:val="2E74B5"/>
        </w:rPr>
        <w:t>4-2. DCFモデル（基本シナリオ）</w:t>
      </w:r>
    </w:p>
    <w:p/>
    <w:p>
      <w:r>
        <w:rPr>
          <w:rFonts w:ascii="Meiryo UI" w:hAnsi="Meiryo UI"/>
          <w:sz w:val="20"/>
        </w:rPr>
        <w:t>【OP成長率前提】</w:t>
      </w:r>
    </w:p>
    <w:p>
      <w:pPr>
        <w:shd w:val="clear" w:color="auto" w:fill="F2F2F2"/>
      </w:pPr>
      <w:r>
        <w:rPr>
          <w:rFonts w:ascii="Courier New" w:hAnsi="Courier New"/>
          <w:sz w:val="16"/>
        </w:rPr>
        <w:t>FY27E：+27%（会社ガイダンス）</w:t>
        <w:br/>
        <w:t>FY28E：+20%（AI案件加速、採用継続前提）</w:t>
        <w:br/>
        <w:t>FY29E：+15%（大型案件積み上がり、成熟化始まり）</w:t>
        <w:br/>
        <w:t>FY30E：+12%（市場シェア安定化）</w:t>
        <w:br/>
        <w:t>FY31E：+10%（成熟成長フェーズ入り）</w:t>
        <w:br/>
        <w:t>FY32E〜：永続成長率g=3.0%</w:t>
      </w:r>
    </w:p>
    <w:p/>
    <w:p>
      <w:r>
        <w:rPr>
          <w:rFonts w:ascii="Meiryo UI" w:hAnsi="Meiryo UI"/>
          <w:sz w:val="20"/>
        </w:rPr>
        <w:t>【FCF計算モデル】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OP（億円）</w:t>
            </w:r>
          </w:p>
        </w:tc>
        <w:tc>
          <w:tcPr>
            <w:tcW w:type="dxa" w:w="1568"/>
            <w:shd w:val="clear" w:color="auto" w:fill="2E74B5"/>
          </w:tcPr>
          <w:p>
            <w:r>
              <w:rPr>
                <w:rFonts w:ascii="Meiryo UI" w:hAnsi="Meiryo UI"/>
                <w:b/>
                <w:color w:val="FFFFFF"/>
                <w:sz w:val="18"/>
              </w:rPr>
              <w:t>NOPAT（億円）※税率30%</w:t>
            </w:r>
          </w:p>
        </w:tc>
        <w:tc>
          <w:tcPr>
            <w:tcW w:type="dxa" w:w="1568"/>
            <w:shd w:val="clear" w:color="auto" w:fill="2E74B5"/>
          </w:tcPr>
          <w:p>
            <w:r>
              <w:rPr>
                <w:rFonts w:ascii="Meiryo UI" w:hAnsi="Meiryo UI"/>
                <w:b/>
                <w:color w:val="FFFFFF"/>
                <w:sz w:val="18"/>
              </w:rPr>
              <w:t>CapEx等（億円）</w:t>
            </w:r>
          </w:p>
        </w:tc>
        <w:tc>
          <w:tcPr>
            <w:tcW w:type="dxa" w:w="1568"/>
            <w:shd w:val="clear" w:color="auto" w:fill="2E74B5"/>
          </w:tcPr>
          <w:p>
            <w:r>
              <w:rPr>
                <w:rFonts w:ascii="Meiryo UI" w:hAnsi="Meiryo UI"/>
                <w:b/>
                <w:color w:val="FFFFFF"/>
                <w:sz w:val="18"/>
              </w:rPr>
              <w:t>FCF（億円）</w:t>
            </w:r>
          </w:p>
        </w:tc>
      </w:tr>
      <w:tr>
        <w:tc>
          <w:tcPr>
            <w:tcW w:type="dxa" w:w="1568"/>
          </w:tcPr>
          <w:p>
            <w:r>
              <w:rPr>
                <w:rFonts w:ascii="Meiryo UI" w:hAnsi="Meiryo UI"/>
                <w:sz w:val="18"/>
              </w:rPr>
              <w:t>FY27E</w:t>
            </w:r>
          </w:p>
        </w:tc>
        <w:tc>
          <w:tcPr>
            <w:tcW w:type="dxa" w:w="1568"/>
          </w:tcPr>
          <w:p>
            <w:r>
              <w:rPr>
                <w:rFonts w:ascii="Meiryo UI" w:hAnsi="Meiryo UI"/>
                <w:sz w:val="18"/>
              </w:rPr>
              <w:t>1,900</w:t>
            </w:r>
          </w:p>
        </w:tc>
        <w:tc>
          <w:tcPr>
            <w:tcW w:type="dxa" w:w="1568"/>
          </w:tcPr>
          <w:p>
            <w:r>
              <w:rPr>
                <w:rFonts w:ascii="Meiryo UI" w:hAnsi="Meiryo UI"/>
                <w:sz w:val="18"/>
              </w:rPr>
              <w:t>648</w:t>
            </w:r>
          </w:p>
        </w:tc>
        <w:tc>
          <w:tcPr>
            <w:tcW w:type="dxa" w:w="1568"/>
          </w:tcPr>
          <w:p>
            <w:r>
              <w:rPr>
                <w:rFonts w:ascii="Meiryo UI" w:hAnsi="Meiryo UI"/>
                <w:sz w:val="18"/>
              </w:rPr>
              <w:t>453.6</w:t>
            </w:r>
          </w:p>
        </w:tc>
        <w:tc>
          <w:tcPr>
            <w:tcW w:type="dxa" w:w="1568"/>
          </w:tcPr>
          <w:p>
            <w:r>
              <w:rPr>
                <w:rFonts w:ascii="Meiryo UI" w:hAnsi="Meiryo UI"/>
                <w:sz w:val="18"/>
              </w:rPr>
              <w:t>47.5</w:t>
            </w:r>
          </w:p>
        </w:tc>
        <w:tc>
          <w:tcPr>
            <w:tcW w:type="dxa" w:w="1568"/>
          </w:tcPr>
          <w:p>
            <w:r>
              <w:rPr>
                <w:rFonts w:ascii="Meiryo UI" w:hAnsi="Meiryo UI"/>
                <w:sz w:val="18"/>
              </w:rPr>
              <w:t>406.1</w:t>
            </w:r>
          </w:p>
        </w:tc>
      </w:tr>
      <w:tr>
        <w:tc>
          <w:tcPr>
            <w:tcW w:type="dxa" w:w="1568"/>
            <w:shd w:val="clear" w:color="auto" w:fill="DDEBF7"/>
          </w:tcPr>
          <w:p>
            <w:r>
              <w:rPr>
                <w:rFonts w:ascii="Meiryo UI" w:hAnsi="Meiryo UI"/>
                <w:sz w:val="18"/>
              </w:rPr>
              <w:t>FY28E</w:t>
            </w:r>
          </w:p>
        </w:tc>
        <w:tc>
          <w:tcPr>
            <w:tcW w:type="dxa" w:w="1568"/>
            <w:shd w:val="clear" w:color="auto" w:fill="DDEBF7"/>
          </w:tcPr>
          <w:p>
            <w:r>
              <w:rPr>
                <w:rFonts w:ascii="Meiryo UI" w:hAnsi="Meiryo UI"/>
                <w:sz w:val="18"/>
              </w:rPr>
              <w:t>2,280</w:t>
            </w:r>
          </w:p>
        </w:tc>
        <w:tc>
          <w:tcPr>
            <w:tcW w:type="dxa" w:w="1568"/>
            <w:shd w:val="clear" w:color="auto" w:fill="DDEBF7"/>
          </w:tcPr>
          <w:p>
            <w:r>
              <w:rPr>
                <w:rFonts w:ascii="Meiryo UI" w:hAnsi="Meiryo UI"/>
                <w:sz w:val="18"/>
              </w:rPr>
              <w:t>778</w:t>
            </w:r>
          </w:p>
        </w:tc>
        <w:tc>
          <w:tcPr>
            <w:tcW w:type="dxa" w:w="1568"/>
            <w:shd w:val="clear" w:color="auto" w:fill="DDEBF7"/>
          </w:tcPr>
          <w:p>
            <w:r>
              <w:rPr>
                <w:rFonts w:ascii="Meiryo UI" w:hAnsi="Meiryo UI"/>
                <w:sz w:val="18"/>
              </w:rPr>
              <w:t>544.6</w:t>
            </w:r>
          </w:p>
        </w:tc>
        <w:tc>
          <w:tcPr>
            <w:tcW w:type="dxa" w:w="1568"/>
            <w:shd w:val="clear" w:color="auto" w:fill="DDEBF7"/>
          </w:tcPr>
          <w:p>
            <w:r>
              <w:rPr>
                <w:rFonts w:ascii="Meiryo UI" w:hAnsi="Meiryo UI"/>
                <w:sz w:val="18"/>
              </w:rPr>
              <w:t>57.0</w:t>
            </w:r>
          </w:p>
        </w:tc>
        <w:tc>
          <w:tcPr>
            <w:tcW w:type="dxa" w:w="1568"/>
            <w:shd w:val="clear" w:color="auto" w:fill="DDEBF7"/>
          </w:tcPr>
          <w:p>
            <w:r>
              <w:rPr>
                <w:rFonts w:ascii="Meiryo UI" w:hAnsi="Meiryo UI"/>
                <w:sz w:val="18"/>
              </w:rPr>
              <w:t>487.6</w:t>
            </w:r>
          </w:p>
        </w:tc>
      </w:tr>
      <w:tr>
        <w:tc>
          <w:tcPr>
            <w:tcW w:type="dxa" w:w="1568"/>
          </w:tcPr>
          <w:p>
            <w:r>
              <w:rPr>
                <w:rFonts w:ascii="Meiryo UI" w:hAnsi="Meiryo UI"/>
                <w:sz w:val="18"/>
              </w:rPr>
              <w:t>FY29E</w:t>
            </w:r>
          </w:p>
        </w:tc>
        <w:tc>
          <w:tcPr>
            <w:tcW w:type="dxa" w:w="1568"/>
          </w:tcPr>
          <w:p>
            <w:r>
              <w:rPr>
                <w:rFonts w:ascii="Meiryo UI" w:hAnsi="Meiryo UI"/>
                <w:sz w:val="18"/>
              </w:rPr>
              <w:t>2,622</w:t>
            </w:r>
          </w:p>
        </w:tc>
        <w:tc>
          <w:tcPr>
            <w:tcW w:type="dxa" w:w="1568"/>
          </w:tcPr>
          <w:p>
            <w:r>
              <w:rPr>
                <w:rFonts w:ascii="Meiryo UI" w:hAnsi="Meiryo UI"/>
                <w:sz w:val="18"/>
              </w:rPr>
              <w:t>895</w:t>
            </w:r>
          </w:p>
        </w:tc>
        <w:tc>
          <w:tcPr>
            <w:tcW w:type="dxa" w:w="1568"/>
          </w:tcPr>
          <w:p>
            <w:r>
              <w:rPr>
                <w:rFonts w:ascii="Meiryo UI" w:hAnsi="Meiryo UI"/>
                <w:sz w:val="18"/>
              </w:rPr>
              <w:t>626.5</w:t>
            </w:r>
          </w:p>
        </w:tc>
        <w:tc>
          <w:tcPr>
            <w:tcW w:type="dxa" w:w="1568"/>
          </w:tcPr>
          <w:p>
            <w:r>
              <w:rPr>
                <w:rFonts w:ascii="Meiryo UI" w:hAnsi="Meiryo UI"/>
                <w:sz w:val="18"/>
              </w:rPr>
              <w:t>65.6</w:t>
            </w:r>
          </w:p>
        </w:tc>
        <w:tc>
          <w:tcPr>
            <w:tcW w:type="dxa" w:w="1568"/>
          </w:tcPr>
          <w:p>
            <w:r>
              <w:rPr>
                <w:rFonts w:ascii="Meiryo UI" w:hAnsi="Meiryo UI"/>
                <w:sz w:val="18"/>
              </w:rPr>
              <w:t>560.9</w:t>
            </w:r>
          </w:p>
        </w:tc>
      </w:tr>
      <w:tr>
        <w:tc>
          <w:tcPr>
            <w:tcW w:type="dxa" w:w="1568"/>
            <w:shd w:val="clear" w:color="auto" w:fill="DDEBF7"/>
          </w:tcPr>
          <w:p>
            <w:r>
              <w:rPr>
                <w:rFonts w:ascii="Meiryo UI" w:hAnsi="Meiryo UI"/>
                <w:sz w:val="18"/>
              </w:rPr>
              <w:t>FY30E</w:t>
            </w:r>
          </w:p>
        </w:tc>
        <w:tc>
          <w:tcPr>
            <w:tcW w:type="dxa" w:w="1568"/>
            <w:shd w:val="clear" w:color="auto" w:fill="DDEBF7"/>
          </w:tcPr>
          <w:p>
            <w:r>
              <w:rPr>
                <w:rFonts w:ascii="Meiryo UI" w:hAnsi="Meiryo UI"/>
                <w:sz w:val="18"/>
              </w:rPr>
              <w:t>2,937</w:t>
            </w:r>
          </w:p>
        </w:tc>
        <w:tc>
          <w:tcPr>
            <w:tcW w:type="dxa" w:w="1568"/>
            <w:shd w:val="clear" w:color="auto" w:fill="DDEBF7"/>
          </w:tcPr>
          <w:p>
            <w:r>
              <w:rPr>
                <w:rFonts w:ascii="Meiryo UI" w:hAnsi="Meiryo UI"/>
                <w:sz w:val="18"/>
              </w:rPr>
              <w:t>1,002</w:t>
            </w:r>
          </w:p>
        </w:tc>
        <w:tc>
          <w:tcPr>
            <w:tcW w:type="dxa" w:w="1568"/>
            <w:shd w:val="clear" w:color="auto" w:fill="DDEBF7"/>
          </w:tcPr>
          <w:p>
            <w:r>
              <w:rPr>
                <w:rFonts w:ascii="Meiryo UI" w:hAnsi="Meiryo UI"/>
                <w:sz w:val="18"/>
              </w:rPr>
              <w:t>701.4</w:t>
            </w:r>
          </w:p>
        </w:tc>
        <w:tc>
          <w:tcPr>
            <w:tcW w:type="dxa" w:w="1568"/>
            <w:shd w:val="clear" w:color="auto" w:fill="DDEBF7"/>
          </w:tcPr>
          <w:p>
            <w:r>
              <w:rPr>
                <w:rFonts w:ascii="Meiryo UI" w:hAnsi="Meiryo UI"/>
                <w:sz w:val="18"/>
              </w:rPr>
              <w:t>73.4</w:t>
            </w:r>
          </w:p>
        </w:tc>
        <w:tc>
          <w:tcPr>
            <w:tcW w:type="dxa" w:w="1568"/>
            <w:shd w:val="clear" w:color="auto" w:fill="DDEBF7"/>
          </w:tcPr>
          <w:p>
            <w:r>
              <w:rPr>
                <w:rFonts w:ascii="Meiryo UI" w:hAnsi="Meiryo UI"/>
                <w:sz w:val="18"/>
              </w:rPr>
              <w:t>628.0</w:t>
            </w:r>
          </w:p>
        </w:tc>
      </w:tr>
      <w:tr>
        <w:tc>
          <w:tcPr>
            <w:tcW w:type="dxa" w:w="1568"/>
          </w:tcPr>
          <w:p>
            <w:r>
              <w:rPr>
                <w:rFonts w:ascii="Meiryo UI" w:hAnsi="Meiryo UI"/>
                <w:sz w:val="18"/>
              </w:rPr>
              <w:t>FY31E</w:t>
            </w:r>
          </w:p>
        </w:tc>
        <w:tc>
          <w:tcPr>
            <w:tcW w:type="dxa" w:w="1568"/>
          </w:tcPr>
          <w:p>
            <w:r>
              <w:rPr>
                <w:rFonts w:ascii="Meiryo UI" w:hAnsi="Meiryo UI"/>
                <w:sz w:val="18"/>
              </w:rPr>
              <w:t>3,231</w:t>
            </w:r>
          </w:p>
        </w:tc>
        <w:tc>
          <w:tcPr>
            <w:tcW w:type="dxa" w:w="1568"/>
          </w:tcPr>
          <w:p>
            <w:r>
              <w:rPr>
                <w:rFonts w:ascii="Meiryo UI" w:hAnsi="Meiryo UI"/>
                <w:sz w:val="18"/>
              </w:rPr>
              <w:t>1,102</w:t>
            </w:r>
          </w:p>
        </w:tc>
        <w:tc>
          <w:tcPr>
            <w:tcW w:type="dxa" w:w="1568"/>
          </w:tcPr>
          <w:p>
            <w:r>
              <w:rPr>
                <w:rFonts w:ascii="Meiryo UI" w:hAnsi="Meiryo UI"/>
                <w:sz w:val="18"/>
              </w:rPr>
              <w:t>771.4</w:t>
            </w:r>
          </w:p>
        </w:tc>
        <w:tc>
          <w:tcPr>
            <w:tcW w:type="dxa" w:w="1568"/>
          </w:tcPr>
          <w:p>
            <w:r>
              <w:rPr>
                <w:rFonts w:ascii="Meiryo UI" w:hAnsi="Meiryo UI"/>
                <w:sz w:val="18"/>
              </w:rPr>
              <w:t>80.8</w:t>
            </w:r>
          </w:p>
        </w:tc>
        <w:tc>
          <w:tcPr>
            <w:tcW w:type="dxa" w:w="1568"/>
          </w:tcPr>
          <w:p>
            <w:r>
              <w:rPr>
                <w:rFonts w:ascii="Meiryo UI" w:hAnsi="Meiryo UI"/>
                <w:sz w:val="18"/>
              </w:rPr>
              <w:t>690.6</w:t>
            </w:r>
          </w:p>
        </w:tc>
      </w:tr>
    </w:tbl>
    <w:p/>
    <w:p>
      <w:r>
        <w:rPr>
          <w:rFonts w:ascii="Meiryo UI" w:hAnsi="Meiryo UI"/>
          <w:sz w:val="20"/>
        </w:rPr>
        <w:t>※CapEx等は売上の2.5%想定（純コンサルファームの極軽資産特性）</w:t>
      </w:r>
    </w:p>
    <w:p/>
    <w:p>
      <w:r>
        <w:rPr>
          <w:rFonts w:ascii="Meiryo UI" w:hAnsi="Meiryo UI"/>
          <w:sz w:val="20"/>
        </w:rPr>
        <w:t>【ターミナルバリュー計算】</w:t>
      </w:r>
    </w:p>
    <w:p>
      <w:pPr>
        <w:shd w:val="clear" w:color="auto" w:fill="F2F2F2"/>
      </w:pPr>
      <w:r>
        <w:rPr>
          <w:rFonts w:ascii="Courier New" w:hAnsi="Courier New"/>
          <w:sz w:val="16"/>
        </w:rPr>
        <w:t>TV = FCF(FY31) × (1+g) / (WACC - g)</w:t>
        <w:br/>
        <w:t xml:space="preserve">   = ¥690.6億 × 1.03 / (8.7% - 3.0%)</w:t>
        <w:br/>
        <w:t xml:space="preserve">   = ¥711.3億 / 5.7%</w:t>
        <w:br/>
        <w:t xml:space="preserve">   = ¥12,478億</w:t>
        <w:br/>
        <w:br/>
        <w:t>【現在価値計算（割引率 WACC=8.7%）】</w:t>
        <w:br/>
        <w:t xml:space="preserve">  PV(FY27) = 406.1 / 1.087^1  = 373.6億</w:t>
        <w:br/>
        <w:t xml:space="preserve">  PV(FY28) = 487.6 / 1.087^2  = 413.2億（注：以下割引係数計算）</w:t>
        <w:br/>
        <w:t xml:space="preserve">  </w:t>
        <w:br/>
        <w:t xml:space="preserve">  割引係数：</w:t>
        <w:br/>
        <w:t xml:space="preserve">  Year1：1/1.087  = 0.920</w:t>
        <w:br/>
        <w:t xml:space="preserve">  Year2：1/1.087² = 0.846</w:t>
        <w:br/>
        <w:t xml:space="preserve">  Year3：1/1.087³ = 0.778</w:t>
        <w:br/>
        <w:t xml:space="preserve">  Year4：1/1.087⁴ = 0.716</w:t>
        <w:br/>
        <w:t xml:space="preserve">  Year5：1/1.087⁵ = 0.659</w:t>
        <w:br/>
        <w:t xml:space="preserve">  </w:t>
        <w:br/>
        <w:t xml:space="preserve">  PV(FCF合計）：</w:t>
        <w:br/>
        <w:t xml:space="preserve">  FY27：406.1 × 0.920 = 373.6億</w:t>
        <w:br/>
        <w:t xml:space="preserve">  FY28：487.6 × 0.846 = 412.5億</w:t>
        <w:br/>
        <w:t xml:space="preserve">  FY29：560.9 × 0.778 = 436.4億</w:t>
        <w:br/>
        <w:t xml:space="preserve">  FY30：628.0 × 0.716 = 449.6億</w:t>
        <w:br/>
        <w:t xml:space="preserve">  FY31：690.6 × 0.659 = 455.1億</w:t>
        <w:br/>
        <w:t xml:space="preserve">  </w:t>
        <w:br/>
        <w:t xml:space="preserve">  FCF現在価値合計    = 2,127.2億</w:t>
        <w:br/>
        <w:t xml:space="preserve">  </w:t>
        <w:br/>
        <w:t xml:space="preserve">  TV現在価値：</w:t>
        <w:br/>
        <w:t xml:space="preserve">  TV = ¥12,478億 / 1.087^5</w:t>
        <w:br/>
        <w:t xml:space="preserve">     = ¥12,478億 × 0.659</w:t>
        <w:br/>
        <w:t xml:space="preserve">     = ¥8,223.1億</w:t>
        <w:br/>
        <w:t xml:space="preserve">  </w:t>
        <w:br/>
        <w:t>【事業価値（Enterprise Value）】</w:t>
        <w:br/>
        <w:t xml:space="preserve">  EV = FCF現在価値合計 + TV現在価値</w:t>
        <w:br/>
        <w:t xml:space="preserve">     = 2,127.2億 + 8,223.1億</w:t>
        <w:br/>
        <w:t xml:space="preserve">     = ¥10,350.3億</w:t>
        <w:br/>
        <w:br/>
        <w:t>【株主価値・理論株価】</w:t>
        <w:br/>
        <w:t xml:space="preserve">  純有利子負債 ≈ 0（実質無借金）</w:t>
        <w:br/>
        <w:t xml:space="preserve">  株主価値 = ¥10,350.3億</w:t>
        <w:br/>
        <w:t xml:space="preserve">  </w:t>
        <w:br/>
        <w:t xml:space="preserve">  発行済株数（FY26 EPS¥249・純利益逆算）：</w:t>
        <w:br/>
        <w:t xml:space="preserve">  OPM34.4%から純利益推計：¥510億 × (1-0.30) = ¥357億</w:t>
        <w:br/>
        <w:t xml:space="preserve">  株数 = ¥357億 ÷ ¥249 = 1.433億株</w:t>
        <w:br/>
        <w:t xml:space="preserve">  </w:t>
        <w:br/>
        <w:t xml:space="preserve">  理論株価（基本シナリオ）= ¥10,350.3億 ÷ 1.433億株</w:t>
        <w:br/>
        <w:t xml:space="preserve">                         = ¥7,222</w:t>
        <w:br/>
        <w:t xml:space="preserve">  </w:t>
        <w:br/>
        <w:t xml:space="preserve">  安全域バッファ（MoS 10%控除）：</w:t>
        <w:br/>
        <w:t xml:space="preserve">  保守的理論株価 = ¥7,222 × 0.90 = ¥6,500（切り上げ：¥6,480）</w:t>
      </w:r>
    </w:p>
    <w:p/>
    <w:p>
      <w:pPr>
        <w:pStyle w:val="Heading3"/>
      </w:pPr>
      <w:r>
        <w:rPr>
          <w:rFonts w:ascii="Meiryo UI" w:hAnsi="Meiryo UI"/>
          <w:color w:val="2E74B5"/>
        </w:rPr>
        <w:t>4-3. 理論株価レンジ（シナリオ別）</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理論株価（MoS前）</w:t>
            </w:r>
          </w:p>
        </w:tc>
        <w:tc>
          <w:tcPr>
            <w:tcW w:type="dxa" w:w="1568"/>
            <w:shd w:val="clear" w:color="auto" w:fill="2E74B5"/>
          </w:tcPr>
          <w:p>
            <w:r>
              <w:rPr>
                <w:rFonts w:ascii="Meiryo UI" w:hAnsi="Meiryo UI"/>
                <w:b/>
                <w:color w:val="FFFFFF"/>
                <w:sz w:val="18"/>
              </w:rPr>
              <w:t>MoS10%後（FV）</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8.2%</w:t>
            </w:r>
          </w:p>
        </w:tc>
        <w:tc>
          <w:tcPr>
            <w:tcW w:type="dxa" w:w="1568"/>
          </w:tcPr>
          <w:p>
            <w:r>
              <w:rPr>
                <w:rFonts w:ascii="Meiryo UI" w:hAnsi="Meiryo UI"/>
                <w:sz w:val="18"/>
              </w:rPr>
              <w:t>3.5%</w:t>
            </w:r>
          </w:p>
        </w:tc>
        <w:tc>
          <w:tcPr>
            <w:tcW w:type="dxa" w:w="1568"/>
          </w:tcPr>
          <w:p>
            <w:r>
              <w:rPr>
                <w:rFonts w:ascii="Meiryo UI" w:hAnsi="Meiryo UI"/>
                <w:sz w:val="18"/>
              </w:rPr>
              <w:t>¥8,950</w:t>
            </w:r>
          </w:p>
        </w:tc>
        <w:tc>
          <w:tcPr>
            <w:tcW w:type="dxa" w:w="1568"/>
          </w:tcPr>
          <w:p>
            <w:r>
              <w:rPr>
                <w:rFonts w:ascii="Meiryo UI" w:hAnsi="Meiryo UI"/>
                <w:sz w:val="18"/>
              </w:rPr>
              <w:t>¥8,055</w:t>
            </w:r>
          </w:p>
        </w:tc>
        <w:tc>
          <w:tcPr>
            <w:tcW w:type="dxa" w:w="1568"/>
          </w:tcPr>
          <w:p>
            <w:r>
              <w:rPr>
                <w:rFonts w:ascii="Meiryo UI" w:hAnsi="Meiryo UI"/>
                <w:sz w:val="18"/>
              </w:rPr>
              <w:t>+64.8%</w:t>
            </w:r>
          </w:p>
        </w:tc>
      </w:tr>
      <w:tr>
        <w:tc>
          <w:tcPr>
            <w:tcW w:type="dxa" w:w="1568"/>
            <w:shd w:val="clear" w:color="auto" w:fill="DDEBF7"/>
          </w:tcPr>
          <w:p>
            <w:r>
              <w:rPr>
                <w:rFonts w:ascii="Meiryo UI" w:hAnsi="Meiryo UI"/>
                <w:sz w:val="18"/>
              </w:rPr>
              <w:t>基本（メイン）</w:t>
            </w:r>
          </w:p>
        </w:tc>
        <w:tc>
          <w:tcPr>
            <w:tcW w:type="dxa" w:w="1568"/>
            <w:shd w:val="clear" w:color="auto" w:fill="DDEBF7"/>
          </w:tcPr>
          <w:p>
            <w:r>
              <w:rPr>
                <w:rFonts w:ascii="Meiryo UI" w:hAnsi="Meiryo UI"/>
                <w:sz w:val="18"/>
              </w:rPr>
              <w:t>8.7%</w:t>
            </w:r>
          </w:p>
        </w:tc>
        <w:tc>
          <w:tcPr>
            <w:tcW w:type="dxa" w:w="1568"/>
            <w:shd w:val="clear" w:color="auto" w:fill="DDEBF7"/>
          </w:tcPr>
          <w:p>
            <w:r>
              <w:rPr>
                <w:rFonts w:ascii="Meiryo UI" w:hAnsi="Meiryo UI"/>
                <w:sz w:val="18"/>
              </w:rPr>
              <w:t>3.0%</w:t>
            </w:r>
          </w:p>
        </w:tc>
        <w:tc>
          <w:tcPr>
            <w:tcW w:type="dxa" w:w="1568"/>
            <w:shd w:val="clear" w:color="auto" w:fill="DDEBF7"/>
          </w:tcPr>
          <w:p>
            <w:r>
              <w:rPr>
                <w:rFonts w:ascii="Meiryo UI" w:hAnsi="Meiryo UI"/>
                <w:sz w:val="18"/>
              </w:rPr>
              <w:t>¥7,222</w:t>
            </w:r>
          </w:p>
        </w:tc>
        <w:tc>
          <w:tcPr>
            <w:tcW w:type="dxa" w:w="1568"/>
            <w:shd w:val="clear" w:color="auto" w:fill="DDEBF7"/>
          </w:tcPr>
          <w:p>
            <w:r>
              <w:rPr>
                <w:rFonts w:ascii="Meiryo UI" w:hAnsi="Meiryo UI"/>
                <w:sz w:val="18"/>
              </w:rPr>
              <w:t>¥6,480</w:t>
            </w:r>
          </w:p>
        </w:tc>
        <w:tc>
          <w:tcPr>
            <w:tcW w:type="dxa" w:w="1568"/>
            <w:shd w:val="clear" w:color="auto" w:fill="DDEBF7"/>
          </w:tcPr>
          <w:p>
            <w:r>
              <w:rPr>
                <w:rFonts w:ascii="Meiryo UI" w:hAnsi="Meiryo UI"/>
                <w:sz w:val="18"/>
              </w:rPr>
              <w:t>+32.6%</w:t>
            </w:r>
          </w:p>
        </w:tc>
      </w:tr>
      <w:tr>
        <w:tc>
          <w:tcPr>
            <w:tcW w:type="dxa" w:w="1568"/>
          </w:tcPr>
          <w:p>
            <w:r>
              <w:rPr>
                <w:rFonts w:ascii="Meiryo UI" w:hAnsi="Meiryo UI"/>
                <w:sz w:val="18"/>
              </w:rPr>
              <w:t>弱気</w:t>
            </w:r>
          </w:p>
        </w:tc>
        <w:tc>
          <w:tcPr>
            <w:tcW w:type="dxa" w:w="1568"/>
          </w:tcPr>
          <w:p>
            <w:r>
              <w:rPr>
                <w:rFonts w:ascii="Meiryo UI" w:hAnsi="Meiryo UI"/>
                <w:sz w:val="18"/>
              </w:rPr>
              <w:t>9.5%</w:t>
            </w:r>
          </w:p>
        </w:tc>
        <w:tc>
          <w:tcPr>
            <w:tcW w:type="dxa" w:w="1568"/>
          </w:tcPr>
          <w:p>
            <w:r>
              <w:rPr>
                <w:rFonts w:ascii="Meiryo UI" w:hAnsi="Meiryo UI"/>
                <w:sz w:val="18"/>
              </w:rPr>
              <w:t>2.0%</w:t>
            </w:r>
          </w:p>
        </w:tc>
        <w:tc>
          <w:tcPr>
            <w:tcW w:type="dxa" w:w="1568"/>
          </w:tcPr>
          <w:p>
            <w:r>
              <w:rPr>
                <w:rFonts w:ascii="Meiryo UI" w:hAnsi="Meiryo UI"/>
                <w:sz w:val="18"/>
              </w:rPr>
              <w:t>¥5,110</w:t>
            </w:r>
          </w:p>
        </w:tc>
        <w:tc>
          <w:tcPr>
            <w:tcW w:type="dxa" w:w="1568"/>
          </w:tcPr>
          <w:p>
            <w:r>
              <w:rPr>
                <w:rFonts w:ascii="Meiryo UI" w:hAnsi="Meiryo UI"/>
                <w:sz w:val="18"/>
              </w:rPr>
              <w:t>¥4,600</w:t>
            </w:r>
          </w:p>
        </w:tc>
        <w:tc>
          <w:tcPr>
            <w:tcW w:type="dxa" w:w="1568"/>
          </w:tcPr>
          <w:p>
            <w:r>
              <w:rPr>
                <w:rFonts w:ascii="Meiryo UI" w:hAnsi="Meiryo UI"/>
                <w:sz w:val="18"/>
              </w:rPr>
              <w:t>▲5.9%</w:t>
            </w:r>
          </w:p>
        </w:tc>
      </w:tr>
      <w:tr>
        <w:tc>
          <w:tcPr>
            <w:tcW w:type="dxa" w:w="1568"/>
            <w:shd w:val="clear" w:color="auto" w:fill="DDEBF7"/>
          </w:tcPr>
          <w:p>
            <w:r>
              <w:rPr>
                <w:rFonts w:ascii="Meiryo UI" w:hAnsi="Meiryo UI"/>
                <w:sz w:val="18"/>
              </w:rPr>
              <w:t>極弱気</w:t>
            </w:r>
          </w:p>
        </w:tc>
        <w:tc>
          <w:tcPr>
            <w:tcW w:type="dxa" w:w="1568"/>
            <w:shd w:val="clear" w:color="auto" w:fill="DDEBF7"/>
          </w:tcPr>
          <w:p>
            <w:r>
              <w:rPr>
                <w:rFonts w:ascii="Meiryo UI" w:hAnsi="Meiryo UI"/>
                <w:sz w:val="18"/>
              </w:rPr>
              <w:t>10.5%</w:t>
            </w:r>
          </w:p>
        </w:tc>
        <w:tc>
          <w:tcPr>
            <w:tcW w:type="dxa" w:w="1568"/>
            <w:shd w:val="clear" w:color="auto" w:fill="DDEBF7"/>
          </w:tcPr>
          <w:p>
            <w:r>
              <w:rPr>
                <w:rFonts w:ascii="Meiryo UI" w:hAnsi="Meiryo UI"/>
                <w:sz w:val="18"/>
              </w:rPr>
              <w:t>1.5%</w:t>
            </w:r>
          </w:p>
        </w:tc>
        <w:tc>
          <w:tcPr>
            <w:tcW w:type="dxa" w:w="1568"/>
            <w:shd w:val="clear" w:color="auto" w:fill="DDEBF7"/>
          </w:tcPr>
          <w:p>
            <w:r>
              <w:rPr>
                <w:rFonts w:ascii="Meiryo UI" w:hAnsi="Meiryo UI"/>
                <w:sz w:val="18"/>
              </w:rPr>
              <w:t>¥4,050</w:t>
            </w:r>
          </w:p>
        </w:tc>
        <w:tc>
          <w:tcPr>
            <w:tcW w:type="dxa" w:w="1568"/>
            <w:shd w:val="clear" w:color="auto" w:fill="DDEBF7"/>
          </w:tcPr>
          <w:p>
            <w:r>
              <w:rPr>
                <w:rFonts w:ascii="Meiryo UI" w:hAnsi="Meiryo UI"/>
                <w:sz w:val="18"/>
              </w:rPr>
              <w:t>¥3,645</w:t>
            </w:r>
          </w:p>
        </w:tc>
        <w:tc>
          <w:tcPr>
            <w:tcW w:type="dxa" w:w="1568"/>
            <w:shd w:val="clear" w:color="auto" w:fill="DDEBF7"/>
          </w:tcPr>
          <w:p>
            <w:r>
              <w:rPr>
                <w:rFonts w:ascii="Meiryo UI" w:hAnsi="Meiryo UI"/>
                <w:sz w:val="18"/>
              </w:rPr>
              <w:t>▲25.4%</w:t>
            </w:r>
          </w:p>
        </w:tc>
      </w:tr>
    </w:tbl>
    <w:p/>
    <w:p>
      <w:r>
        <w:rPr>
          <w:rFonts w:ascii="Meiryo UI" w:hAnsi="Meiryo UI"/>
          <w:sz w:val="20"/>
        </w:rPr>
        <w:t>&gt; メインシナリオFV：¥6,480（安全域10%控除後）。表示レンジ：¥6,200〜¥6,800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マルチプルバリュエーション（DCFクロスチェック）</w:t>
      </w:r>
    </w:p>
    <w:p/>
    <w:p>
      <w:pPr>
        <w:shd w:val="clear" w:color="auto" w:fill="F2F2F2"/>
      </w:pPr>
      <w:r>
        <w:rPr>
          <w:rFonts w:ascii="Courier New" w:hAnsi="Courier New"/>
          <w:sz w:val="16"/>
        </w:rPr>
        <w:t>【PER法（FY27E EPS¥316ベース）】</w:t>
        <w:br/>
        <w:t xml:space="preserve">  コンサルセクター適正PER（成長率27%考慮）：22〜28倍</w:t>
        <w:br/>
        <w:t xml:space="preserve">  FV(PER22倍) = ¥316 × 22 = ¥6,952</w:t>
        <w:br/>
        <w:t xml:space="preserve">  FV(PER25倍) = ¥316 × 25 = ¥7,900</w:t>
        <w:br/>
        <w:t xml:space="preserve">  FV(PER20倍) = ¥316 × 20 = ¥6,320 ← 保守的</w:t>
        <w:br/>
        <w:t xml:space="preserve">  </w:t>
        <w:br/>
        <w:t xml:space="preserve">  → PER法バリュエーションレンジ：¥6,320〜¥7,900</w:t>
        <w:br/>
        <w:br/>
        <w:t>【PEGベース逆算フェアバリュー】</w:t>
        <w:br/>
        <w:t xml:space="preserve">  適正PEG = 1.0（成長に対して適正評価）</w:t>
        <w:br/>
        <w:t xml:space="preserve">  適正PER = EPS成長率27% × PEG1.0 = 27倍</w:t>
        <w:br/>
        <w:t xml:space="preserve">  FV(PEG=1.0) = ¥316 × 27 = ¥8,532</w:t>
        <w:br/>
        <w:t xml:space="preserve">  </w:t>
        <w:br/>
        <w:t xml:space="preserve">  現在PEG = 0.57（大幅割安）</w:t>
        <w:br/>
        <w:br/>
        <w:t>【DCF vs マルチプル統合】</w:t>
        <w:br/>
        <w:t xml:space="preserve">  DCF基本シナリオ   ：¥6,480</w:t>
        <w:br/>
        <w:t xml:space="preserve">  PER法（保守的）   ：¥6,320</w:t>
        <w:br/>
        <w:t xml:space="preserve">  PER法（中立）     ：¥6,952</w:t>
        <w:br/>
        <w:t xml:space="preserve">  PEGフェアバリュー ：¥8,532</w:t>
        <w:br/>
        <w:t xml:space="preserve">  </w:t>
        <w:br/>
        <w:t xml:space="preserve">  ★統合FV（加重平均、DCF50%・PER30%・PEG20%）</w:t>
        <w:br/>
        <w:t xml:space="preserve">  = ¥6,480×0.5 + ¥6,636×0.3 + ¥8,532×0.2</w:t>
        <w:br/>
        <w:t xml:space="preserve">  = ¥3,240 + ¥1,991 + ¥1,706</w:t>
        <w:br/>
        <w:t xml:space="preserve">  = ¥6,937</w:t>
        <w:br/>
        <w:t xml:space="preserve">  </w:t>
        <w:br/>
        <w:t xml:space="preserve">  ※保守的採用（DCF基本）：¥6,480</w:t>
        <w:br/>
        <w:t xml:space="preserve">  ※目標株価レンジ：¥6,200〜¥6,800</w:t>
      </w:r>
    </w:p>
    <w:p/>
    <w:p>
      <w:pPr>
        <w:pStyle w:val="Heading3"/>
      </w:pPr>
      <w:r>
        <w:rPr>
          <w:rFonts w:ascii="Meiryo UI" w:hAnsi="Meiryo UI"/>
          <w:color w:val="2E74B5"/>
        </w:rPr>
        <w:t>5-2. 最終投資判断</w:t>
      </w:r>
    </w:p>
    <w:p/>
    <w:p>
      <w:pPr>
        <w:shd w:val="clear" w:color="auto" w:fill="F2F2F2"/>
      </w:pPr>
      <w:r>
        <w:rPr>
          <w:rFonts w:ascii="Courier New" w:hAnsi="Courier New"/>
          <w:sz w:val="16"/>
        </w:rPr>
        <w:t>★★★ 投資判断：BUY（買い）★★★</w:t>
        <w:br/>
        <w:br/>
        <w:t>根拠：</w:t>
        <w:br/>
        <w:t>① PEG0.57（EPS+27%成長に対し PER15.5倍）→ 成長対比顕著な割安</w:t>
        <w:br/>
        <w:t>② DCF基本シナリオFV¥6,480 → 現在値比+32.6%の上値余地</w:t>
        <w:br/>
        <w:t>③ 決算ポジティブサプライズ（4Q+30%・FY27ガイダンス全面上振れ）→ 成長継続を確認</w:t>
        <w:br/>
        <w:t>④ 旧成長鈍化テーゼ完全消滅 → SELLテーゼの根拠ゼロ化</w:t>
        <w:br/>
        <w:t>⑤ コンサルタント5,590人（SBI予想+181人）→ 量的成長ドライバー健全</w:t>
        <w:br/>
        <w:br/>
        <w:t>安全域（Margin of Safety）：</w:t>
        <w:br/>
        <w:t xml:space="preserve">  損切りライン：¥4,100（弱気FV¥4,600比▲10.9%、極弱気FV¥3,645比+12.5%）</w:t>
        <w:br/>
        <w:t xml:space="preserve">  → 損切りまでの下落余地：▲16.1%</w:t>
        <w:br/>
        <w:t xml:space="preserve">  → 目標FVまでの上値余地：+32.6%</w:t>
        <w:br/>
        <w:t xml:space="preserve">  → リスクリワード比：32.6 ÷ 16.1 ≈ 2.0倍（最低限の水準）</w:t>
        <w:br/>
        <w:t xml:space="preserve">  → 強気シナリオFV¥8,055到達時：RR比 = 64.8 ÷ 16.1 = 4.0倍（優良）</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強気シナリオ（確率：25%）</w:t>
      </w:r>
    </w:p>
    <w:p/>
    <w:p>
      <w:pPr>
        <w:shd w:val="clear" w:color="auto" w:fill="F2F2F2"/>
      </w:pPr>
      <w:r>
        <w:rPr>
          <w:rFonts w:ascii="Courier New" w:hAnsi="Courier New"/>
          <w:sz w:val="16"/>
        </w:rPr>
        <w:t>前提：</w:t>
        <w:br/>
        <w:t xml:space="preserve">  FY27 売上：¥1,900億達成（ガイダンス通り）+ FY28以降も+25%継続</w:t>
        <w:br/>
        <w:t xml:space="preserve">  生成AI案件：FY27後半から単価+20%の超高付加価値案件が急増</w:t>
        <w:br/>
        <w:t xml:space="preserve">  コンサルタント：FY27末に6,500人達成</w:t>
        <w:br/>
        <w:t xml:space="preserve">  WACC：8.2%（金利安定）、g：3.5%</w:t>
        <w:br/>
        <w:t xml:space="preserve">  </w:t>
        <w:br/>
        <w:t>結果：</w:t>
        <w:br/>
        <w:t xml:space="preserve">  FY27E EPS：¥316 → FY28E EPS：¥390（+23%）</w:t>
        <w:br/>
        <w:t xml:space="preserve">  理論株価：¥8,055（MoS後）</w:t>
        <w:br/>
        <w:t xml:space="preserve">  現在値比：+64.8%</w:t>
        <w:br/>
        <w:t xml:space="preserve">  </w:t>
        <w:br/>
        <w:t>カタリスト：FY27 1Q売上¥500億超、AIコンサル案件の具体的発表</w:t>
      </w:r>
    </w:p>
    <w:p/>
    <w:p>
      <w:pPr>
        <w:pStyle w:val="Heading3"/>
      </w:pPr>
      <w:r>
        <w:rPr>
          <w:rFonts w:ascii="Meiryo UI" w:hAnsi="Meiryo UI"/>
          <w:color w:val="2E74B5"/>
        </w:rPr>
        <w:t>6-2. 基本シナリオ（確率：55%）</w:t>
      </w:r>
    </w:p>
    <w:p/>
    <w:p>
      <w:pPr>
        <w:shd w:val="clear" w:color="auto" w:fill="F2F2F2"/>
      </w:pPr>
      <w:r>
        <w:rPr>
          <w:rFonts w:ascii="Courier New" w:hAnsi="Courier New"/>
          <w:sz w:val="16"/>
        </w:rPr>
        <w:t>前提：</w:t>
        <w:br/>
        <w:t xml:space="preserve">  FY27 売上：¥1,900億ガイダンス達成</w:t>
        <w:br/>
        <w:t xml:space="preserve">  FY28以降：+20→+15→+12→+10%の漸次減速</w:t>
        <w:br/>
        <w:t xml:space="preserve">  人員：計画通り拡大、稼働率安定</w:t>
        <w:br/>
        <w:t xml:space="preserve">  WACC：8.7%、g：3.0%</w:t>
        <w:br/>
        <w:t xml:space="preserve">  </w:t>
        <w:br/>
        <w:t>結果：</w:t>
        <w:br/>
        <w:t xml:space="preserve">  FY27E EPS：¥316</w:t>
        <w:br/>
        <w:t xml:space="preserve">  理論株価：¥6,480（MoS後）</w:t>
        <w:br/>
        <w:t xml:space="preserve">  現在値比：+32.6%</w:t>
        <w:br/>
        <w:t xml:space="preserve">  </w:t>
        <w:br/>
        <w:t>確認ポイント：2026年6月のFY27 1Q開示（進捗率25%以上が最低ライン）</w:t>
      </w:r>
    </w:p>
    <w:p/>
    <w:p>
      <w:pPr>
        <w:pStyle w:val="Heading3"/>
      </w:pPr>
      <w:r>
        <w:rPr>
          <w:rFonts w:ascii="Meiryo UI" w:hAnsi="Meiryo UI"/>
          <w:color w:val="2E74B5"/>
        </w:rPr>
        <w:t>6-3. 弱気シナリオ（確率：20%）</w:t>
      </w:r>
    </w:p>
    <w:p/>
    <w:p>
      <w:pPr>
        <w:shd w:val="clear" w:color="auto" w:fill="F2F2F2"/>
      </w:pPr>
      <w:r>
        <w:rPr>
          <w:rFonts w:ascii="Courier New" w:hAnsi="Courier New"/>
          <w:sz w:val="16"/>
        </w:rPr>
        <w:t>前提：</w:t>
        <w:br/>
        <w:t xml:space="preserve">  FY27 売上：¥1,700〜1,750億（ガイダンス比▲8〜10%未達）</w:t>
        <w:br/>
        <w:t xml:space="preserve">  要因：採用鈍化・稼働率低下・大型案件延期</w:t>
        <w:br/>
        <w:t xml:space="preserve">  生成AI台頭による単価圧力（一部業務のコモディティ化）</w:t>
        <w:br/>
        <w:t xml:space="preserve">  WACC：9.5%、g：2.0%</w:t>
        <w:br/>
        <w:t xml:space="preserve">  </w:t>
        <w:br/>
        <w:t>結果：</w:t>
        <w:br/>
        <w:t xml:space="preserve">  FY27E EPS：¥265〜280（+6〜12%成長に鈍化）</w:t>
        <w:br/>
        <w:t xml:space="preserve">  理論株価：¥4,600（MoS後）</w:t>
        <w:br/>
        <w:t xml:space="preserve">  現在値比：▲5.9%</w:t>
        <w:br/>
        <w:t xml:space="preserve">  </w:t>
        <w:br/>
        <w:t>シグナル：1Q進捗率20%割れ、コンサルタント純増数の急減、GPM低下</w:t>
      </w:r>
    </w:p>
    <w:p/>
    <w:p>
      <w:pPr>
        <w:pStyle w:val="Heading3"/>
      </w:pPr>
      <w:r>
        <w:rPr>
          <w:rFonts w:ascii="Meiryo UI" w:hAnsi="Meiryo UI"/>
          <w:color w:val="2E74B5"/>
        </w:rPr>
        <w:t>6-4. 極弱気シナリオ（確率：5%）</w:t>
      </w:r>
    </w:p>
    <w:p/>
    <w:p>
      <w:pPr>
        <w:shd w:val="clear" w:color="auto" w:fill="F2F2F2"/>
      </w:pPr>
      <w:r>
        <w:rPr>
          <w:rFonts w:ascii="Courier New" w:hAnsi="Courier New"/>
          <w:sz w:val="16"/>
        </w:rPr>
        <w:t>前提：</w:t>
        <w:br/>
        <w:t xml:space="preserve">  景気悪化によるDX投資凍結・人員削減</w:t>
        <w:br/>
        <w:t xml:space="preserve">  生成AIによるコンサルタント需要の構造的破壊（代替加速）</w:t>
        <w:br/>
        <w:t xml:space="preserve">  金利上昇（WACC10.5%）</w:t>
        <w:br/>
        <w:t xml:space="preserve">  FY27 EPS：¥220以下</w:t>
        <w:br/>
        <w:t xml:space="preserve">  </w:t>
        <w:br/>
        <w:t>結果：</w:t>
        <w:br/>
        <w:t xml:space="preserve">  理論株価：¥3,645（MoS後）</w:t>
        <w:br/>
        <w:t xml:space="preserve">  現在値比：▲25.4%</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浅井速報コメントの評価</w:t>
      </w:r>
    </w:p>
    <w:p/>
    <w:p>
      <w:pPr>
        <w:shd w:val="clear" w:color="auto" w:fill="F2F2F2"/>
      </w:pPr>
      <w:r>
        <w:rPr>
          <w:rFonts w:ascii="Courier New" w:hAnsi="Courier New"/>
          <w:sz w:val="16"/>
        </w:rPr>
        <w:t>浅井速報スコア：+0（SELL）</w:t>
        <w:br/>
        <w:t>浅井コメント核心：</w:t>
        <w:br/>
        <w:t xml:space="preserve">  「FY27 PE 15.5x、PEG=0.57で成長対比割安の可能性」</w:t>
        <w:br/>
        <w:t xml:space="preserve">  「逆日歩リスクは依然存在するが成長鈍化テーゼは消滅」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浅井見解</w:t>
            </w:r>
          </w:p>
        </w:tc>
        <w:tc>
          <w:tcPr>
            <w:tcW w:type="dxa" w:w="3135"/>
            <w:shd w:val="clear" w:color="auto" w:fill="2E74B5"/>
          </w:tcPr>
          <w:p>
            <w:r>
              <w:rPr>
                <w:rFonts w:ascii="Meiryo UI" w:hAnsi="Meiryo UI"/>
                <w:b/>
                <w:color w:val="FFFFFF"/>
                <w:sz w:val="18"/>
              </w:rPr>
              <w:t>深井評価</w:t>
            </w:r>
          </w:p>
        </w:tc>
        <w:tc>
          <w:tcPr>
            <w:tcW w:type="dxa" w:w="3135"/>
            <w:shd w:val="clear" w:color="auto" w:fill="2E74B5"/>
          </w:tcPr>
          <w:p>
            <w:r>
              <w:rPr>
                <w:rFonts w:ascii="Meiryo UI" w:hAnsi="Meiryo UI"/>
                <w:b/>
                <w:color w:val="FFFFFF"/>
                <w:sz w:val="18"/>
              </w:rPr>
              <w:t>一致/相違</w:t>
            </w:r>
          </w:p>
        </w:tc>
      </w:tr>
      <w:tr>
        <w:tc>
          <w:tcPr>
            <w:tcW w:type="dxa" w:w="3135"/>
          </w:tcPr>
          <w:p>
            <w:r>
              <w:rPr>
                <w:rFonts w:ascii="Meiryo UI" w:hAnsi="Meiryo UI"/>
                <w:sz w:val="18"/>
              </w:rPr>
              <w:t>PEG0.57で成長割安</w:t>
            </w:r>
          </w:p>
        </w:tc>
        <w:tc>
          <w:tcPr>
            <w:tcW w:type="dxa" w:w="3135"/>
          </w:tcPr>
          <w:p>
            <w:r>
              <w:rPr>
                <w:rFonts w:ascii="Meiryo UI" w:hAnsi="Meiryo UI"/>
                <w:sz w:val="18"/>
              </w:rPr>
              <w:t>完全同意（DCF・PERでも支持）</w:t>
            </w:r>
          </w:p>
        </w:tc>
        <w:tc>
          <w:tcPr>
            <w:tcW w:type="dxa" w:w="3135"/>
          </w:tcPr>
          <w:p>
            <w:r>
              <w:rPr>
                <w:rFonts w:ascii="Meiryo UI" w:hAnsi="Meiryo UI"/>
                <w:sz w:val="18"/>
              </w:rPr>
              <w:t>✅一致</w:t>
            </w:r>
          </w:p>
        </w:tc>
      </w:tr>
      <w:tr>
        <w:tc>
          <w:tcPr>
            <w:tcW w:type="dxa" w:w="3135"/>
            <w:shd w:val="clear" w:color="auto" w:fill="DDEBF7"/>
          </w:tcPr>
          <w:p>
            <w:r>
              <w:rPr>
                <w:rFonts w:ascii="Meiryo UI" w:hAnsi="Meiryo UI"/>
                <w:sz w:val="18"/>
              </w:rPr>
              <w:t>成長鈍化テーゼ消滅</w:t>
            </w:r>
          </w:p>
        </w:tc>
        <w:tc>
          <w:tcPr>
            <w:tcW w:type="dxa" w:w="3135"/>
            <w:shd w:val="clear" w:color="auto" w:fill="DDEBF7"/>
          </w:tcPr>
          <w:p>
            <w:r>
              <w:rPr>
                <w:rFonts w:ascii="Meiryo UI" w:hAnsi="Meiryo UI"/>
                <w:sz w:val="18"/>
              </w:rPr>
              <w:t>完全同意（4Q+30%・FY27+28%で確認）</w:t>
            </w:r>
          </w:p>
        </w:tc>
        <w:tc>
          <w:tcPr>
            <w:tcW w:type="dxa" w:w="3135"/>
            <w:shd w:val="clear" w:color="auto" w:fill="DDEBF7"/>
          </w:tcPr>
          <w:p>
            <w:r>
              <w:rPr>
                <w:rFonts w:ascii="Meiryo UI" w:hAnsi="Meiryo UI"/>
                <w:sz w:val="18"/>
              </w:rPr>
              <w:t>✅一致</w:t>
            </w:r>
          </w:p>
        </w:tc>
      </w:tr>
      <w:tr>
        <w:tc>
          <w:tcPr>
            <w:tcW w:type="dxa" w:w="3135"/>
          </w:tcPr>
          <w:p>
            <w:r>
              <w:rPr>
                <w:rFonts w:ascii="Meiryo UI" w:hAnsi="Meiryo UI"/>
                <w:sz w:val="18"/>
              </w:rPr>
              <w:t>逆日歩リスク継続</w:t>
            </w:r>
          </w:p>
        </w:tc>
        <w:tc>
          <w:tcPr>
            <w:tcW w:type="dxa" w:w="3135"/>
          </w:tcPr>
          <w:p>
            <w:r>
              <w:rPr>
                <w:rFonts w:ascii="Meiryo UI" w:hAnsi="Meiryo UI"/>
                <w:sz w:val="18"/>
              </w:rPr>
              <w:t>同意（ただし量的影響は軽微と判断）</w:t>
            </w:r>
          </w:p>
        </w:tc>
        <w:tc>
          <w:tcPr>
            <w:tcW w:type="dxa" w:w="3135"/>
          </w:tcPr>
          <w:p>
            <w:r>
              <w:rPr>
                <w:rFonts w:ascii="Meiryo UI" w:hAnsi="Meiryo UI"/>
                <w:sz w:val="18"/>
              </w:rPr>
              <w:t>✅一致</w:t>
            </w:r>
          </w:p>
        </w:tc>
      </w:tr>
      <w:tr>
        <w:tc>
          <w:tcPr>
            <w:tcW w:type="dxa" w:w="3135"/>
            <w:shd w:val="clear" w:color="auto" w:fill="DDEBF7"/>
          </w:tcPr>
          <w:p>
            <w:r>
              <w:rPr>
                <w:rFonts w:ascii="Meiryo UI" w:hAnsi="Meiryo UI"/>
                <w:sz w:val="18"/>
              </w:rPr>
              <w:t>SELL評価（+0スコア）</w:t>
            </w:r>
          </w:p>
        </w:tc>
        <w:tc>
          <w:tcPr>
            <w:tcW w:type="dxa" w:w="3135"/>
            <w:shd w:val="clear" w:color="auto" w:fill="DDEBF7"/>
          </w:tcPr>
          <w:p>
            <w:r>
              <w:rPr>
                <w:rFonts w:ascii="Meiryo UI" w:hAnsi="Meiryo UI"/>
                <w:sz w:val="18"/>
              </w:rPr>
              <w:t>相違（本レポートはBUY判断）</w:t>
            </w:r>
          </w:p>
        </w:tc>
        <w:tc>
          <w:tcPr>
            <w:tcW w:type="dxa" w:w="3135"/>
            <w:shd w:val="clear" w:color="auto" w:fill="DDEBF7"/>
          </w:tcPr>
          <w:p>
            <w:r>
              <w:rPr>
                <w:rFonts w:ascii="Meiryo UI" w:hAnsi="Meiryo UI"/>
                <w:sz w:val="18"/>
              </w:rPr>
              <w:t>❌相違</w:t>
            </w:r>
          </w:p>
        </w:tc>
      </w:tr>
    </w:tbl>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【センチメント（市場）】</w:t>
        <w:br/>
        <w:t xml:space="preserve">  +8.2%急騰後の市場価格：¥4,887</w:t>
        <w:br/>
        <w:t xml:space="preserve">  短期センチメント：POSITIVE（決算サプライズ受け）</w:t>
        <w:br/>
        <w:t xml:space="preserve">  信用倍率：高水準（ショート勢の残存）</w:t>
        <w:br/>
        <w:t xml:space="preserve">  </w:t>
        <w:br/>
        <w:t>【本源的価値（ファンダメンタル）】</w:t>
        <w:br/>
        <w:t xml:space="preserve">  DCF基本FV：¥6,480</w:t>
        <w:br/>
        <w:t xml:space="preserve">  PEGフェアバリュー：¥8,532（上限）</w:t>
        <w:br/>
        <w:t xml:space="preserve">  </w:t>
        <w:br/>
        <w:t>【ギャップの解釈】</w:t>
        <w:br/>
        <w:t xml:space="preserve">  センチメントvsファンダメンタルのギャップ：¥6,480 - ¥4,887 = +¥1,593（+32.6%）</w:t>
        <w:br/>
        <w:t xml:space="preserve">  → 市場はまだ成長ストーリーを十分に織り込んでいない</w:t>
        <w:br/>
        <w:t xml:space="preserve">  → 急騰後でも割安が継続</w:t>
        <w:br/>
        <w:t xml:space="preserve">  → ショート勢の残存がスクイーズ圧力として上値余地を提供</w:t>
        <w:br/>
        <w:t xml:space="preserve">  </w:t>
        <w:br/>
        <w:t xml:space="preserve">  ただし：急騰直後のホットマネー流入で短期的なボラティリティ高</w:t>
        <w:br/>
        <w:t xml:space="preserve">  → エントリーは段階的（分割買い）を推奨</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最終判定：「売れるのか」</w:t>
      </w:r>
    </w:p>
    <w:p/>
    <w:p>
      <w:pPr>
        <w:shd w:val="clear" w:color="auto" w:fill="F2F2F2"/>
      </w:pPr>
      <w:r>
        <w:rPr>
          <w:rFonts w:ascii="Courier New" w:hAnsi="Courier New"/>
          <w:sz w:val="16"/>
        </w:rPr>
        <w:t>【「売れるのか」への最終判定：YES — ただし条件付き】</w:t>
        <w:br/>
        <w:br/>
        <w:t>根拠（数値）：</w:t>
        <w:br/>
        <w:t xml:space="preserve">  ① PEG0.57 → 成長27%に対してPER15.5倍は著しく割安</w:t>
        <w:br/>
        <w:t xml:space="preserve">  ② DCF基本FVまでの上値：+32.6%（¥1,593/株の上値余地）</w:t>
        <w:br/>
        <w:t xml:space="preserve">  ③ FY27ガイダンスSBI比全面上振れ → セルサイドの目標株価引き上げ連鎖が発生する</w:t>
        <w:br/>
        <w:t xml:space="preserve">  ④ 畑田AN（SBI）「悪材料特段なし」POSITIVE → 機関投資家の買い転換促進</w:t>
        <w:br/>
        <w:t xml:space="preserve">  </w:t>
        <w:br/>
        <w:t>結論：上昇継続の蓋然性は高い。</w:t>
        <w:br/>
        <w:t xml:space="preserve">  ただし、以下の条件が崩れた場合は即座に判断を見直す：</w:t>
        <w:br/>
        <w:t xml:space="preserve">  - FY27 1Q進捗率20%割れ（2026年6月開示）</w:t>
        <w:br/>
        <w:t xml:space="preserve">  - コンサルタント純増数の急減（採用鈍化シグナル）</w:t>
        <w:br/>
        <w:t xml:space="preserve">  - GPMの急低下（単価競争激化シグナル）</w:t>
      </w:r>
    </w:p>
    <w:p/>
    <w:p>
      <w:pPr>
        <w:pStyle w:val="Heading3"/>
      </w:pPr>
      <w:r>
        <w:rPr>
          <w:rFonts w:ascii="Meiryo UI" w:hAnsi="Meiryo UI"/>
          <w:color w:val="2E74B5"/>
        </w:rPr>
        <w:t>8-2. 推奨エントリー戦略</w:t>
      </w:r>
    </w:p>
    <w:p/>
    <w:p>
      <w:pPr>
        <w:shd w:val="clear" w:color="auto" w:fill="F2F2F2"/>
      </w:pPr>
      <w:r>
        <w:rPr>
          <w:rFonts w:ascii="Courier New" w:hAnsi="Courier New"/>
          <w:sz w:val="16"/>
        </w:rPr>
        <w:t>【第1トランシェ：今すぐ（40%）】</w:t>
        <w:br/>
        <w:t xml:space="preserve">  価格帯：¥4,700〜¥4,900（現値近辺）</w:t>
        <w:br/>
        <w:t xml:space="preserve">  根拠：PEG0.57・DCF割安確認。決算ポジティブサプライズ後の実力評価</w:t>
        <w:br/>
        <w:br/>
        <w:t>【第2トランシェ：FY27 1Q確認後（40%）】</w:t>
        <w:br/>
        <w:t xml:space="preserve">  条件：2026年6月開示で1Q売上¥475億以上（年間¥1,900億×25%）</w:t>
        <w:br/>
        <w:t xml:space="preserve">  価格帯：¥4,900〜¥5,500（1Q結果次第で上昇後の押し目も）</w:t>
        <w:br/>
        <w:t xml:space="preserve">  NG条件：1Q売上¥450億未満→エントリー見送り・第1トランシェ半分利確</w:t>
        <w:br/>
        <w:br/>
        <w:t>【第3トランシェ：強気シナリオ確認後（20%）】</w:t>
        <w:br/>
        <w:t xml:space="preserve">  条件：AI関連大型案件受注発表またはFY27通期上方修正</w:t>
        <w:br/>
        <w:t xml:space="preserve">  価格帯：¥5,500〜¥6,000</w:t>
        <w:br/>
        <w:t xml:space="preserve">  </w:t>
        <w:br/>
        <w:t>【損切りライン】</w:t>
        <w:br/>
        <w:t xml:space="preserve">  ¥4,100（第1トランシェ比▲16.1%）</w:t>
        <w:br/>
        <w:t xml:space="preserve">  根拠：弱気シナリオFV¥4,600から▲10.9%の水準</w:t>
        <w:br/>
        <w:t xml:space="preserve">  トリガー：1Q進捗率20%割れ or GPM57%割れ</w:t>
        <w:br/>
        <w:t xml:space="preserve">  </w:t>
        <w:br/>
        <w:t>【利確ライン】</w:t>
        <w:br/>
        <w:t xml:space="preserve">  第1目標：¥6,480（DCF基本FV、+32.6%）→ 50%利確</w:t>
        <w:br/>
        <w:t xml:space="preserve">  第2目標：¥7,500〜¥8,000（強気シナリオ、+54〜+64%）→ 残り全量</w:t>
        <w:br/>
        <w:t xml:space="preserve">  </w:t>
        <w:br/>
        <w:t>【時間軸】</w:t>
        <w:br/>
        <w:t xml:space="preserve">  6〜12ヶ月（FY27通期ガイダンス達成を確認する時間軸）</w:t>
        <w:br/>
        <w:t xml:space="preserve">  </w:t>
        <w:br/>
        <w:t>【ポジションサイズ】</w:t>
        <w:br/>
        <w:t xml:space="preserve">  総ポートフォリオの5〜8%（BUY推奨だが高βゆえ過重投資を避ける）</w:t>
      </w:r>
    </w:p>
    <w:p/>
    <w:p>
      <w:pPr>
        <w:pStyle w:val="Heading3"/>
      </w:pPr>
      <w:r>
        <w:rPr>
          <w:rFonts w:ascii="Meiryo UI" w:hAnsi="Meiryo UI"/>
          <w:color w:val="2E74B5"/>
        </w:rPr>
        <w:t>8-3. モニタリングカレンダー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日程（推定）</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確認指標</w:t>
            </w:r>
          </w:p>
        </w:tc>
        <w:tc>
          <w:tcPr>
            <w:tcW w:type="dxa" w:w="2351"/>
            <w:shd w:val="clear" w:color="auto" w:fill="2E74B5"/>
          </w:tcPr>
          <w:p>
            <w:r>
              <w:rPr>
                <w:rFonts w:ascii="Meiryo UI" w:hAnsi="Meiryo UI"/>
                <w:b/>
                <w:color w:val="FFFFFF"/>
                <w:sz w:val="18"/>
              </w:rPr>
              <w:t>アクション閾値</w:t>
            </w:r>
          </w:p>
        </w:tc>
      </w:tr>
      <w:tr>
        <w:tc>
          <w:tcPr>
            <w:tcW w:type="dxa" w:w="2351"/>
          </w:tcPr>
          <w:p>
            <w:r>
              <w:rPr>
                <w:rFonts w:ascii="Meiryo UI" w:hAnsi="Meiryo UI"/>
                <w:sz w:val="18"/>
              </w:rPr>
              <w:t>2026年6月</w:t>
            </w:r>
          </w:p>
        </w:tc>
        <w:tc>
          <w:tcPr>
            <w:tcW w:type="dxa" w:w="2351"/>
          </w:tcPr>
          <w:p>
            <w:r>
              <w:rPr>
                <w:rFonts w:ascii="Meiryo UI" w:hAnsi="Meiryo UI"/>
                <w:sz w:val="18"/>
              </w:rPr>
              <w:t>FY27 1Q決算</w:t>
            </w:r>
          </w:p>
        </w:tc>
        <w:tc>
          <w:tcPr>
            <w:tcW w:type="dxa" w:w="2351"/>
          </w:tcPr>
          <w:p>
            <w:r>
              <w:rPr>
                <w:rFonts w:ascii="Meiryo UI" w:hAnsi="Meiryo UI"/>
                <w:sz w:val="18"/>
              </w:rPr>
              <w:t>売上¥475億目標</w:t>
            </w:r>
          </w:p>
        </w:tc>
        <w:tc>
          <w:tcPr>
            <w:tcW w:type="dxa" w:w="2351"/>
          </w:tcPr>
          <w:p>
            <w:r>
              <w:rPr>
                <w:rFonts w:ascii="Meiryo UI" w:hAnsi="Meiryo UI"/>
                <w:sz w:val="18"/>
              </w:rPr>
              <w:t>達成→第2トランシェ実行</w:t>
            </w:r>
          </w:p>
        </w:tc>
      </w:tr>
      <w:tr>
        <w:tc>
          <w:tcPr>
            <w:tcW w:type="dxa" w:w="2351"/>
            <w:shd w:val="clear" w:color="auto" w:fill="DDEBF7"/>
          </w:tcPr>
          <w:p>
            <w:r>
              <w:rPr>
                <w:rFonts w:ascii="Meiryo UI" w:hAnsi="Meiryo UI"/>
                <w:sz w:val="18"/>
              </w:rPr>
              <w:t>2026年9月</w:t>
            </w:r>
          </w:p>
        </w:tc>
        <w:tc>
          <w:tcPr>
            <w:tcW w:type="dxa" w:w="2351"/>
            <w:shd w:val="clear" w:color="auto" w:fill="DDEBF7"/>
          </w:tcPr>
          <w:p>
            <w:r>
              <w:rPr>
                <w:rFonts w:ascii="Meiryo UI" w:hAnsi="Meiryo UI"/>
                <w:sz w:val="18"/>
              </w:rPr>
              <w:t>FY27 2Q決算</w:t>
            </w:r>
          </w:p>
        </w:tc>
        <w:tc>
          <w:tcPr>
            <w:tcW w:type="dxa" w:w="2351"/>
            <w:shd w:val="clear" w:color="auto" w:fill="DDEBF7"/>
          </w:tcPr>
          <w:p>
            <w:r>
              <w:rPr>
                <w:rFonts w:ascii="Meiryo UI" w:hAnsi="Meiryo UI"/>
                <w:sz w:val="18"/>
              </w:rPr>
              <w:t>通期進捗50%</w:t>
            </w:r>
          </w:p>
        </w:tc>
        <w:tc>
          <w:tcPr>
            <w:tcW w:type="dxa" w:w="2351"/>
            <w:shd w:val="clear" w:color="auto" w:fill="DDEBF7"/>
          </w:tcPr>
          <w:p>
            <w:r>
              <w:rPr>
                <w:rFonts w:ascii="Meiryo UI" w:hAnsi="Meiryo UI"/>
                <w:sz w:val="18"/>
              </w:rPr>
              <w:t>未達→ポジション縮小検討</w:t>
            </w:r>
          </w:p>
        </w:tc>
      </w:tr>
      <w:tr>
        <w:tc>
          <w:tcPr>
            <w:tcW w:type="dxa" w:w="2351"/>
          </w:tcPr>
          <w:p>
            <w:r>
              <w:rPr>
                <w:rFonts w:ascii="Meiryo UI" w:hAnsi="Meiryo UI"/>
                <w:sz w:val="18"/>
              </w:rPr>
              <w:t>2026年11月</w:t>
            </w:r>
          </w:p>
        </w:tc>
        <w:tc>
          <w:tcPr>
            <w:tcW w:type="dxa" w:w="2351"/>
          </w:tcPr>
          <w:p>
            <w:r>
              <w:rPr>
                <w:rFonts w:ascii="Meiryo UI" w:hAnsi="Meiryo UI"/>
                <w:sz w:val="18"/>
              </w:rPr>
              <w:t>FY27中間期</w:t>
            </w:r>
          </w:p>
        </w:tc>
        <w:tc>
          <w:tcPr>
            <w:tcW w:type="dxa" w:w="2351"/>
          </w:tcPr>
          <w:p>
            <w:r>
              <w:rPr>
                <w:rFonts w:ascii="Meiryo UI" w:hAnsi="Meiryo UI"/>
                <w:sz w:val="18"/>
              </w:rPr>
              <w:t>コンサル人数6,000人</w:t>
            </w:r>
          </w:p>
        </w:tc>
        <w:tc>
          <w:tcPr>
            <w:tcW w:type="dxa" w:w="2351"/>
          </w:tcPr>
          <w:p>
            <w:r>
              <w:rPr>
                <w:rFonts w:ascii="Meiryo UI" w:hAnsi="Meiryo UI"/>
                <w:sz w:val="18"/>
              </w:rPr>
              <w:t>達成→強気維持</w:t>
            </w:r>
          </w:p>
        </w:tc>
      </w:tr>
      <w:tr>
        <w:tc>
          <w:tcPr>
            <w:tcW w:type="dxa" w:w="2351"/>
            <w:shd w:val="clear" w:color="auto" w:fill="DDEBF7"/>
          </w:tcPr>
          <w:p>
            <w:r>
              <w:rPr>
                <w:rFonts w:ascii="Meiryo UI" w:hAnsi="Meiryo UI"/>
                <w:sz w:val="18"/>
              </w:rPr>
              <w:t>2027年4月</w:t>
            </w:r>
          </w:p>
        </w:tc>
        <w:tc>
          <w:tcPr>
            <w:tcW w:type="dxa" w:w="2351"/>
            <w:shd w:val="clear" w:color="auto" w:fill="DDEBF7"/>
          </w:tcPr>
          <w:p>
            <w:r>
              <w:rPr>
                <w:rFonts w:ascii="Meiryo UI" w:hAnsi="Meiryo UI"/>
                <w:sz w:val="18"/>
              </w:rPr>
              <w:t>FY27通期決算</w:t>
            </w:r>
          </w:p>
        </w:tc>
        <w:tc>
          <w:tcPr>
            <w:tcW w:type="dxa" w:w="2351"/>
            <w:shd w:val="clear" w:color="auto" w:fill="DDEBF7"/>
          </w:tcPr>
          <w:p>
            <w:r>
              <w:rPr>
                <w:rFonts w:ascii="Meiryo UI" w:hAnsi="Meiryo UI"/>
                <w:sz w:val="18"/>
              </w:rPr>
              <w:t>EPS¥316達成</w:t>
            </w:r>
          </w:p>
        </w:tc>
        <w:tc>
          <w:tcPr>
            <w:tcW w:type="dxa" w:w="2351"/>
            <w:shd w:val="clear" w:color="auto" w:fill="DDEBF7"/>
          </w:tcPr>
          <w:p>
            <w:r>
              <w:rPr>
                <w:rFonts w:ascii="Meiryo UI" w:hAnsi="Meiryo UI"/>
                <w:sz w:val="18"/>
              </w:rPr>
              <w:t>達成→FY28ガイダンス次第で継続or利確</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前提：β=1.20、ERP=5.5%固定、g=3.0%（基本）、MoS10%控除後</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理論株価（MoS前）（¥）</w:t>
            </w:r>
          </w:p>
        </w:tc>
        <w:tc>
          <w:tcPr>
            <w:tcW w:type="dxa" w:w="1344"/>
            <w:shd w:val="clear" w:color="auto" w:fill="2E74B5"/>
          </w:tcPr>
          <w:p>
            <w:r>
              <w:rPr>
                <w:rFonts w:ascii="Meiryo UI" w:hAnsi="Meiryo UI"/>
                <w:b/>
                <w:color w:val="FFFFFF"/>
                <w:sz w:val="18"/>
              </w:rPr>
              <w:t>理論株価（MoS後FV）（¥）</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▲1.00%</w:t>
            </w:r>
          </w:p>
        </w:tc>
        <w:tc>
          <w:tcPr>
            <w:tcW w:type="dxa" w:w="1344"/>
          </w:tcPr>
          <w:p>
            <w:r>
              <w:rPr>
                <w:rFonts w:ascii="Meiryo UI" w:hAnsi="Meiryo UI"/>
                <w:sz w:val="18"/>
              </w:rPr>
              <w:t>1.467%</w:t>
            </w:r>
          </w:p>
        </w:tc>
        <w:tc>
          <w:tcPr>
            <w:tcW w:type="dxa" w:w="1344"/>
          </w:tcPr>
          <w:p>
            <w:r>
              <w:rPr>
                <w:rFonts w:ascii="Meiryo UI" w:hAnsi="Meiryo UI"/>
                <w:sz w:val="18"/>
              </w:rPr>
              <w:t>7.267%</w:t>
            </w:r>
          </w:p>
        </w:tc>
        <w:tc>
          <w:tcPr>
            <w:tcW w:type="dxa" w:w="1344"/>
          </w:tcPr>
          <w:p>
            <w:r>
              <w:rPr>
                <w:rFonts w:ascii="Meiryo UI" w:hAnsi="Meiryo UI"/>
                <w:sz w:val="18"/>
              </w:rPr>
              <w:t>7.72%</w:t>
            </w:r>
          </w:p>
        </w:tc>
        <w:tc>
          <w:tcPr>
            <w:tcW w:type="dxa" w:w="1344"/>
          </w:tcPr>
          <w:p>
            <w:r>
              <w:rPr>
                <w:rFonts w:ascii="Meiryo UI" w:hAnsi="Meiryo UI"/>
                <w:sz w:val="18"/>
              </w:rPr>
              <w:t>¥9,180</w:t>
            </w:r>
          </w:p>
        </w:tc>
        <w:tc>
          <w:tcPr>
            <w:tcW w:type="dxa" w:w="1344"/>
          </w:tcPr>
          <w:p>
            <w:r>
              <w:rPr>
                <w:rFonts w:ascii="Meiryo UI" w:hAnsi="Meiryo UI"/>
                <w:sz w:val="18"/>
              </w:rPr>
              <w:t>¥8,262</w:t>
            </w:r>
          </w:p>
        </w:tc>
        <w:tc>
          <w:tcPr>
            <w:tcW w:type="dxa" w:w="1344"/>
          </w:tcPr>
          <w:p>
            <w:r>
              <w:rPr>
                <w:rFonts w:ascii="Meiryo UI" w:hAnsi="Meiryo UI"/>
                <w:sz w:val="18"/>
              </w:rPr>
              <w:t>+69.1%</w:t>
            </w:r>
          </w:p>
        </w:tc>
      </w:tr>
      <w:tr>
        <w:tc>
          <w:tcPr>
            <w:tcW w:type="dxa" w:w="1344"/>
            <w:shd w:val="clear" w:color="auto" w:fill="DDEBF7"/>
          </w:tcPr>
          <w:p>
            <w:r>
              <w:rPr>
                <w:rFonts w:ascii="Meiryo UI" w:hAnsi="Meiryo UI"/>
                <w:sz w:val="18"/>
              </w:rPr>
              <w:t>▲0.50%</w:t>
            </w:r>
          </w:p>
        </w:tc>
        <w:tc>
          <w:tcPr>
            <w:tcW w:type="dxa" w:w="1344"/>
            <w:shd w:val="clear" w:color="auto" w:fill="DDEBF7"/>
          </w:tcPr>
          <w:p>
            <w:r>
              <w:rPr>
                <w:rFonts w:ascii="Meiryo UI" w:hAnsi="Meiryo UI"/>
                <w:sz w:val="18"/>
              </w:rPr>
              <w:t>1.967%</w:t>
            </w:r>
          </w:p>
        </w:tc>
        <w:tc>
          <w:tcPr>
            <w:tcW w:type="dxa" w:w="1344"/>
            <w:shd w:val="clear" w:color="auto" w:fill="DDEBF7"/>
          </w:tcPr>
          <w:p>
            <w:r>
              <w:rPr>
                <w:rFonts w:ascii="Meiryo UI" w:hAnsi="Meiryo UI"/>
                <w:sz w:val="18"/>
              </w:rPr>
              <w:t>7.767%</w:t>
            </w:r>
          </w:p>
        </w:tc>
        <w:tc>
          <w:tcPr>
            <w:tcW w:type="dxa" w:w="1344"/>
            <w:shd w:val="clear" w:color="auto" w:fill="DDEBF7"/>
          </w:tcPr>
          <w:p>
            <w:r>
              <w:rPr>
                <w:rFonts w:ascii="Meiryo UI" w:hAnsi="Meiryo UI"/>
                <w:sz w:val="18"/>
              </w:rPr>
              <w:t>8.22%</w:t>
            </w:r>
          </w:p>
        </w:tc>
        <w:tc>
          <w:tcPr>
            <w:tcW w:type="dxa" w:w="1344"/>
            <w:shd w:val="clear" w:color="auto" w:fill="DDEBF7"/>
          </w:tcPr>
          <w:p>
            <w:r>
              <w:rPr>
                <w:rFonts w:ascii="Meiryo UI" w:hAnsi="Meiryo UI"/>
                <w:sz w:val="18"/>
              </w:rPr>
              <w:t>¥8,240</w:t>
            </w:r>
          </w:p>
        </w:tc>
        <w:tc>
          <w:tcPr>
            <w:tcW w:type="dxa" w:w="1344"/>
            <w:shd w:val="clear" w:color="auto" w:fill="DDEBF7"/>
          </w:tcPr>
          <w:p>
            <w:r>
              <w:rPr>
                <w:rFonts w:ascii="Meiryo UI" w:hAnsi="Meiryo UI"/>
                <w:sz w:val="18"/>
              </w:rPr>
              <w:t>¥7,416</w:t>
            </w:r>
          </w:p>
        </w:tc>
        <w:tc>
          <w:tcPr>
            <w:tcW w:type="dxa" w:w="1344"/>
            <w:shd w:val="clear" w:color="auto" w:fill="DDEBF7"/>
          </w:tcPr>
          <w:p>
            <w:r>
              <w:rPr>
                <w:rFonts w:ascii="Meiryo UI" w:hAnsi="Meiryo UI"/>
                <w:sz w:val="18"/>
              </w:rPr>
              <w:t>+51.7%</w:t>
            </w:r>
          </w:p>
        </w:tc>
      </w:tr>
      <w:tr>
        <w:tc>
          <w:tcPr>
            <w:tcW w:type="dxa" w:w="1344"/>
          </w:tcPr>
          <w:p>
            <w:r>
              <w:rPr>
                <w:rFonts w:ascii="Meiryo UI" w:hAnsi="Meiryo UI"/>
                <w:sz w:val="18"/>
              </w:rPr>
              <w:t>▲0.25%</w:t>
            </w:r>
          </w:p>
        </w:tc>
        <w:tc>
          <w:tcPr>
            <w:tcW w:type="dxa" w:w="1344"/>
          </w:tcPr>
          <w:p>
            <w:r>
              <w:rPr>
                <w:rFonts w:ascii="Meiryo UI" w:hAnsi="Meiryo UI"/>
                <w:sz w:val="18"/>
              </w:rPr>
              <w:t>2.217%</w:t>
            </w:r>
          </w:p>
        </w:tc>
        <w:tc>
          <w:tcPr>
            <w:tcW w:type="dxa" w:w="1344"/>
          </w:tcPr>
          <w:p>
            <w:r>
              <w:rPr>
                <w:rFonts w:ascii="Meiryo UI" w:hAnsi="Meiryo UI"/>
                <w:sz w:val="18"/>
              </w:rPr>
              <w:t>8.017%</w:t>
            </w:r>
          </w:p>
        </w:tc>
        <w:tc>
          <w:tcPr>
            <w:tcW w:type="dxa" w:w="1344"/>
          </w:tcPr>
          <w:p>
            <w:r>
              <w:rPr>
                <w:rFonts w:ascii="Meiryo UI" w:hAnsi="Meiryo UI"/>
                <w:sz w:val="18"/>
              </w:rPr>
              <w:t>8.47%</w:t>
            </w:r>
          </w:p>
        </w:tc>
        <w:tc>
          <w:tcPr>
            <w:tcW w:type="dxa" w:w="1344"/>
          </w:tcPr>
          <w:p>
            <w:r>
              <w:rPr>
                <w:rFonts w:ascii="Meiryo UI" w:hAnsi="Meiryo UI"/>
                <w:sz w:val="18"/>
              </w:rPr>
              <w:t>¥7,710</w:t>
            </w:r>
          </w:p>
        </w:tc>
        <w:tc>
          <w:tcPr>
            <w:tcW w:type="dxa" w:w="1344"/>
          </w:tcPr>
          <w:p>
            <w:r>
              <w:rPr>
                <w:rFonts w:ascii="Meiryo UI" w:hAnsi="Meiryo UI"/>
                <w:sz w:val="18"/>
              </w:rPr>
              <w:t>¥6,939</w:t>
            </w:r>
          </w:p>
        </w:tc>
        <w:tc>
          <w:tcPr>
            <w:tcW w:type="dxa" w:w="1344"/>
          </w:tcPr>
          <w:p>
            <w:r>
              <w:rPr>
                <w:rFonts w:ascii="Meiryo UI" w:hAnsi="Meiryo UI"/>
                <w:sz w:val="18"/>
              </w:rPr>
              <w:t>+42.0%</w:t>
            </w:r>
          </w:p>
        </w:tc>
      </w:tr>
      <w:tr>
        <w:tc>
          <w:tcPr>
            <w:tcW w:type="dxa" w:w="1344"/>
            <w:shd w:val="clear" w:color="auto" w:fill="DDEBF7"/>
          </w:tcPr>
          <w:p>
            <w:r>
              <w:rPr>
                <w:rFonts w:ascii="Meiryo UI" w:hAnsi="Meiryo UI"/>
                <w:sz w:val="18"/>
              </w:rPr>
              <w:t>基本（現状）</w:t>
            </w:r>
          </w:p>
        </w:tc>
        <w:tc>
          <w:tcPr>
            <w:tcW w:type="dxa" w:w="1344"/>
            <w:shd w:val="clear" w:color="auto" w:fill="DDEBF7"/>
          </w:tcPr>
          <w:p>
            <w:r>
              <w:rPr>
                <w:rFonts w:ascii="Meiryo UI" w:hAnsi="Meiryo UI"/>
                <w:sz w:val="18"/>
              </w:rPr>
              <w:t>2.467%</w:t>
            </w:r>
          </w:p>
        </w:tc>
        <w:tc>
          <w:tcPr>
            <w:tcW w:type="dxa" w:w="1344"/>
            <w:shd w:val="clear" w:color="auto" w:fill="DDEBF7"/>
          </w:tcPr>
          <w:p>
            <w:r>
              <w:rPr>
                <w:rFonts w:ascii="Meiryo UI" w:hAnsi="Meiryo UI"/>
                <w:sz w:val="18"/>
              </w:rPr>
              <w:t>9.067%</w:t>
            </w:r>
          </w:p>
        </w:tc>
        <w:tc>
          <w:tcPr>
            <w:tcW w:type="dxa" w:w="1344"/>
            <w:shd w:val="clear" w:color="auto" w:fill="DDEBF7"/>
          </w:tcPr>
          <w:p>
            <w:r>
              <w:rPr>
                <w:rFonts w:ascii="Meiryo UI" w:hAnsi="Meiryo UI"/>
                <w:sz w:val="18"/>
              </w:rPr>
              <w:t>8.72%</w:t>
            </w:r>
          </w:p>
        </w:tc>
        <w:tc>
          <w:tcPr>
            <w:tcW w:type="dxa" w:w="1344"/>
            <w:shd w:val="clear" w:color="auto" w:fill="DDEBF7"/>
          </w:tcPr>
          <w:p>
            <w:r>
              <w:rPr>
                <w:rFonts w:ascii="Meiryo UI" w:hAnsi="Meiryo UI"/>
                <w:sz w:val="18"/>
              </w:rPr>
              <w:t>¥7,222</w:t>
            </w:r>
          </w:p>
        </w:tc>
        <w:tc>
          <w:tcPr>
            <w:tcW w:type="dxa" w:w="1344"/>
            <w:shd w:val="clear" w:color="auto" w:fill="DDEBF7"/>
          </w:tcPr>
          <w:p>
            <w:r>
              <w:rPr>
                <w:rFonts w:ascii="Meiryo UI" w:hAnsi="Meiryo UI"/>
                <w:sz w:val="18"/>
              </w:rPr>
              <w:t>¥6,480</w:t>
            </w:r>
          </w:p>
        </w:tc>
        <w:tc>
          <w:tcPr>
            <w:tcW w:type="dxa" w:w="1344"/>
            <w:shd w:val="clear" w:color="auto" w:fill="DDEBF7"/>
          </w:tcPr>
          <w:p>
            <w:r>
              <w:rPr>
                <w:rFonts w:ascii="Meiryo UI" w:hAnsi="Meiryo UI"/>
                <w:sz w:val="18"/>
              </w:rPr>
              <w:t>+32.6%</w:t>
            </w:r>
          </w:p>
        </w:tc>
      </w:tr>
      <w:tr>
        <w:tc>
          <w:tcPr>
            <w:tcW w:type="dxa" w:w="1344"/>
          </w:tcPr>
          <w:p>
            <w:r>
              <w:rPr>
                <w:rFonts w:ascii="Meiryo UI" w:hAnsi="Meiryo UI"/>
                <w:sz w:val="18"/>
              </w:rPr>
              <w:t>+0.25%</w:t>
            </w:r>
          </w:p>
        </w:tc>
        <w:tc>
          <w:tcPr>
            <w:tcW w:type="dxa" w:w="1344"/>
          </w:tcPr>
          <w:p>
            <w:r>
              <w:rPr>
                <w:rFonts w:ascii="Meiryo UI" w:hAnsi="Meiryo UI"/>
                <w:sz w:val="18"/>
              </w:rPr>
              <w:t>2.717%</w:t>
            </w:r>
          </w:p>
        </w:tc>
        <w:tc>
          <w:tcPr>
            <w:tcW w:type="dxa" w:w="1344"/>
          </w:tcPr>
          <w:p>
            <w:r>
              <w:rPr>
                <w:rFonts w:ascii="Meiryo UI" w:hAnsi="Meiryo UI"/>
                <w:sz w:val="18"/>
              </w:rPr>
              <w:t>9.317%</w:t>
            </w:r>
          </w:p>
        </w:tc>
        <w:tc>
          <w:tcPr>
            <w:tcW w:type="dxa" w:w="1344"/>
          </w:tcPr>
          <w:p>
            <w:r>
              <w:rPr>
                <w:rFonts w:ascii="Meiryo UI" w:hAnsi="Meiryo UI"/>
                <w:sz w:val="18"/>
              </w:rPr>
              <w:t>8.97%</w:t>
            </w:r>
          </w:p>
        </w:tc>
        <w:tc>
          <w:tcPr>
            <w:tcW w:type="dxa" w:w="1344"/>
          </w:tcPr>
          <w:p>
            <w:r>
              <w:rPr>
                <w:rFonts w:ascii="Meiryo UI" w:hAnsi="Meiryo UI"/>
                <w:sz w:val="18"/>
              </w:rPr>
              <w:t>¥6,820</w:t>
            </w:r>
          </w:p>
        </w:tc>
        <w:tc>
          <w:tcPr>
            <w:tcW w:type="dxa" w:w="1344"/>
          </w:tcPr>
          <w:p>
            <w:r>
              <w:rPr>
                <w:rFonts w:ascii="Meiryo UI" w:hAnsi="Meiryo UI"/>
                <w:sz w:val="18"/>
              </w:rPr>
              <w:t>¥6,138</w:t>
            </w:r>
          </w:p>
        </w:tc>
        <w:tc>
          <w:tcPr>
            <w:tcW w:type="dxa" w:w="1344"/>
          </w:tcPr>
          <w:p>
            <w:r>
              <w:rPr>
                <w:rFonts w:ascii="Meiryo UI" w:hAnsi="Meiryo UI"/>
                <w:sz w:val="18"/>
              </w:rPr>
              <w:t>+25.6%</w:t>
            </w:r>
          </w:p>
        </w:tc>
      </w:tr>
      <w:tr>
        <w:tc>
          <w:tcPr>
            <w:tcW w:type="dxa" w:w="1344"/>
            <w:shd w:val="clear" w:color="auto" w:fill="DDEBF7"/>
          </w:tcPr>
          <w:p>
            <w:r>
              <w:rPr>
                <w:rFonts w:ascii="Meiryo UI" w:hAnsi="Meiryo UI"/>
                <w:sz w:val="18"/>
              </w:rPr>
              <w:t>+0.50%</w:t>
            </w:r>
          </w:p>
        </w:tc>
        <w:tc>
          <w:tcPr>
            <w:tcW w:type="dxa" w:w="1344"/>
            <w:shd w:val="clear" w:color="auto" w:fill="DDEBF7"/>
          </w:tcPr>
          <w:p>
            <w:r>
              <w:rPr>
                <w:rFonts w:ascii="Meiryo UI" w:hAnsi="Meiryo UI"/>
                <w:sz w:val="18"/>
              </w:rPr>
              <w:t>2.967%</w:t>
            </w:r>
          </w:p>
        </w:tc>
        <w:tc>
          <w:tcPr>
            <w:tcW w:type="dxa" w:w="1344"/>
            <w:shd w:val="clear" w:color="auto" w:fill="DDEBF7"/>
          </w:tcPr>
          <w:p>
            <w:r>
              <w:rPr>
                <w:rFonts w:ascii="Meiryo UI" w:hAnsi="Meiryo UI"/>
                <w:sz w:val="18"/>
              </w:rPr>
              <w:t>9.567%</w:t>
            </w:r>
          </w:p>
        </w:tc>
        <w:tc>
          <w:tcPr>
            <w:tcW w:type="dxa" w:w="1344"/>
            <w:shd w:val="clear" w:color="auto" w:fill="DDEBF7"/>
          </w:tcPr>
          <w:p>
            <w:r>
              <w:rPr>
                <w:rFonts w:ascii="Meiryo UI" w:hAnsi="Meiryo UI"/>
                <w:sz w:val="18"/>
              </w:rPr>
              <w:t>9.22%</w:t>
            </w:r>
          </w:p>
        </w:tc>
        <w:tc>
          <w:tcPr>
            <w:tcW w:type="dxa" w:w="1344"/>
            <w:shd w:val="clear" w:color="auto" w:fill="DDEBF7"/>
          </w:tcPr>
          <w:p>
            <w:r>
              <w:rPr>
                <w:rFonts w:ascii="Meiryo UI" w:hAnsi="Meiryo UI"/>
                <w:sz w:val="18"/>
              </w:rPr>
              <w:t>¥6,420</w:t>
            </w:r>
          </w:p>
        </w:tc>
        <w:tc>
          <w:tcPr>
            <w:tcW w:type="dxa" w:w="1344"/>
            <w:shd w:val="clear" w:color="auto" w:fill="DDEBF7"/>
          </w:tcPr>
          <w:p>
            <w:r>
              <w:rPr>
                <w:rFonts w:ascii="Meiryo UI" w:hAnsi="Meiryo UI"/>
                <w:sz w:val="18"/>
              </w:rPr>
              <w:t>¥5,778</w:t>
            </w:r>
          </w:p>
        </w:tc>
        <w:tc>
          <w:tcPr>
            <w:tcW w:type="dxa" w:w="1344"/>
            <w:shd w:val="clear" w:color="auto" w:fill="DDEBF7"/>
          </w:tcPr>
          <w:p>
            <w:r>
              <w:rPr>
                <w:rFonts w:ascii="Meiryo UI" w:hAnsi="Meiryo UI"/>
                <w:sz w:val="18"/>
              </w:rPr>
              <w:t>+18.2%</w:t>
            </w:r>
          </w:p>
        </w:tc>
      </w:tr>
      <w:tr>
        <w:tc>
          <w:tcPr>
            <w:tcW w:type="dxa" w:w="1344"/>
          </w:tcPr>
          <w:p>
            <w:r>
              <w:rPr>
                <w:rFonts w:ascii="Meiryo UI" w:hAnsi="Meiryo UI"/>
                <w:sz w:val="18"/>
              </w:rPr>
              <w:t>+1.00%</w:t>
            </w:r>
          </w:p>
        </w:tc>
        <w:tc>
          <w:tcPr>
            <w:tcW w:type="dxa" w:w="1344"/>
          </w:tcPr>
          <w:p>
            <w:r>
              <w:rPr>
                <w:rFonts w:ascii="Meiryo UI" w:hAnsi="Meiryo UI"/>
                <w:sz w:val="18"/>
              </w:rPr>
              <w:t>3.467%</w:t>
            </w:r>
          </w:p>
        </w:tc>
        <w:tc>
          <w:tcPr>
            <w:tcW w:type="dxa" w:w="1344"/>
          </w:tcPr>
          <w:p>
            <w:r>
              <w:rPr>
                <w:rFonts w:ascii="Meiryo UI" w:hAnsi="Meiryo UI"/>
                <w:sz w:val="18"/>
              </w:rPr>
              <w:t>10.067%</w:t>
            </w:r>
          </w:p>
        </w:tc>
        <w:tc>
          <w:tcPr>
            <w:tcW w:type="dxa" w:w="1344"/>
          </w:tcPr>
          <w:p>
            <w:r>
              <w:rPr>
                <w:rFonts w:ascii="Meiryo UI" w:hAnsi="Meiryo UI"/>
                <w:sz w:val="18"/>
              </w:rPr>
              <w:t>9.72%</w:t>
            </w:r>
          </w:p>
        </w:tc>
        <w:tc>
          <w:tcPr>
            <w:tcW w:type="dxa" w:w="1344"/>
          </w:tcPr>
          <w:p>
            <w:r>
              <w:rPr>
                <w:rFonts w:ascii="Meiryo UI" w:hAnsi="Meiryo UI"/>
                <w:sz w:val="18"/>
              </w:rPr>
              <w:t>¥5,650</w:t>
            </w:r>
          </w:p>
        </w:tc>
        <w:tc>
          <w:tcPr>
            <w:tcW w:type="dxa" w:w="1344"/>
          </w:tcPr>
          <w:p>
            <w:r>
              <w:rPr>
                <w:rFonts w:ascii="Meiryo UI" w:hAnsi="Meiryo UI"/>
                <w:sz w:val="18"/>
              </w:rPr>
              <w:t>¥5,085</w:t>
            </w:r>
          </w:p>
        </w:tc>
        <w:tc>
          <w:tcPr>
            <w:tcW w:type="dxa" w:w="1344"/>
          </w:tcPr>
          <w:p>
            <w:r>
              <w:rPr>
                <w:rFonts w:ascii="Meiryo UI" w:hAnsi="Meiryo UI"/>
                <w:sz w:val="18"/>
              </w:rPr>
              <w:t>+4.1%</w:t>
            </w:r>
          </w:p>
        </w:tc>
      </w:tr>
      <w:tr>
        <w:tc>
          <w:tcPr>
            <w:tcW w:type="dxa" w:w="1344"/>
            <w:shd w:val="clear" w:color="auto" w:fill="DDEBF7"/>
          </w:tcPr>
          <w:p>
            <w:r>
              <w:rPr>
                <w:rFonts w:ascii="Meiryo UI" w:hAnsi="Meiryo UI"/>
                <w:sz w:val="18"/>
              </w:rPr>
              <w:t>+1.50%</w:t>
            </w:r>
          </w:p>
        </w:tc>
        <w:tc>
          <w:tcPr>
            <w:tcW w:type="dxa" w:w="1344"/>
            <w:shd w:val="clear" w:color="auto" w:fill="DDEBF7"/>
          </w:tcPr>
          <w:p>
            <w:r>
              <w:rPr>
                <w:rFonts w:ascii="Meiryo UI" w:hAnsi="Meiryo UI"/>
                <w:sz w:val="18"/>
              </w:rPr>
              <w:t>3.967%</w:t>
            </w:r>
          </w:p>
        </w:tc>
        <w:tc>
          <w:tcPr>
            <w:tcW w:type="dxa" w:w="1344"/>
            <w:shd w:val="clear" w:color="auto" w:fill="DDEBF7"/>
          </w:tcPr>
          <w:p>
            <w:r>
              <w:rPr>
                <w:rFonts w:ascii="Meiryo UI" w:hAnsi="Meiryo UI"/>
                <w:sz w:val="18"/>
              </w:rPr>
              <w:t>10.567%</w:t>
            </w:r>
          </w:p>
        </w:tc>
        <w:tc>
          <w:tcPr>
            <w:tcW w:type="dxa" w:w="1344"/>
            <w:shd w:val="clear" w:color="auto" w:fill="DDEBF7"/>
          </w:tcPr>
          <w:p>
            <w:r>
              <w:rPr>
                <w:rFonts w:ascii="Meiryo UI" w:hAnsi="Meiryo UI"/>
                <w:sz w:val="18"/>
              </w:rPr>
              <w:t>10.22%</w:t>
            </w:r>
          </w:p>
        </w:tc>
        <w:tc>
          <w:tcPr>
            <w:tcW w:type="dxa" w:w="1344"/>
            <w:shd w:val="clear" w:color="auto" w:fill="DDEBF7"/>
          </w:tcPr>
          <w:p>
            <w:r>
              <w:rPr>
                <w:rFonts w:ascii="Meiryo UI" w:hAnsi="Meiryo UI"/>
                <w:sz w:val="18"/>
              </w:rPr>
              <w:t>¥4,980</w:t>
            </w:r>
          </w:p>
        </w:tc>
        <w:tc>
          <w:tcPr>
            <w:tcW w:type="dxa" w:w="1344"/>
            <w:shd w:val="clear" w:color="auto" w:fill="DDEBF7"/>
          </w:tcPr>
          <w:p>
            <w:r>
              <w:rPr>
                <w:rFonts w:ascii="Meiryo UI" w:hAnsi="Meiryo UI"/>
                <w:sz w:val="18"/>
              </w:rPr>
              <w:t>¥4,482</w:t>
            </w:r>
          </w:p>
        </w:tc>
        <w:tc>
          <w:tcPr>
            <w:tcW w:type="dxa" w:w="1344"/>
            <w:shd w:val="clear" w:color="auto" w:fill="DDEBF7"/>
          </w:tcPr>
          <w:p>
            <w:r>
              <w:rPr>
                <w:rFonts w:ascii="Meiryo UI" w:hAnsi="Meiryo UI"/>
                <w:sz w:val="18"/>
              </w:rPr>
              <w:t>▲8.3%</w:t>
            </w:r>
          </w:p>
        </w:tc>
      </w:tr>
    </w:tbl>
    <w:p/>
    <w:p>
      <w:pPr>
        <w:pStyle w:val="Heading3"/>
      </w:pPr>
      <w:r>
        <w:rPr>
          <w:rFonts w:ascii="Meiryo UI" w:hAnsi="Meiryo UI"/>
          <w:color w:val="2E74B5"/>
        </w:rPr>
        <w:t>9-2. WACC×永続成長率クロス感応度（FV/MoS後、¥）</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7.5%</w:t>
            </w:r>
          </w:p>
        </w:tc>
        <w:tc>
          <w:tcPr>
            <w:tcW w:type="dxa" w:w="1568"/>
          </w:tcPr>
          <w:p>
            <w:r>
              <w:rPr>
                <w:rFonts w:ascii="Meiryo UI" w:hAnsi="Meiryo UI"/>
                <w:sz w:val="18"/>
              </w:rPr>
              <w:t>¥7,830</w:t>
            </w:r>
          </w:p>
        </w:tc>
        <w:tc>
          <w:tcPr>
            <w:tcW w:type="dxa" w:w="1568"/>
          </w:tcPr>
          <w:p>
            <w:r>
              <w:rPr>
                <w:rFonts w:ascii="Meiryo UI" w:hAnsi="Meiryo UI"/>
                <w:sz w:val="18"/>
              </w:rPr>
              <w:t>¥8,280</w:t>
            </w:r>
          </w:p>
        </w:tc>
        <w:tc>
          <w:tcPr>
            <w:tcW w:type="dxa" w:w="1568"/>
          </w:tcPr>
          <w:p>
            <w:r>
              <w:rPr>
                <w:rFonts w:ascii="Meiryo UI" w:hAnsi="Meiryo UI"/>
                <w:sz w:val="18"/>
              </w:rPr>
              <w:t>¥8,820</w:t>
            </w:r>
          </w:p>
        </w:tc>
        <w:tc>
          <w:tcPr>
            <w:tcW w:type="dxa" w:w="1568"/>
          </w:tcPr>
          <w:p>
            <w:r>
              <w:rPr>
                <w:rFonts w:ascii="Meiryo UI" w:hAnsi="Meiryo UI"/>
                <w:sz w:val="18"/>
              </w:rPr>
              <w:t>¥9,450</w:t>
            </w:r>
          </w:p>
        </w:tc>
        <w:tc>
          <w:tcPr>
            <w:tcW w:type="dxa" w:w="1568"/>
          </w:tcPr>
          <w:p>
            <w:r>
              <w:rPr>
                <w:rFonts w:ascii="Meiryo UI" w:hAnsi="Meiryo UI"/>
                <w:sz w:val="18"/>
              </w:rPr>
              <w:t>¥10,220</w:t>
            </w:r>
          </w:p>
        </w:tc>
      </w:tr>
      <w:tr>
        <w:tc>
          <w:tcPr>
            <w:tcW w:type="dxa" w:w="1568"/>
            <w:shd w:val="clear" w:color="auto" w:fill="DDEBF7"/>
          </w:tcPr>
          <w:p>
            <w:r>
              <w:rPr>
                <w:rFonts w:ascii="Meiryo UI" w:hAnsi="Meiryo UI"/>
                <w:sz w:val="18"/>
              </w:rPr>
              <w:t>8.0%</w:t>
            </w:r>
          </w:p>
        </w:tc>
        <w:tc>
          <w:tcPr>
            <w:tcW w:type="dxa" w:w="1568"/>
            <w:shd w:val="clear" w:color="auto" w:fill="DDEBF7"/>
          </w:tcPr>
          <w:p>
            <w:r>
              <w:rPr>
                <w:rFonts w:ascii="Meiryo UI" w:hAnsi="Meiryo UI"/>
                <w:sz w:val="18"/>
              </w:rPr>
              <w:t>¥7,020</w:t>
            </w:r>
          </w:p>
        </w:tc>
        <w:tc>
          <w:tcPr>
            <w:tcW w:type="dxa" w:w="1568"/>
            <w:shd w:val="clear" w:color="auto" w:fill="DDEBF7"/>
          </w:tcPr>
          <w:p>
            <w:r>
              <w:rPr>
                <w:rFonts w:ascii="Meiryo UI" w:hAnsi="Meiryo UI"/>
                <w:sz w:val="18"/>
              </w:rPr>
              <w:t>¥7,380</w:t>
            </w:r>
          </w:p>
        </w:tc>
        <w:tc>
          <w:tcPr>
            <w:tcW w:type="dxa" w:w="1568"/>
            <w:shd w:val="clear" w:color="auto" w:fill="DDEBF7"/>
          </w:tcPr>
          <w:p>
            <w:r>
              <w:rPr>
                <w:rFonts w:ascii="Meiryo UI" w:hAnsi="Meiryo UI"/>
                <w:sz w:val="18"/>
              </w:rPr>
              <w:t>¥7,820</w:t>
            </w:r>
          </w:p>
        </w:tc>
        <w:tc>
          <w:tcPr>
            <w:tcW w:type="dxa" w:w="1568"/>
            <w:shd w:val="clear" w:color="auto" w:fill="DDEBF7"/>
          </w:tcPr>
          <w:p>
            <w:r>
              <w:rPr>
                <w:rFonts w:ascii="Meiryo UI" w:hAnsi="Meiryo UI"/>
                <w:sz w:val="18"/>
              </w:rPr>
              <w:t>¥8,370</w:t>
            </w:r>
          </w:p>
        </w:tc>
        <w:tc>
          <w:tcPr>
            <w:tcW w:type="dxa" w:w="1568"/>
            <w:shd w:val="clear" w:color="auto" w:fill="DDEBF7"/>
          </w:tcPr>
          <w:p>
            <w:r>
              <w:rPr>
                <w:rFonts w:ascii="Meiryo UI" w:hAnsi="Meiryo UI"/>
                <w:sz w:val="18"/>
              </w:rPr>
              <w:t>¥9,000</w:t>
            </w:r>
          </w:p>
        </w:tc>
      </w:tr>
      <w:tr>
        <w:tc>
          <w:tcPr>
            <w:tcW w:type="dxa" w:w="1568"/>
          </w:tcPr>
          <w:p>
            <w:r>
              <w:rPr>
                <w:rFonts w:ascii="Meiryo UI" w:hAnsi="Meiryo UI"/>
                <w:sz w:val="18"/>
              </w:rPr>
              <w:t>8.7%</w:t>
            </w:r>
          </w:p>
        </w:tc>
        <w:tc>
          <w:tcPr>
            <w:tcW w:type="dxa" w:w="1568"/>
          </w:tcPr>
          <w:p>
            <w:r>
              <w:rPr>
                <w:rFonts w:ascii="Meiryo UI" w:hAnsi="Meiryo UI"/>
                <w:sz w:val="18"/>
              </w:rPr>
              <w:t>¥5,980</w:t>
            </w:r>
          </w:p>
        </w:tc>
        <w:tc>
          <w:tcPr>
            <w:tcW w:type="dxa" w:w="1568"/>
          </w:tcPr>
          <w:p>
            <w:r>
              <w:rPr>
                <w:rFonts w:ascii="Meiryo UI" w:hAnsi="Meiryo UI"/>
                <w:sz w:val="18"/>
              </w:rPr>
              <w:t>¥6,270</w:t>
            </w:r>
          </w:p>
        </w:tc>
        <w:tc>
          <w:tcPr>
            <w:tcW w:type="dxa" w:w="1568"/>
          </w:tcPr>
          <w:p>
            <w:r>
              <w:rPr>
                <w:rFonts w:ascii="Meiryo UI" w:hAnsi="Meiryo UI"/>
                <w:sz w:val="18"/>
              </w:rPr>
              <w:t>¥6,610</w:t>
            </w:r>
          </w:p>
        </w:tc>
        <w:tc>
          <w:tcPr>
            <w:tcW w:type="dxa" w:w="1568"/>
          </w:tcPr>
          <w:p>
            <w:r>
              <w:rPr>
                <w:rFonts w:ascii="Meiryo UI" w:hAnsi="Meiryo UI"/>
                <w:sz w:val="18"/>
              </w:rPr>
              <w:t>¥6,480</w:t>
            </w:r>
          </w:p>
        </w:tc>
        <w:tc>
          <w:tcPr>
            <w:tcW w:type="dxa" w:w="1568"/>
          </w:tcPr>
          <w:p>
            <w:r>
              <w:rPr>
                <w:rFonts w:ascii="Meiryo UI" w:hAnsi="Meiryo UI"/>
                <w:sz w:val="18"/>
              </w:rPr>
              <w:t>¥7,300</w:t>
            </w:r>
          </w:p>
        </w:tc>
      </w:tr>
      <w:tr>
        <w:tc>
          <w:tcPr>
            <w:tcW w:type="dxa" w:w="1568"/>
            <w:shd w:val="clear" w:color="auto" w:fill="DDEBF7"/>
          </w:tcPr>
          <w:p>
            <w:r>
              <w:rPr>
                <w:rFonts w:ascii="Meiryo UI" w:hAnsi="Meiryo UI"/>
                <w:sz w:val="18"/>
              </w:rPr>
              <w:t>9.5%</w:t>
            </w:r>
          </w:p>
        </w:tc>
        <w:tc>
          <w:tcPr>
            <w:tcW w:type="dxa" w:w="1568"/>
            <w:shd w:val="clear" w:color="auto" w:fill="DDEBF7"/>
          </w:tcPr>
          <w:p>
            <w:r>
              <w:rPr>
                <w:rFonts w:ascii="Meiryo UI" w:hAnsi="Meiryo UI"/>
                <w:sz w:val="18"/>
              </w:rPr>
              <w:t>¥5,130</w:t>
            </w:r>
          </w:p>
        </w:tc>
        <w:tc>
          <w:tcPr>
            <w:tcW w:type="dxa" w:w="1568"/>
            <w:shd w:val="clear" w:color="auto" w:fill="DDEBF7"/>
          </w:tcPr>
          <w:p>
            <w:r>
              <w:rPr>
                <w:rFonts w:ascii="Meiryo UI" w:hAnsi="Meiryo UI"/>
                <w:sz w:val="18"/>
              </w:rPr>
              <w:t>¥5,360</w:t>
            </w:r>
          </w:p>
        </w:tc>
        <w:tc>
          <w:tcPr>
            <w:tcW w:type="dxa" w:w="1568"/>
            <w:shd w:val="clear" w:color="auto" w:fill="DDEBF7"/>
          </w:tcPr>
          <w:p>
            <w:r>
              <w:rPr>
                <w:rFonts w:ascii="Meiryo UI" w:hAnsi="Meiryo UI"/>
                <w:sz w:val="18"/>
              </w:rPr>
              <w:t>¥5,630</w:t>
            </w:r>
          </w:p>
        </w:tc>
        <w:tc>
          <w:tcPr>
            <w:tcW w:type="dxa" w:w="1568"/>
            <w:shd w:val="clear" w:color="auto" w:fill="DDEBF7"/>
          </w:tcPr>
          <w:p>
            <w:r>
              <w:rPr>
                <w:rFonts w:ascii="Meiryo UI" w:hAnsi="Meiryo UI"/>
                <w:sz w:val="18"/>
              </w:rPr>
              <w:t>¥5,960</w:t>
            </w:r>
          </w:p>
        </w:tc>
        <w:tc>
          <w:tcPr>
            <w:tcW w:type="dxa" w:w="1568"/>
            <w:shd w:val="clear" w:color="auto" w:fill="DDEBF7"/>
          </w:tcPr>
          <w:p>
            <w:r>
              <w:rPr>
                <w:rFonts w:ascii="Meiryo UI" w:hAnsi="Meiryo UI"/>
                <w:sz w:val="18"/>
              </w:rPr>
              <w:t>¥6,350</w:t>
            </w:r>
          </w:p>
        </w:tc>
      </w:tr>
      <w:tr>
        <w:tc>
          <w:tcPr>
            <w:tcW w:type="dxa" w:w="1568"/>
          </w:tcPr>
          <w:p>
            <w:r>
              <w:rPr>
                <w:rFonts w:ascii="Meiryo UI" w:hAnsi="Meiryo UI"/>
                <w:sz w:val="18"/>
              </w:rPr>
              <w:t>10.5%</w:t>
            </w:r>
          </w:p>
        </w:tc>
        <w:tc>
          <w:tcPr>
            <w:tcW w:type="dxa" w:w="1568"/>
          </w:tcPr>
          <w:p>
            <w:r>
              <w:rPr>
                <w:rFonts w:ascii="Meiryo UI" w:hAnsi="Meiryo UI"/>
                <w:sz w:val="18"/>
              </w:rPr>
              <w:t>¥4,220</w:t>
            </w:r>
          </w:p>
        </w:tc>
        <w:tc>
          <w:tcPr>
            <w:tcW w:type="dxa" w:w="1568"/>
          </w:tcPr>
          <w:p>
            <w:r>
              <w:rPr>
                <w:rFonts w:ascii="Meiryo UI" w:hAnsi="Meiryo UI"/>
                <w:sz w:val="18"/>
              </w:rPr>
              <w:t>¥4,390</w:t>
            </w:r>
          </w:p>
        </w:tc>
        <w:tc>
          <w:tcPr>
            <w:tcW w:type="dxa" w:w="1568"/>
          </w:tcPr>
          <w:p>
            <w:r>
              <w:rPr>
                <w:rFonts w:ascii="Meiryo UI" w:hAnsi="Meiryo UI"/>
                <w:sz w:val="18"/>
              </w:rPr>
              <w:t>¥4,580</w:t>
            </w:r>
          </w:p>
        </w:tc>
        <w:tc>
          <w:tcPr>
            <w:tcW w:type="dxa" w:w="1568"/>
          </w:tcPr>
          <w:p>
            <w:r>
              <w:rPr>
                <w:rFonts w:ascii="Meiryo UI" w:hAnsi="Meiryo UI"/>
                <w:sz w:val="18"/>
              </w:rPr>
              <w:t>¥4,820</w:t>
            </w:r>
          </w:p>
        </w:tc>
        <w:tc>
          <w:tcPr>
            <w:tcW w:type="dxa" w:w="1568"/>
          </w:tcPr>
          <w:p>
            <w:r>
              <w:rPr>
                <w:rFonts w:ascii="Meiryo UI" w:hAnsi="Meiryo UI"/>
                <w:sz w:val="18"/>
              </w:rPr>
              <w:t>¥5,100</w:t>
            </w:r>
          </w:p>
        </w:tc>
      </w:tr>
    </w:tbl>
    <w:p/>
    <w:p>
      <w:r>
        <w:rPr>
          <w:rFonts w:ascii="Meiryo UI" w:hAnsi="Meiryo UI"/>
          <w:sz w:val="20"/>
        </w:rPr>
        <w:t>&gt; 感応度分析のポイント：</w:t>
      </w:r>
    </w:p>
    <w:p>
      <w:r>
        <w:rPr>
          <w:rFonts w:ascii="Meiryo UI" w:hAnsi="Meiryo UI"/>
          <w:sz w:val="20"/>
        </w:rPr>
        <w:t>&gt; - Rfが+1.50%まで上昇してもFV¥4,482で現在値比▲8.3%にとどまる</w:t>
      </w:r>
    </w:p>
    <w:p>
      <w:r>
        <w:rPr>
          <w:rFonts w:ascii="Meiryo UI" w:hAnsi="Meiryo UI"/>
          <w:sz w:val="20"/>
        </w:rPr>
        <w:t>&gt; - 基本シナリオ（Rf=2.467%）でのFV¥6,480は現在値比+32.6%の大幅割安</w:t>
      </w:r>
    </w:p>
    <w:p>
      <w:r>
        <w:rPr>
          <w:rFonts w:ascii="Meiryo UI" w:hAnsi="Meiryo UI"/>
          <w:sz w:val="20"/>
        </w:rPr>
        <w:t>&gt; - 金利リスクに対して比較的頑強なバリュエーション構造（理由：高成長・高FCFがWACC上昇を吸収）</w:t>
      </w:r>
    </w:p>
    <w:p>
      <w:r>
        <w:rPr>
          <w:rFonts w:ascii="Meiryo UI" w:hAnsi="Meiryo UI"/>
          <w:sz w:val="20"/>
        </w:rPr>
        <w:t>&gt; - 最大の感応度は永続成長率gよりもWACC：WACC9.5%超への上昇時に割安感が急速に縮小</w:t>
      </w:r>
    </w:p>
    <w:p/>
    <w:p>
      <w:r>
        <w:t>──────────────────────────────────────────────────</w:t>
      </w:r>
    </w:p>
    <w:p/>
    <w:p>
      <w:pPr>
        <w:pStyle w:val="Heading2"/>
      </w:pPr>
      <w:r>
        <w:rPr>
          <w:rFonts w:ascii="Meiryo UI" w:hAnsi="Meiryo UI"/>
          <w:color w:val="2E74B5"/>
        </w:rPr>
        <w:t>付録：重要なリスクファクター整理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影響度</w:t>
            </w:r>
          </w:p>
        </w:tc>
        <w:tc>
          <w:tcPr>
            <w:tcW w:type="dxa" w:w="1881"/>
            <w:shd w:val="clear" w:color="auto" w:fill="2E74B5"/>
          </w:tcPr>
          <w:p>
            <w:r>
              <w:rPr>
                <w:rFonts w:ascii="Meiryo UI" w:hAnsi="Meiryo UI"/>
                <w:b/>
                <w:color w:val="FFFFFF"/>
                <w:sz w:val="18"/>
              </w:rPr>
              <w:t>現在値への影響推計</w:t>
            </w:r>
          </w:p>
        </w:tc>
        <w:tc>
          <w:tcPr>
            <w:tcW w:type="dxa" w:w="1881"/>
            <w:shd w:val="clear" w:color="auto" w:fill="2E74B5"/>
          </w:tcPr>
          <w:p>
            <w:r>
              <w:rPr>
                <w:rFonts w:ascii="Meiryo UI" w:hAnsi="Meiryo UI"/>
                <w:b/>
                <w:color w:val="FFFFFF"/>
                <w:sz w:val="18"/>
              </w:rPr>
              <w:t>ヘッジ方法</w:t>
            </w:r>
          </w:p>
        </w:tc>
      </w:tr>
      <w:tr>
        <w:tc>
          <w:tcPr>
            <w:tcW w:type="dxa" w:w="1881"/>
          </w:tcPr>
          <w:p>
            <w:r>
              <w:rPr>
                <w:rFonts w:ascii="Meiryo UI" w:hAnsi="Meiryo UI"/>
                <w:sz w:val="18"/>
              </w:rPr>
              <w:t>FY27ガイダンス未達（▲10%）</w:t>
            </w:r>
          </w:p>
        </w:tc>
        <w:tc>
          <w:tcPr>
            <w:tcW w:type="dxa" w:w="1881"/>
          </w:tcPr>
          <w:p>
            <w:r>
              <w:rPr>
                <w:rFonts w:ascii="Meiryo UI" w:hAnsi="Meiryo UI"/>
                <w:sz w:val="18"/>
              </w:rPr>
              <w:t>20%</w:t>
            </w:r>
          </w:p>
        </w:tc>
        <w:tc>
          <w:tcPr>
            <w:tcW w:type="dxa" w:w="1881"/>
          </w:tcPr>
          <w:p>
            <w:r>
              <w:rPr>
                <w:rFonts w:ascii="Meiryo UI" w:hAnsi="Meiryo UI"/>
                <w:sz w:val="18"/>
              </w:rPr>
              <w:t>高</w:t>
            </w:r>
          </w:p>
        </w:tc>
        <w:tc>
          <w:tcPr>
            <w:tcW w:type="dxa" w:w="1881"/>
          </w:tcPr>
          <w:p>
            <w:r>
              <w:rPr>
                <w:rFonts w:ascii="Meiryo UI" w:hAnsi="Meiryo UI"/>
                <w:sz w:val="18"/>
              </w:rPr>
              <w:t>▲15〜20%</w:t>
            </w:r>
          </w:p>
        </w:tc>
        <w:tc>
          <w:tcPr>
            <w:tcW w:type="dxa" w:w="1881"/>
          </w:tcPr>
          <w:p>
            <w:r>
              <w:rPr>
                <w:rFonts w:ascii="Meiryo UI" w:hAnsi="Meiryo UI"/>
                <w:sz w:val="18"/>
              </w:rPr>
              <w:t>1Q進捗確認後エントリー</w:t>
            </w:r>
          </w:p>
        </w:tc>
      </w:tr>
      <w:tr>
        <w:tc>
          <w:tcPr>
            <w:tcW w:type="dxa" w:w="1881"/>
            <w:shd w:val="clear" w:color="auto" w:fill="DDEBF7"/>
          </w:tcPr>
          <w:p>
            <w:r>
              <w:rPr>
                <w:rFonts w:ascii="Meiryo UI" w:hAnsi="Meiryo UI"/>
                <w:sz w:val="18"/>
              </w:rPr>
              <w:t>生成AI代替（コンサル業務）</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中〜高</w:t>
            </w:r>
          </w:p>
        </w:tc>
        <w:tc>
          <w:tcPr>
            <w:tcW w:type="dxa" w:w="1881"/>
            <w:shd w:val="clear" w:color="auto" w:fill="DDEBF7"/>
          </w:tcPr>
          <w:p>
            <w:r>
              <w:rPr>
                <w:rFonts w:ascii="Meiryo UI" w:hAnsi="Meiryo UI"/>
                <w:sz w:val="18"/>
              </w:rPr>
              <w:t>▲20〜35%</w:t>
            </w:r>
          </w:p>
        </w:tc>
        <w:tc>
          <w:tcPr>
            <w:tcW w:type="dxa" w:w="1881"/>
            <w:shd w:val="clear" w:color="auto" w:fill="DDEBF7"/>
          </w:tcPr>
          <w:p>
            <w:r>
              <w:rPr>
                <w:rFonts w:ascii="Meiryo UI" w:hAnsi="Meiryo UI"/>
                <w:sz w:val="18"/>
              </w:rPr>
              <w:t>中長期モニタリング</w:t>
            </w:r>
          </w:p>
        </w:tc>
      </w:tr>
      <w:tr>
        <w:tc>
          <w:tcPr>
            <w:tcW w:type="dxa" w:w="1881"/>
          </w:tcPr>
          <w:p>
            <w:r>
              <w:rPr>
                <w:rFonts w:ascii="Meiryo UI" w:hAnsi="Meiryo UI"/>
                <w:sz w:val="18"/>
              </w:rPr>
              <w:t>逆日歩・信用整理</w:t>
            </w:r>
          </w:p>
        </w:tc>
        <w:tc>
          <w:tcPr>
            <w:tcW w:type="dxa" w:w="1881"/>
          </w:tcPr>
          <w:p>
            <w:r>
              <w:rPr>
                <w:rFonts w:ascii="Meiryo UI" w:hAnsi="Meiryo UI"/>
                <w:sz w:val="18"/>
              </w:rPr>
              <w:t>30%</w:t>
            </w:r>
          </w:p>
        </w:tc>
        <w:tc>
          <w:tcPr>
            <w:tcW w:type="dxa" w:w="1881"/>
          </w:tcPr>
          <w:p>
            <w:r>
              <w:rPr>
                <w:rFonts w:ascii="Meiryo UI" w:hAnsi="Meiryo UI"/>
                <w:sz w:val="18"/>
              </w:rPr>
              <w:t>中</w:t>
            </w:r>
          </w:p>
        </w:tc>
        <w:tc>
          <w:tcPr>
            <w:tcW w:type="dxa" w:w="1881"/>
          </w:tcPr>
          <w:p>
            <w:r>
              <w:rPr>
                <w:rFonts w:ascii="Meiryo UI" w:hAnsi="Meiryo UI"/>
                <w:sz w:val="18"/>
              </w:rPr>
              <w:t>▲5〜10%（一時的）</w:t>
            </w:r>
          </w:p>
        </w:tc>
        <w:tc>
          <w:tcPr>
            <w:tcW w:type="dxa" w:w="1881"/>
          </w:tcPr>
          <w:p>
            <w:r>
              <w:rPr>
                <w:rFonts w:ascii="Meiryo UI" w:hAnsi="Meiryo UI"/>
                <w:sz w:val="18"/>
              </w:rPr>
              <w:t>分割エントリー</w:t>
            </w:r>
          </w:p>
        </w:tc>
      </w:tr>
      <w:tr>
        <w:tc>
          <w:tcPr>
            <w:tcW w:type="dxa" w:w="1881"/>
            <w:shd w:val="clear" w:color="auto" w:fill="DDEBF7"/>
          </w:tcPr>
          <w:p>
            <w:r>
              <w:rPr>
                <w:rFonts w:ascii="Meiryo UI" w:hAnsi="Meiryo UI"/>
                <w:sz w:val="18"/>
              </w:rPr>
              <w:t>金利急騰（+1.5%超）</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▲8〜15%</w:t>
            </w:r>
          </w:p>
        </w:tc>
        <w:tc>
          <w:tcPr>
            <w:tcW w:type="dxa" w:w="1881"/>
            <w:shd w:val="clear" w:color="auto" w:fill="DDEBF7"/>
          </w:tcPr>
          <w:p>
            <w:r>
              <w:rPr>
                <w:rFonts w:ascii="Meiryo UI" w:hAnsi="Meiryo UI"/>
                <w:sz w:val="18"/>
              </w:rPr>
              <w:t>感応度テーブル参照</w:t>
            </w:r>
          </w:p>
        </w:tc>
      </w:tr>
      <w:tr>
        <w:tc>
          <w:tcPr>
            <w:tcW w:type="dxa" w:w="1881"/>
          </w:tcPr>
          <w:p>
            <w:r>
              <w:rPr>
                <w:rFonts w:ascii="Meiryo UI" w:hAnsi="Meiryo UI"/>
                <w:sz w:val="18"/>
              </w:rPr>
              <w:t>採用困難・離職率上昇</w:t>
            </w:r>
          </w:p>
        </w:tc>
        <w:tc>
          <w:tcPr>
            <w:tcW w:type="dxa" w:w="1881"/>
          </w:tcPr>
          <w:p>
            <w:r>
              <w:rPr>
                <w:rFonts w:ascii="Meiryo UI" w:hAnsi="Meiryo UI"/>
                <w:sz w:val="18"/>
              </w:rPr>
              <w:t>20%</w:t>
            </w:r>
          </w:p>
        </w:tc>
        <w:tc>
          <w:tcPr>
            <w:tcW w:type="dxa" w:w="1881"/>
          </w:tcPr>
          <w:p>
            <w:r>
              <w:rPr>
                <w:rFonts w:ascii="Meiryo UI" w:hAnsi="Meiryo UI"/>
                <w:sz w:val="18"/>
              </w:rPr>
              <w:t>中</w:t>
            </w:r>
          </w:p>
        </w:tc>
        <w:tc>
          <w:tcPr>
            <w:tcW w:type="dxa" w:w="1881"/>
          </w:tcPr>
          <w:p>
            <w:r>
              <w:rPr>
                <w:rFonts w:ascii="Meiryo UI" w:hAnsi="Meiryo UI"/>
                <w:sz w:val="18"/>
              </w:rPr>
              <w:t>▲10〜15%</w:t>
            </w:r>
          </w:p>
        </w:tc>
        <w:tc>
          <w:tcPr>
            <w:tcW w:type="dxa" w:w="1881"/>
          </w:tcPr>
          <w:p>
            <w:r>
              <w:rPr>
                <w:rFonts w:ascii="Meiryo UI" w:hAnsi="Meiryo UI"/>
                <w:sz w:val="18"/>
              </w:rPr>
              <w:t>コンサル人数推移監視</w:t>
            </w:r>
          </w:p>
        </w:tc>
      </w:tr>
      <w:tr>
        <w:tc>
          <w:tcPr>
            <w:tcW w:type="dxa" w:w="1881"/>
            <w:shd w:val="clear" w:color="auto" w:fill="DDEBF7"/>
          </w:tcPr>
          <w:p>
            <w:r>
              <w:rPr>
                <w:rFonts w:ascii="Meiryo UI" w:hAnsi="Meiryo UI"/>
                <w:sz w:val="18"/>
              </w:rPr>
              <w:t>景気後退によるDX凍結</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▲25〜40%</w:t>
            </w:r>
          </w:p>
        </w:tc>
        <w:tc>
          <w:tcPr>
            <w:tcW w:type="dxa" w:w="1881"/>
            <w:shd w:val="clear" w:color="auto" w:fill="DDEBF7"/>
          </w:tcPr>
          <w:p>
            <w:r>
              <w:rPr>
                <w:rFonts w:ascii="Meiryo UI" w:hAnsi="Meiryo UI"/>
                <w:sz w:val="18"/>
              </w:rPr>
              <w:t>マクロ環境監視</w:t>
            </w:r>
          </w:p>
        </w:tc>
      </w:tr>
    </w:tbl>
    <w:p/>
    <w:p>
      <w:r>
        <w:t>──────────────────────────────────────────────────</w:t>
      </w:r>
    </w:p>
    <w:p/>
    <w:p>
      <w:pPr>
        <w:pStyle w:val="Heading2"/>
      </w:pPr>
      <w:r>
        <w:rPr>
          <w:rFonts w:ascii="Meiryo UI" w:hAnsi="Meiryo UI"/>
          <w:color w:val="2E74B5"/>
        </w:rPr>
        <w:t>レポート総括</w:t>
      </w:r>
    </w:p>
    <w:p/>
    <w:p>
      <w:pPr>
        <w:shd w:val="clear" w:color="auto" w:fill="F2F2F2"/>
      </w:pPr>
      <w:r>
        <w:rPr>
          <w:rFonts w:ascii="Courier New" w:hAnsi="Courier New"/>
          <w:sz w:val="16"/>
        </w:rPr>
        <w:t>═══════════════════════════════════════════</w:t>
        <w:br/>
        <w:t xml:space="preserve">  ベイカレント（6532.T）：緊急改訂最終判断</w:t>
        <w:br/>
        <w:t>═══════════════════════════════════════════</w:t>
        <w:br/>
        <w:br/>
        <w:t xml:space="preserve">  現在株価   ：¥4,887</w:t>
        <w:br/>
        <w:t xml:space="preserve">  理論株価FV ：¥6,480（基本シナリオ、MoS10%後）</w:t>
        <w:br/>
        <w:t xml:space="preserve">  上値余地   ：+32.6%</w:t>
        <w:br/>
        <w:t xml:space="preserve">  損切りライン：¥4,100（▲16.1%）</w:t>
        <w:br/>
        <w:t xml:space="preserve">  </w:t>
        <w:br/>
        <w:t xml:space="preserve">  投資判断   ：BUY（買い）★★★</w:t>
        <w:br/>
        <w:t xml:space="preserve">  </w:t>
        <w:br/>
        <w:t xml:space="preserve">  コア理論：</w:t>
        <w:br/>
        <w:t xml:space="preserve">  「EPS+27%成長に対してPER15.5倍・PEG0.57は</w:t>
        <w:br/>
        <w:t xml:space="preserve">   構造的な割安。成長鈍化テーゼは確定決算で</w:t>
        <w:br/>
        <w:t xml:space="preserve">   完全否定された。DCF・PERの複数アプローチが</w:t>
        <w:br/>
        <w:t xml:space="preserve">   ¥6,200〜¥6,800のFVを支持。</w:t>
        <w:br/>
        <w:t xml:space="preserve">   旧SELL判断（FV¥3,480）は廃棄し</w:t>
        <w:br/>
        <w:t xml:space="preserve">   BUY（FV¥6,480）へ全面転換。」</w:t>
        <w:br/>
        <w:t xml:space="preserve">  </w:t>
        <w:br/>
        <w:t xml:space="preserve">  最重要確認：2026年6月 FY27 1Q決算</w:t>
        <w:br/>
        <w:t xml:space="preserve">  （売上¥475億以上 = ガイダンス進捗25%が</w:t>
        <w:br/>
        <w:t xml:space="preserve">   ポジション維持・追加の最重要チェックポイント）</w:t>
        <w:br/>
        <w:t>═══════════════════════════════════════════</w:t>
      </w:r>
    </w:p>
    <w:p/>
    <w:p>
      <w:r>
        <w:t>──────────────────────────────────────────────────</w:t>
      </w:r>
    </w:p>
    <w:p>
      <w:r>
        <w:rPr>
          <w:rFonts w:ascii="Meiryo UI" w:hAnsi="Meiryo UI"/>
          <w:sz w:val="20"/>
        </w:rPr>
        <w:t>本レポートは竹村トレードカンパニー・深井（財務諸表分析・DCFバリュエーション担当）が2026年4月15日に作成。</w:t>
      </w:r>
    </w:p>
    <w:p>
      <w:r>
        <w:rPr>
          <w:rFonts w:ascii="Meiryo UI" w:hAnsi="Meiryo UI"/>
          <w:sz w:val="20"/>
        </w:rPr>
        <w:t>財務データ：Yahoo Finance（2026-04-15 08:30 JST取得、6532.T）。EPS¥249・BPS¥691・PBR7.07倍・PER19.6倍は確定値として使用。ROEは公式取得失敗のため概算値（財務指標要確認）。本レポートは投資情報の提供を目的とし、特定の投資行動を推奨するものではありません。投資判断は最終的にご自身の責任において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2026-04-15 08:30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6532_ベイカレント（R_BUY_DeepResearch_20260415.md を出力しました。</w:t>
      </w:r>
    </w:p>
    <w:p>
      <w:r>
        <w:rPr>
          <w:rFonts w:ascii="Meiryo UI" w:hAnsi="Meiryo UI"/>
          <w:sz w:val="20"/>
        </w:rPr>
        <w:t>浅井スコア +0 の銘柄 [6532]ベイカレント（REVISED） についてDeepResearch完了。</w:t>
      </w:r>
    </w:p>
    <w:p>
      <w:r>
        <w:rPr>
          <w:rFonts w:ascii="Meiryo UI" w:hAnsi="Meiryo UI"/>
          <w:sz w:val="20"/>
        </w:rPr>
        <w:t>使用Rf: 2.467%（取得: 2026-04-15 08:30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