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Research：6654 不二電機工業</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Research：6654 不二電機工業</w:t>
      </w:r>
    </w:p>
    <w:p>
      <w:r>
        <w:rPr>
          <w:rFonts w:ascii="Meiryo UI" w:hAnsi="Meiryo UI"/>
          <w:sz w:val="20"/>
        </w:rPr>
        <w:t>作成日：2026年4月20日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HOLD（条件付きBUY：6/3決算で自社株買い or 大幅増益ガイダンス確認後）</w:t>
            </w:r>
          </w:p>
        </w:tc>
      </w:tr>
      <w:tr>
        <w:tc>
          <w:tcPr>
            <w:tcW w:type="dxa" w:w="4703"/>
            <w:shd w:val="clear" w:color="auto" w:fill="DDEBF7"/>
          </w:tcPr>
          <w:p>
            <w:r>
              <w:rPr>
                <w:rFonts w:ascii="Meiryo UI" w:hAnsi="Meiryo UI"/>
                <w:sz w:val="18"/>
              </w:rPr>
              <w:t>FV（中央値）</w:t>
            </w:r>
          </w:p>
        </w:tc>
        <w:tc>
          <w:tcPr>
            <w:tcW w:type="dxa" w:w="4703"/>
            <w:shd w:val="clear" w:color="auto" w:fill="DDEBF7"/>
          </w:tcPr>
          <w:p>
            <w:r>
              <w:rPr>
                <w:rFonts w:ascii="Meiryo UI" w:hAnsi="Meiryo UI"/>
                <w:sz w:val="18"/>
              </w:rPr>
              <w:t>¥1,400（レンジ¥1,200〜¥1,600）</w:t>
            </w:r>
          </w:p>
        </w:tc>
      </w:tr>
      <w:tr>
        <w:tc>
          <w:tcPr>
            <w:tcW w:type="dxa" w:w="4703"/>
          </w:tcPr>
          <w:p>
            <w:r>
              <w:rPr>
                <w:rFonts w:ascii="Meiryo UI" w:hAnsi="Meiryo UI"/>
                <w:sz w:val="18"/>
              </w:rPr>
              <w:t>安全域</w:t>
            </w:r>
          </w:p>
        </w:tc>
        <w:tc>
          <w:tcPr>
            <w:tcW w:type="dxa" w:w="4703"/>
          </w:tcPr>
          <w:p>
            <w:r>
              <w:rPr>
                <w:rFonts w:ascii="Meiryo UI" w:hAnsi="Meiryo UI"/>
                <w:sz w:val="18"/>
              </w:rPr>
              <w:t>現値¥1,099 → FV中央比+27.4%。PBR0.547x（BPS¥2,009）が下値防衛</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自己資本比率93%・無借金。純資産¥126億超 vs 時価総額¥69.2億。「純現金がほぼ時価総額に相当」という異常な割安構造</w:t>
            </w:r>
          </w:p>
        </w:tc>
      </w:tr>
      <w:tr>
        <w:tc>
          <w:tcPr>
            <w:tcW w:type="dxa" w:w="4703"/>
          </w:tcPr>
          <w:p>
            <w:r>
              <w:rPr>
                <w:rFonts w:ascii="Meiryo UI" w:hAnsi="Meiryo UI"/>
                <w:sz w:val="18"/>
              </w:rPr>
              <w:t>弾丸②</w:t>
            </w:r>
          </w:p>
        </w:tc>
        <w:tc>
          <w:tcPr>
            <w:tcW w:type="dxa" w:w="4703"/>
          </w:tcPr>
          <w:p>
            <w:r>
              <w:rPr>
                <w:rFonts w:ascii="Meiryo UI" w:hAnsi="Meiryo UI"/>
                <w:sz w:val="18"/>
              </w:rPr>
              <w:t>カムスイッチ国内上位。鉄道・電力・工業の高信頼性インフラ向け70年実績。参入障壁高いニッチ</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FY2027会社予想：売上+12.5%・OP+11.3%回復。2期減収後の反転カタリスト候補（6/3確認）</w:t>
            </w:r>
          </w:p>
        </w:tc>
      </w:tr>
      <w:tr>
        <w:tc>
          <w:tcPr>
            <w:tcW w:type="dxa" w:w="4703"/>
          </w:tcPr>
          <w:p>
            <w:r>
              <w:rPr>
                <w:rFonts w:ascii="Meiryo UI" w:hAnsi="Meiryo UI"/>
                <w:sz w:val="18"/>
              </w:rPr>
              <w:t>主要リスク</w:t>
            </w:r>
          </w:p>
        </w:tc>
        <w:tc>
          <w:tcPr>
            <w:tcW w:type="dxa" w:w="4703"/>
          </w:tcPr>
          <w:p>
            <w:r>
              <w:rPr>
                <w:rFonts w:ascii="Meiryo UI" w:hAnsi="Meiryo UI"/>
                <w:sz w:val="18"/>
              </w:rPr>
              <w:t>ROE 2.2%の低収益性がPBR割安の本質的原因。カタリスト（自社株買い/アクティビスト）不在で長期放置リスク</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現値¥1,099はHOLD。6/3決算で自社株買い発表 or FY2028増益ガイダンス確認でBUYアップグレード</w:t>
            </w:r>
          </w:p>
        </w:tc>
      </w:tr>
    </w:tbl>
    <w:p/>
    <w:p>
      <w:r>
        <w:rPr>
          <w:rFonts w:ascii="Meiryo UI" w:hAnsi="Meiryo UI"/>
          <w:sz w:val="20"/>
        </w:rPr>
        <w:t>現在株価：¥1,099（2026/4/20）　時価総額：¥69.2億　PBR：0.547x　BPS：¥2,009　配当利回り：2.91%</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https://www.fujidk.co.jp/ir/</w:t>
      </w:r>
    </w:p>
    <w:p>
      <w:pPr>
        <w:pStyle w:val="ListBullet"/>
      </w:pPr>
      <w:r>
        <w:rPr>
          <w:rFonts w:ascii="Meiryo UI" w:hAnsi="Meiryo UI"/>
          <w:sz w:val="20"/>
        </w:rPr>
        <w:t>次回決算： 2026年6月3日（FY2026 1月期 本決算）</w:t>
      </w:r>
    </w:p>
    <w:p>
      <w:pPr>
        <w:pStyle w:val="ListBullet"/>
      </w:pPr>
      <w:r>
        <w:rPr>
          <w:rFonts w:ascii="Meiryo UI" w:hAnsi="Meiryo UI"/>
          <w:sz w:val="20"/>
        </w:rPr>
        <w:t>IR問い合わせ： https://www.fujidk.co.jp/ir/stock/overview.html</w:t>
      </w:r>
    </w:p>
    <w:p/>
    <w:p>
      <w:r>
        <w:t>──────────────────────────────────────────────────</w:t>
      </w:r>
    </w:p>
    <w:p/>
    <w:p>
      <w:pPr>
        <w:pStyle w:val="Heading2"/>
      </w:pPr>
      <w:r>
        <w:rPr>
          <w:rFonts w:ascii="Meiryo UI" w:hAnsi="Meiryo UI"/>
          <w:color w:val="2E74B5"/>
        </w:rPr>
        <w:t>【本質的問い：なぜPBR0.547xなのか】</w:t>
      </w:r>
    </w:p>
    <w:p/>
    <w:p>
      <w:pPr>
        <w:pStyle w:val="Heading3"/>
      </w:pPr>
      <w:r>
        <w:rPr>
          <w:rFonts w:ascii="Meiryo UI" w:hAnsi="Meiryo UI"/>
          <w:color w:val="2E74B5"/>
        </w:rPr>
        <w:t>低PBRの二重構造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ROE 2.2%の低収益</w:t>
            </w:r>
          </w:p>
        </w:tc>
        <w:tc>
          <w:tcPr>
            <w:tcW w:type="dxa" w:w="3135"/>
          </w:tcPr>
          <w:p>
            <w:r>
              <w:rPr>
                <w:rFonts w:ascii="Meiryo UI" w:hAnsi="Meiryo UI"/>
                <w:sz w:val="18"/>
              </w:rPr>
              <w:t>純資産¥126億に対し純利益¥2.36億。Ke=5.6%に対しROE半分以下</w:t>
            </w:r>
          </w:p>
        </w:tc>
        <w:tc>
          <w:tcPr>
            <w:tcW w:type="dxa" w:w="3135"/>
          </w:tcPr>
          <w:p>
            <w:r>
              <w:rPr>
                <w:rFonts w:ascii="Meiryo UI" w:hAnsi="Meiryo UI"/>
                <w:sz w:val="18"/>
              </w:rPr>
              <w:t>本質的要因。資本効率が悪すぎる</w:t>
            </w:r>
          </w:p>
        </w:tc>
      </w:tr>
      <w:tr>
        <w:tc>
          <w:tcPr>
            <w:tcW w:type="dxa" w:w="3135"/>
            <w:shd w:val="clear" w:color="auto" w:fill="DDEBF7"/>
          </w:tcPr>
          <w:p>
            <w:r>
              <w:rPr>
                <w:rFonts w:ascii="Meiryo UI" w:hAnsi="Meiryo UI"/>
                <w:sz w:val="18"/>
              </w:rPr>
              <w:t>流動性の低さ</w:t>
            </w:r>
          </w:p>
        </w:tc>
        <w:tc>
          <w:tcPr>
            <w:tcW w:type="dxa" w:w="3135"/>
            <w:shd w:val="clear" w:color="auto" w:fill="DDEBF7"/>
          </w:tcPr>
          <w:p>
            <w:r>
              <w:rPr>
                <w:rFonts w:ascii="Meiryo UI" w:hAnsi="Meiryo UI"/>
                <w:sz w:val="18"/>
              </w:rPr>
              <w:t>ADV約6,892株・日次売買代金¥758万。機関投資家参入不可</w:t>
            </w:r>
          </w:p>
        </w:tc>
        <w:tc>
          <w:tcPr>
            <w:tcW w:type="dxa" w:w="3135"/>
            <w:shd w:val="clear" w:color="auto" w:fill="DDEBF7"/>
          </w:tcPr>
          <w:p>
            <w:r>
              <w:rPr>
                <w:rFonts w:ascii="Meiryo UI" w:hAnsi="Meiryo UI"/>
                <w:sz w:val="18"/>
              </w:rPr>
              <w:t>構造的なディスカウント要因</w:t>
            </w:r>
          </w:p>
        </w:tc>
      </w:tr>
      <w:tr>
        <w:tc>
          <w:tcPr>
            <w:tcW w:type="dxa" w:w="3135"/>
          </w:tcPr>
          <w:p>
            <w:r>
              <w:rPr>
                <w:rFonts w:ascii="Meiryo UI" w:hAnsi="Meiryo UI"/>
                <w:sz w:val="18"/>
              </w:rPr>
              <w:t>成長期待なし</w:t>
            </w:r>
          </w:p>
        </w:tc>
        <w:tc>
          <w:tcPr>
            <w:tcW w:type="dxa" w:w="3135"/>
          </w:tcPr>
          <w:p>
            <w:r>
              <w:rPr>
                <w:rFonts w:ascii="Meiryo UI" w:hAnsi="Meiryo UI"/>
                <w:sz w:val="18"/>
              </w:rPr>
              <w:t>2期連続減収減益。ただしFY2027は会社予想で増収回復</w:t>
            </w:r>
          </w:p>
        </w:tc>
        <w:tc>
          <w:tcPr>
            <w:tcW w:type="dxa" w:w="3135"/>
          </w:tcPr>
          <w:p>
            <w:r>
              <w:rPr>
                <w:rFonts w:ascii="Meiryo UI" w:hAnsi="Meiryo UI"/>
                <w:sz w:val="18"/>
              </w:rPr>
              <w:t>カタリスト次第で変化可能</w:t>
            </w:r>
          </w:p>
        </w:tc>
      </w:tr>
    </w:tbl>
    <w:p/>
    <w:p>
      <w:r>
        <w:rPr>
          <w:rFonts w:ascii="Meiryo UI" w:hAnsi="Meiryo UI"/>
          <w:sz w:val="20"/>
        </w:rPr>
        <w:t>逆説：自己資本比率93%・無借金 = 低ROEの証明でもある</w:t>
      </w:r>
    </w:p>
    <w:p>
      <w:r>
        <w:rPr>
          <w:rFonts w:ascii="Meiryo UI" w:hAnsi="Meiryo UI"/>
          <w:sz w:val="20"/>
        </w:rPr>
        <w:t>→ 利益を稼ぐより資本を積み上げる保守経営。アクティビストが介入すれば特別配当・自社株買いで一気に解消可能。</w:t>
      </w:r>
    </w:p>
    <w:p/>
    <w:p>
      <w:r>
        <w:t>──────────────────────────────────────────────────</w:t>
      </w:r>
    </w:p>
    <w:p/>
    <w:p>
      <w:pPr>
        <w:pStyle w:val="Heading2"/>
      </w:pPr>
      <w:r>
        <w:rPr>
          <w:rFonts w:ascii="Meiryo UI" w:hAnsi="Meiryo UI"/>
          <w:color w:val="2E74B5"/>
        </w:rPr>
        <w:t>【事業モデルと競合優位性】</w:t>
      </w:r>
    </w:p>
    <w:p/>
    <w:p>
      <w:pPr>
        <w:pStyle w:val="Heading3"/>
      </w:pPr>
      <w:r>
        <w:rPr>
          <w:rFonts w:ascii="Meiryo UI" w:hAnsi="Meiryo UI"/>
          <w:color w:val="2E74B5"/>
        </w:rPr>
        <w:t>何をしている会社か</w:t>
      </w:r>
    </w:p>
    <w:p/>
    <w:p>
      <w:r>
        <w:rPr>
          <w:rFonts w:ascii="Meiryo UI" w:hAnsi="Meiryo UI"/>
          <w:sz w:val="20"/>
        </w:rPr>
        <w:t>1953年創業、京都市本拠の電気制御機器専業メーカー。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主力製品</w:t>
            </w:r>
          </w:p>
        </w:tc>
        <w:tc>
          <w:tcPr>
            <w:tcW w:type="dxa" w:w="4703"/>
          </w:tcPr>
          <w:p>
            <w:r>
              <w:rPr>
                <w:rFonts w:ascii="Meiryo UI" w:hAnsi="Meiryo UI"/>
                <w:sz w:val="18"/>
              </w:rPr>
              <w:t>カムスイッチ・補助スイッチ・端子台・表示灯・電子応用機器</w:t>
            </w:r>
          </w:p>
        </w:tc>
      </w:tr>
      <w:tr>
        <w:tc>
          <w:tcPr>
            <w:tcW w:type="dxa" w:w="4703"/>
            <w:shd w:val="clear" w:color="auto" w:fill="DDEBF7"/>
          </w:tcPr>
          <w:p>
            <w:r>
              <w:rPr>
                <w:rFonts w:ascii="Meiryo UI" w:hAnsi="Meiryo UI"/>
                <w:sz w:val="18"/>
              </w:rPr>
              <w:t>主要顧客</w:t>
            </w:r>
          </w:p>
        </w:tc>
        <w:tc>
          <w:tcPr>
            <w:tcW w:type="dxa" w:w="4703"/>
            <w:shd w:val="clear" w:color="auto" w:fill="DDEBF7"/>
          </w:tcPr>
          <w:p>
            <w:r>
              <w:rPr>
                <w:rFonts w:ascii="Meiryo UI" w:hAnsi="Meiryo UI"/>
                <w:sz w:val="18"/>
              </w:rPr>
              <w:t>電力インフラ・鉄道車両・工業・交通信号</w:t>
            </w:r>
          </w:p>
        </w:tc>
      </w:tr>
      <w:tr>
        <w:tc>
          <w:tcPr>
            <w:tcW w:type="dxa" w:w="4703"/>
          </w:tcPr>
          <w:p>
            <w:r>
              <w:rPr>
                <w:rFonts w:ascii="Meiryo UI" w:hAnsi="Meiryo UI"/>
                <w:sz w:val="18"/>
              </w:rPr>
              <w:t>製造拠点</w:t>
            </w:r>
          </w:p>
        </w:tc>
        <w:tc>
          <w:tcPr>
            <w:tcW w:type="dxa" w:w="4703"/>
          </w:tcPr>
          <w:p>
            <w:r>
              <w:rPr>
                <w:rFonts w:ascii="Meiryo UI" w:hAnsi="Meiryo UI"/>
                <w:sz w:val="18"/>
              </w:rPr>
              <w:t>滋賀県草津市（草津製作所）</w:t>
            </w:r>
          </w:p>
        </w:tc>
      </w:tr>
      <w:tr>
        <w:tc>
          <w:tcPr>
            <w:tcW w:type="dxa" w:w="4703"/>
            <w:shd w:val="clear" w:color="auto" w:fill="DDEBF7"/>
          </w:tcPr>
          <w:p>
            <w:r>
              <w:rPr>
                <w:rFonts w:ascii="Meiryo UI" w:hAnsi="Meiryo UI"/>
                <w:sz w:val="18"/>
              </w:rPr>
              <w:t>国内ポジション</w:t>
            </w:r>
          </w:p>
        </w:tc>
        <w:tc>
          <w:tcPr>
            <w:tcW w:type="dxa" w:w="4703"/>
            <w:shd w:val="clear" w:color="auto" w:fill="DDEBF7"/>
          </w:tcPr>
          <w:p>
            <w:r>
              <w:rPr>
                <w:rFonts w:ascii="Meiryo UI" w:hAnsi="Meiryo UI"/>
                <w:sz w:val="18"/>
              </w:rPr>
              <w:t>カムスイッチ市場で国内上位（Kraus &amp; Naimer・高千穂に次ぐ）</w:t>
            </w:r>
          </w:p>
        </w:tc>
      </w:tr>
      <w:tr>
        <w:tc>
          <w:tcPr>
            <w:tcW w:type="dxa" w:w="4703"/>
          </w:tcPr>
          <w:p>
            <w:r>
              <w:rPr>
                <w:rFonts w:ascii="Meiryo UI" w:hAnsi="Meiryo UI"/>
                <w:sz w:val="18"/>
              </w:rPr>
              <w:t>耐久性</w:t>
            </w:r>
          </w:p>
        </w:tc>
        <w:tc>
          <w:tcPr>
            <w:tcW w:type="dxa" w:w="4703"/>
          </w:tcPr>
          <w:p>
            <w:r>
              <w:rPr>
                <w:rFonts w:ascii="Meiryo UI" w:hAnsi="Meiryo UI"/>
                <w:sz w:val="18"/>
              </w:rPr>
              <w:t>最大500万サイクル対応（鉄道・電力インフラ向け高信頼性品）</w:t>
            </w:r>
          </w:p>
        </w:tc>
      </w:tr>
    </w:tbl>
    <w:p/>
    <w:p>
      <w:pPr>
        <w:pStyle w:val="Heading3"/>
      </w:pPr>
      <w:r>
        <w:rPr>
          <w:rFonts w:ascii="Meiryo UI" w:hAnsi="Meiryo UI"/>
          <w:color w:val="2E74B5"/>
        </w:rPr>
        <w:t>なぜ70年間生き残れるか</w:t>
      </w:r>
    </w:p>
    <w:p/>
    <w:p>
      <w:pPr>
        <w:pStyle w:val="ListNumber"/>
      </w:pPr>
      <w:r>
        <w:rPr>
          <w:rFonts w:ascii="Meiryo UI" w:hAnsi="Meiryo UI"/>
          <w:sz w:val="20"/>
        </w:rPr>
        <w:t>インフラの長期サイクル：鉄道・電力設備は30〜50年使用。一度採用されると後継機種も同社製が維持されやすい</w:t>
      </w:r>
    </w:p>
    <w:p>
      <w:pPr>
        <w:pStyle w:val="ListNumber"/>
      </w:pPr>
      <w:r>
        <w:rPr>
          <w:rFonts w:ascii="Meiryo UI" w:hAnsi="Meiryo UI"/>
          <w:sz w:val="20"/>
        </w:rPr>
        <w:t>カスタム対応力：顧客仕様への細かい対応。大手競合が手を出しにくいニッチ</w:t>
      </w:r>
    </w:p>
    <w:p>
      <w:pPr>
        <w:pStyle w:val="ListNumber"/>
      </w:pPr>
      <w:r>
        <w:rPr>
          <w:rFonts w:ascii="Meiryo UI" w:hAnsi="Meiryo UI"/>
          <w:sz w:val="20"/>
        </w:rPr>
        <w:t>無借金・高自己資本：景気後退でも倒産リスクゼロ。長取引関係の信頼性担保</w:t>
      </w:r>
    </w:p>
    <w:p/>
    <w:p>
      <w:r>
        <w:t>──────────────────────────────────────────────────</w:t>
      </w:r>
    </w:p>
    <w:p/>
    <w:p>
      <w:pPr>
        <w:pStyle w:val="Heading2"/>
      </w:pPr>
      <w:r>
        <w:rPr>
          <w:rFonts w:ascii="Meiryo UI" w:hAnsi="Meiryo UI"/>
          <w:color w:val="2E74B5"/>
        </w:rPr>
        <w:t>【財務サマリー】</w:t>
      </w:r>
    </w:p>
    <w:p/>
    <w:p>
      <w:pPr>
        <w:pStyle w:val="Heading3"/>
      </w:pPr>
      <w:r>
        <w:rPr>
          <w:rFonts w:ascii="Meiryo UI" w:hAnsi="Meiryo UI"/>
          <w:color w:val="2E74B5"/>
        </w:rPr>
        <w:t>過去業績トレンド</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決算期（1月期）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OPM</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FY2025（2025/1）</w:t>
            </w:r>
          </w:p>
        </w:tc>
        <w:tc>
          <w:tcPr>
            <w:tcW w:type="dxa" w:w="1568"/>
          </w:tcPr>
          <w:p>
            <w:r>
              <w:rPr>
                <w:rFonts w:ascii="Meiryo UI" w:hAnsi="Meiryo UI"/>
                <w:sz w:val="18"/>
              </w:rPr>
              <w:t>¥39.27億</w:t>
            </w:r>
          </w:p>
        </w:tc>
        <w:tc>
          <w:tcPr>
            <w:tcW w:type="dxa" w:w="1568"/>
          </w:tcPr>
          <w:p>
            <w:r>
              <w:rPr>
                <w:rFonts w:ascii="Meiryo UI" w:hAnsi="Meiryo UI"/>
                <w:sz w:val="18"/>
              </w:rPr>
              <w:t>¥2.85億</w:t>
            </w:r>
          </w:p>
        </w:tc>
        <w:tc>
          <w:tcPr>
            <w:tcW w:type="dxa" w:w="1568"/>
          </w:tcPr>
          <w:p>
            <w:r>
              <w:rPr>
                <w:rFonts w:ascii="Meiryo UI" w:hAnsi="Meiryo UI"/>
                <w:sz w:val="18"/>
              </w:rPr>
              <w:t>7.3%</w:t>
            </w:r>
          </w:p>
        </w:tc>
        <w:tc>
          <w:tcPr>
            <w:tcW w:type="dxa" w:w="1568"/>
          </w:tcPr>
          <w:p>
            <w:r>
              <w:rPr>
                <w:rFonts w:ascii="Meiryo UI" w:hAnsi="Meiryo UI"/>
                <w:sz w:val="18"/>
              </w:rPr>
              <w:t>¥2.40億</w:t>
            </w:r>
          </w:p>
        </w:tc>
        <w:tc>
          <w:tcPr>
            <w:tcW w:type="dxa" w:w="1568"/>
          </w:tcPr>
          <w:p>
            <w:r>
              <w:rPr>
                <w:rFonts w:ascii="Meiryo UI" w:hAnsi="Meiryo UI"/>
                <w:sz w:val="18"/>
              </w:rPr>
              <w:t>¥44.26</w:t>
            </w:r>
          </w:p>
        </w:tc>
      </w:tr>
      <w:tr>
        <w:tc>
          <w:tcPr>
            <w:tcW w:type="dxa" w:w="1568"/>
            <w:shd w:val="clear" w:color="auto" w:fill="DDEBF7"/>
          </w:tcPr>
          <w:p>
            <w:r>
              <w:rPr>
                <w:rFonts w:ascii="Meiryo UI" w:hAnsi="Meiryo UI"/>
                <w:sz w:val="18"/>
              </w:rPr>
              <w:t>FY2026（2026/1）</w:t>
            </w:r>
          </w:p>
        </w:tc>
        <w:tc>
          <w:tcPr>
            <w:tcW w:type="dxa" w:w="1568"/>
            <w:shd w:val="clear" w:color="auto" w:fill="DDEBF7"/>
          </w:tcPr>
          <w:p>
            <w:r>
              <w:rPr>
                <w:rFonts w:ascii="Meiryo UI" w:hAnsi="Meiryo UI"/>
                <w:sz w:val="18"/>
              </w:rPr>
              <w:t>¥37.77億</w:t>
            </w:r>
          </w:p>
        </w:tc>
        <w:tc>
          <w:tcPr>
            <w:tcW w:type="dxa" w:w="1568"/>
            <w:shd w:val="clear" w:color="auto" w:fill="DDEBF7"/>
          </w:tcPr>
          <w:p>
            <w:r>
              <w:rPr>
                <w:rFonts w:ascii="Meiryo UI" w:hAnsi="Meiryo UI"/>
                <w:sz w:val="18"/>
              </w:rPr>
              <w:t>¥2.48億</w:t>
            </w:r>
          </w:p>
        </w:tc>
        <w:tc>
          <w:tcPr>
            <w:tcW w:type="dxa" w:w="1568"/>
            <w:shd w:val="clear" w:color="auto" w:fill="DDEBF7"/>
          </w:tcPr>
          <w:p>
            <w:r>
              <w:rPr>
                <w:rFonts w:ascii="Meiryo UI" w:hAnsi="Meiryo UI"/>
                <w:sz w:val="18"/>
              </w:rPr>
              <w:t>6.6%</w:t>
            </w:r>
          </w:p>
        </w:tc>
        <w:tc>
          <w:tcPr>
            <w:tcW w:type="dxa" w:w="1568"/>
            <w:shd w:val="clear" w:color="auto" w:fill="DDEBF7"/>
          </w:tcPr>
          <w:p>
            <w:r>
              <w:rPr>
                <w:rFonts w:ascii="Meiryo UI" w:hAnsi="Meiryo UI"/>
                <w:sz w:val="18"/>
              </w:rPr>
              <w:t>¥2.36億</w:t>
            </w:r>
          </w:p>
        </w:tc>
        <w:tc>
          <w:tcPr>
            <w:tcW w:type="dxa" w:w="1568"/>
            <w:shd w:val="clear" w:color="auto" w:fill="DDEBF7"/>
          </w:tcPr>
          <w:p>
            <w:r>
              <w:rPr>
                <w:rFonts w:ascii="Meiryo UI" w:hAnsi="Meiryo UI"/>
                <w:sz w:val="18"/>
              </w:rPr>
              <w:t>~¥44</w:t>
            </w:r>
          </w:p>
        </w:tc>
      </w:tr>
      <w:tr>
        <w:tc>
          <w:tcPr>
            <w:tcW w:type="dxa" w:w="1568"/>
          </w:tcPr>
          <w:p>
            <w:r>
              <w:rPr>
                <w:rFonts w:ascii="Meiryo UI" w:hAnsi="Meiryo UI"/>
                <w:sz w:val="18"/>
              </w:rPr>
              <w:t>FY2027（2027/1）会社予想</w:t>
            </w:r>
          </w:p>
        </w:tc>
        <w:tc>
          <w:tcPr>
            <w:tcW w:type="dxa" w:w="1568"/>
          </w:tcPr>
          <w:p>
            <w:r>
              <w:rPr>
                <w:rFonts w:ascii="Meiryo UI" w:hAnsi="Meiryo UI"/>
                <w:sz w:val="18"/>
              </w:rPr>
              <w:t>¥42.5億（+12.5%）</w:t>
            </w:r>
          </w:p>
        </w:tc>
        <w:tc>
          <w:tcPr>
            <w:tcW w:type="dxa" w:w="1568"/>
          </w:tcPr>
          <w:p>
            <w:r>
              <w:rPr>
                <w:rFonts w:ascii="Meiryo UI" w:hAnsi="Meiryo UI"/>
                <w:sz w:val="18"/>
              </w:rPr>
              <w:t>¥2.76億（+11.3%）</w:t>
            </w:r>
          </w:p>
        </w:tc>
        <w:tc>
          <w:tcPr>
            <w:tcW w:type="dxa" w:w="1568"/>
          </w:tcPr>
          <w:p>
            <w:r>
              <w:rPr>
                <w:rFonts w:ascii="Meiryo UI" w:hAnsi="Meiryo UI"/>
                <w:sz w:val="18"/>
              </w:rPr>
              <w:t>6.5%</w:t>
            </w:r>
          </w:p>
        </w:tc>
        <w:tc>
          <w:tcPr>
            <w:tcW w:type="dxa" w:w="1568"/>
          </w:tcPr>
          <w:p>
            <w:r>
              <w:rPr>
                <w:rFonts w:ascii="Meiryo UI" w:hAnsi="Meiryo UI"/>
                <w:sz w:val="18"/>
              </w:rPr>
              <w:t>—</w:t>
            </w:r>
          </w:p>
        </w:tc>
        <w:tc>
          <w:tcPr>
            <w:tcW w:type="dxa" w:w="1568"/>
          </w:tcPr>
          <w:p>
            <w:r>
              <w:rPr>
                <w:rFonts w:ascii="Meiryo UI" w:hAnsi="Meiryo UI"/>
                <w:sz w:val="18"/>
              </w:rPr>
              <w:t>—</w:t>
            </w:r>
          </w:p>
        </w:tc>
      </w:tr>
    </w:tbl>
    <w:p/>
    <w:p>
      <w:r>
        <w:rPr>
          <w:rFonts w:ascii="Meiryo UI" w:hAnsi="Meiryo UI"/>
          <w:sz w:val="20"/>
        </w:rPr>
        <w:t>→ 2期連続減収減益。FY2026 Q3（累計）で営業利益▲40.5% YoYの局面あり。FY2027会社予想+12.5%の信憑性が6/3決算の最大チェックポイント。</w:t>
      </w:r>
    </w:p>
    <w:p/>
    <w:p>
      <w:pPr>
        <w:pStyle w:val="Heading3"/>
      </w:pPr>
      <w:r>
        <w:rPr>
          <w:rFonts w:ascii="Meiryo UI" w:hAnsi="Meiryo UI"/>
          <w:color w:val="2E74B5"/>
        </w:rPr>
        <w:t>バランスシート概観（深井推計）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算出根拠</w:t>
            </w:r>
          </w:p>
        </w:tc>
      </w:tr>
      <w:tr>
        <w:tc>
          <w:tcPr>
            <w:tcW w:type="dxa" w:w="3135"/>
          </w:tcPr>
          <w:p>
            <w:r>
              <w:rPr>
                <w:rFonts w:ascii="Meiryo UI" w:hAnsi="Meiryo UI"/>
                <w:sz w:val="18"/>
              </w:rPr>
              <w:t>時価総額</w:t>
            </w:r>
          </w:p>
        </w:tc>
        <w:tc>
          <w:tcPr>
            <w:tcW w:type="dxa" w:w="3135"/>
          </w:tcPr>
          <w:p>
            <w:r>
              <w:rPr>
                <w:rFonts w:ascii="Meiryo UI" w:hAnsi="Meiryo UI"/>
                <w:sz w:val="18"/>
              </w:rPr>
              <w:t>¥69.2億</w:t>
            </w:r>
          </w:p>
        </w:tc>
        <w:tc>
          <w:tcPr>
            <w:tcW w:type="dxa" w:w="3135"/>
          </w:tcPr>
          <w:p>
            <w:r>
              <w:rPr>
                <w:rFonts w:ascii="Meiryo UI" w:hAnsi="Meiryo UI"/>
                <w:sz w:val="18"/>
              </w:rPr>
              <w:t>¥1,099×630万株</w:t>
            </w:r>
          </w:p>
        </w:tc>
      </w:tr>
      <w:tr>
        <w:tc>
          <w:tcPr>
            <w:tcW w:type="dxa" w:w="3135"/>
            <w:shd w:val="clear" w:color="auto" w:fill="DDEBF7"/>
          </w:tcPr>
          <w:p>
            <w:r>
              <w:rPr>
                <w:rFonts w:ascii="Meiryo UI" w:hAnsi="Meiryo UI"/>
                <w:sz w:val="18"/>
              </w:rPr>
              <w:t>純資産（BPS×株数）</w:t>
            </w:r>
          </w:p>
        </w:tc>
        <w:tc>
          <w:tcPr>
            <w:tcW w:type="dxa" w:w="3135"/>
            <w:shd w:val="clear" w:color="auto" w:fill="DDEBF7"/>
          </w:tcPr>
          <w:p>
            <w:r>
              <w:rPr>
                <w:rFonts w:ascii="Meiryo UI" w:hAnsi="Meiryo UI"/>
                <w:sz w:val="18"/>
              </w:rPr>
              <w:t>¥126.6億</w:t>
            </w:r>
          </w:p>
        </w:tc>
        <w:tc>
          <w:tcPr>
            <w:tcW w:type="dxa" w:w="3135"/>
            <w:shd w:val="clear" w:color="auto" w:fill="DDEBF7"/>
          </w:tcPr>
          <w:p>
            <w:r>
              <w:rPr>
                <w:rFonts w:ascii="Meiryo UI" w:hAnsi="Meiryo UI"/>
                <w:sz w:val="18"/>
              </w:rPr>
              <w:t>¥2,009×630万株</w:t>
            </w:r>
          </w:p>
        </w:tc>
      </w:tr>
      <w:tr>
        <w:tc>
          <w:tcPr>
            <w:tcW w:type="dxa" w:w="3135"/>
          </w:tcPr>
          <w:p>
            <w:r>
              <w:rPr>
                <w:rFonts w:ascii="Meiryo UI" w:hAnsi="Meiryo UI"/>
                <w:sz w:val="18"/>
              </w:rPr>
              <w:t>自己資本比率</w:t>
            </w:r>
          </w:p>
        </w:tc>
        <w:tc>
          <w:tcPr>
            <w:tcW w:type="dxa" w:w="3135"/>
          </w:tcPr>
          <w:p>
            <w:r>
              <w:rPr>
                <w:rFonts w:ascii="Meiryo UI" w:hAnsi="Meiryo UI"/>
                <w:sz w:val="18"/>
              </w:rPr>
              <w:t>93%</w:t>
            </w:r>
          </w:p>
        </w:tc>
        <w:tc>
          <w:tcPr>
            <w:tcW w:type="dxa" w:w="3135"/>
          </w:tcPr>
          <w:p>
            <w:r>
              <w:rPr>
                <w:rFonts w:ascii="Meiryo UI" w:hAnsi="Meiryo UI"/>
                <w:sz w:val="18"/>
              </w:rPr>
              <w:t>公式開示値</w:t>
            </w:r>
          </w:p>
        </w:tc>
      </w:tr>
      <w:tr>
        <w:tc>
          <w:tcPr>
            <w:tcW w:type="dxa" w:w="3135"/>
            <w:shd w:val="clear" w:color="auto" w:fill="DDEBF7"/>
          </w:tcPr>
          <w:p>
            <w:r>
              <w:rPr>
                <w:rFonts w:ascii="Meiryo UI" w:hAnsi="Meiryo UI"/>
                <w:sz w:val="18"/>
              </w:rPr>
              <w:t>総資産推計</w:t>
            </w:r>
          </w:p>
        </w:tc>
        <w:tc>
          <w:tcPr>
            <w:tcW w:type="dxa" w:w="3135"/>
            <w:shd w:val="clear" w:color="auto" w:fill="DDEBF7"/>
          </w:tcPr>
          <w:p>
            <w:r>
              <w:rPr>
                <w:rFonts w:ascii="Meiryo UI" w:hAnsi="Meiryo UI"/>
                <w:sz w:val="18"/>
              </w:rPr>
              <w:t>¥136億</w:t>
            </w:r>
          </w:p>
        </w:tc>
        <w:tc>
          <w:tcPr>
            <w:tcW w:type="dxa" w:w="3135"/>
            <w:shd w:val="clear" w:color="auto" w:fill="DDEBF7"/>
          </w:tcPr>
          <w:p>
            <w:r>
              <w:rPr>
                <w:rFonts w:ascii="Meiryo UI" w:hAnsi="Meiryo UI"/>
                <w:sz w:val="18"/>
              </w:rPr>
              <w:t>純資産÷0.93</w:t>
            </w:r>
          </w:p>
        </w:tc>
      </w:tr>
      <w:tr>
        <w:tc>
          <w:tcPr>
            <w:tcW w:type="dxa" w:w="3135"/>
          </w:tcPr>
          <w:p>
            <w:r>
              <w:rPr>
                <w:rFonts w:ascii="Meiryo UI" w:hAnsi="Meiryo UI"/>
                <w:sz w:val="18"/>
              </w:rPr>
              <w:t>総負債推計</w:t>
            </w:r>
          </w:p>
        </w:tc>
        <w:tc>
          <w:tcPr>
            <w:tcW w:type="dxa" w:w="3135"/>
          </w:tcPr>
          <w:p>
            <w:r>
              <w:rPr>
                <w:rFonts w:ascii="Meiryo UI" w:hAnsi="Meiryo UI"/>
                <w:sz w:val="18"/>
              </w:rPr>
              <w:t>¥9.4億</w:t>
            </w:r>
          </w:p>
        </w:tc>
        <w:tc>
          <w:tcPr>
            <w:tcW w:type="dxa" w:w="3135"/>
          </w:tcPr>
          <w:p>
            <w:r>
              <w:rPr>
                <w:rFonts w:ascii="Meiryo UI" w:hAnsi="Meiryo UI"/>
                <w:sz w:val="18"/>
              </w:rPr>
              <w:t>総資産−純資産</w:t>
            </w:r>
          </w:p>
        </w:tc>
      </w:tr>
      <w:tr>
        <w:tc>
          <w:tcPr>
            <w:tcW w:type="dxa" w:w="3135"/>
            <w:shd w:val="clear" w:color="auto" w:fill="DDEBF7"/>
          </w:tcPr>
          <w:p>
            <w:r>
              <w:rPr>
                <w:rFonts w:ascii="Meiryo UI" w:hAnsi="Meiryo UI"/>
                <w:sz w:val="18"/>
              </w:rPr>
              <w:t>推定純現金</w:t>
            </w:r>
          </w:p>
        </w:tc>
        <w:tc>
          <w:tcPr>
            <w:tcW w:type="dxa" w:w="3135"/>
            <w:shd w:val="clear" w:color="auto" w:fill="DDEBF7"/>
          </w:tcPr>
          <w:p>
            <w:r>
              <w:rPr>
                <w:rFonts w:ascii="Meiryo UI" w:hAnsi="Meiryo UI"/>
                <w:sz w:val="18"/>
              </w:rPr>
              <w:t>¥60〜80億</w:t>
            </w:r>
          </w:p>
        </w:tc>
        <w:tc>
          <w:tcPr>
            <w:tcW w:type="dxa" w:w="3135"/>
            <w:shd w:val="clear" w:color="auto" w:fill="DDEBF7"/>
          </w:tcPr>
          <w:p>
            <w:r>
              <w:rPr>
                <w:rFonts w:ascii="Meiryo UI" w:hAnsi="Meiryo UI"/>
                <w:sz w:val="18"/>
              </w:rPr>
              <w:t>総資産¥136億から固定資産（工場等）¥40〜50億控除</w:t>
            </w:r>
          </w:p>
        </w:tc>
      </w:tr>
    </w:tbl>
    <w:p/>
    <w:p>
      <w:pPr>
        <w:pStyle w:val="Heading3"/>
      </w:pPr>
      <w:r>
        <w:rPr>
          <w:rFonts w:ascii="Meiryo UI" w:hAnsi="Meiryo UI"/>
          <w:color w:val="2E74B5"/>
        </w:rPr>
        <w:t>「純現金が時価総額に匹敵する」構造の含意</w:t>
      </w:r>
    </w:p>
    <w:p/>
    <w:p>
      <w:pPr>
        <w:shd w:val="clear" w:color="auto" w:fill="F2F2F2"/>
      </w:pPr>
      <w:r>
        <w:rPr>
          <w:rFonts w:ascii="Courier New" w:hAnsi="Courier New"/>
          <w:sz w:val="16"/>
        </w:rPr>
        <w:t>時価総額 ¥69.2億</w:t>
        <w:br/>
        <w:t xml:space="preserve">  ↓</w:t>
        <w:br/>
        <w:t>推定純現金 ¥60〜80億を差し引くと</w:t>
        <w:br/>
        <w:t xml:space="preserve">  ↓</w:t>
        <w:br/>
        <w:t>事業価値（EV） = ¥0〜10億</w:t>
        <w:br/>
        <w:t xml:space="preserve">  ↓</w:t>
        <w:br/>
        <w:t>FY2026 OP ¥2.48億 に対しEV/OP ≈ 0〜4倍</w:t>
        <w:br/>
        <w:t xml:space="preserve">  ↓</w:t>
        <w:br/>
        <w:t>→ 極めてチープなEV。問題は現金がいつ株主還元されるか</w:t>
      </w:r>
    </w:p>
    <w:p/>
    <w:p>
      <w:r>
        <w:rPr>
          <w:rFonts w:ascii="Meiryo UI" w:hAnsi="Meiryo UI"/>
          <w:sz w:val="20"/>
        </w:rPr>
        <w:t>→ これが今回のユニークな投資アイデアの核心。グレアム流NCAV投資の典型例。</w:t>
      </w:r>
    </w:p>
    <w:p/>
    <w:p>
      <w:r>
        <w:t>──────────────────────────────────────────────────</w:t>
      </w:r>
    </w:p>
    <w:p/>
    <w:p>
      <w:pPr>
        <w:pStyle w:val="Heading2"/>
      </w:pPr>
      <w:r>
        <w:rPr>
          <w:rFonts w:ascii="Meiryo UI" w:hAnsi="Meiryo UI"/>
          <w:color w:val="2E74B5"/>
        </w:rPr>
        <w:t>【配当・株主還元】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DPS</w:t>
            </w:r>
          </w:p>
        </w:tc>
        <w:tc>
          <w:tcPr>
            <w:tcW w:type="dxa" w:w="3135"/>
            <w:shd w:val="clear" w:color="auto" w:fill="2E74B5"/>
          </w:tcPr>
          <w:p>
            <w:r>
              <w:rPr>
                <w:rFonts w:ascii="Meiryo UI" w:hAnsi="Meiryo UI"/>
                <w:b/>
                <w:color w:val="FFFFFF"/>
                <w:sz w:val="18"/>
              </w:rPr>
              <w:t>配当性向</w:t>
            </w:r>
          </w:p>
        </w:tc>
      </w:tr>
      <w:tr>
        <w:tc>
          <w:tcPr>
            <w:tcW w:type="dxa" w:w="3135"/>
          </w:tcPr>
          <w:p>
            <w:r>
              <w:rPr>
                <w:rFonts w:ascii="Meiryo UI" w:hAnsi="Meiryo UI"/>
                <w:sz w:val="18"/>
              </w:rPr>
              <w:t>FY2022</w:t>
            </w:r>
          </w:p>
        </w:tc>
        <w:tc>
          <w:tcPr>
            <w:tcW w:type="dxa" w:w="3135"/>
          </w:tcPr>
          <w:p>
            <w:r>
              <w:rPr>
                <w:rFonts w:ascii="Meiryo UI" w:hAnsi="Meiryo UI"/>
                <w:sz w:val="18"/>
              </w:rPr>
              <w:t>¥32</w:t>
            </w:r>
          </w:p>
        </w:tc>
        <w:tc>
          <w:tcPr>
            <w:tcW w:type="dxa" w:w="3135"/>
          </w:tcPr>
          <w:p>
            <w:r>
              <w:rPr>
                <w:rFonts w:ascii="Meiryo UI" w:hAnsi="Meiryo UI"/>
                <w:sz w:val="18"/>
              </w:rPr>
              <w:t>96.0%</w:t>
            </w:r>
          </w:p>
        </w:tc>
      </w:tr>
      <w:tr>
        <w:tc>
          <w:tcPr>
            <w:tcW w:type="dxa" w:w="3135"/>
            <w:shd w:val="clear" w:color="auto" w:fill="DDEBF7"/>
          </w:tcPr>
          <w:p>
            <w:r>
              <w:rPr>
                <w:rFonts w:ascii="Meiryo UI" w:hAnsi="Meiryo UI"/>
                <w:sz w:val="18"/>
              </w:rPr>
              <w:t>FY2023</w:t>
            </w:r>
          </w:p>
        </w:tc>
        <w:tc>
          <w:tcPr>
            <w:tcW w:type="dxa" w:w="3135"/>
            <w:shd w:val="clear" w:color="auto" w:fill="DDEBF7"/>
          </w:tcPr>
          <w:p>
            <w:r>
              <w:rPr>
                <w:rFonts w:ascii="Meiryo UI" w:hAnsi="Meiryo UI"/>
                <w:sz w:val="18"/>
              </w:rPr>
              <w:t>¥32</w:t>
            </w:r>
          </w:p>
        </w:tc>
        <w:tc>
          <w:tcPr>
            <w:tcW w:type="dxa" w:w="3135"/>
            <w:shd w:val="clear" w:color="auto" w:fill="DDEBF7"/>
          </w:tcPr>
          <w:p>
            <w:r>
              <w:rPr>
                <w:rFonts w:ascii="Meiryo UI" w:hAnsi="Meiryo UI"/>
                <w:sz w:val="18"/>
              </w:rPr>
              <w:t>68.4%</w:t>
            </w:r>
          </w:p>
        </w:tc>
      </w:tr>
      <w:tr>
        <w:tc>
          <w:tcPr>
            <w:tcW w:type="dxa" w:w="3135"/>
          </w:tcPr>
          <w:p>
            <w:r>
              <w:rPr>
                <w:rFonts w:ascii="Meiryo UI" w:hAnsi="Meiryo UI"/>
                <w:sz w:val="18"/>
              </w:rPr>
              <w:t>FY2024</w:t>
            </w:r>
          </w:p>
        </w:tc>
        <w:tc>
          <w:tcPr>
            <w:tcW w:type="dxa" w:w="3135"/>
          </w:tcPr>
          <w:p>
            <w:r>
              <w:rPr>
                <w:rFonts w:ascii="Meiryo UI" w:hAnsi="Meiryo UI"/>
                <w:sz w:val="18"/>
              </w:rPr>
              <w:t>¥35（記念配当¥3含む）</w:t>
            </w:r>
          </w:p>
        </w:tc>
        <w:tc>
          <w:tcPr>
            <w:tcW w:type="dxa" w:w="3135"/>
          </w:tcPr>
          <w:p>
            <w:r>
              <w:rPr>
                <w:rFonts w:ascii="Meiryo UI" w:hAnsi="Meiryo UI"/>
                <w:sz w:val="18"/>
              </w:rPr>
              <w:t>55.5%</w:t>
            </w:r>
          </w:p>
        </w:tc>
      </w:tr>
      <w:tr>
        <w:tc>
          <w:tcPr>
            <w:tcW w:type="dxa" w:w="3135"/>
            <w:shd w:val="clear" w:color="auto" w:fill="DDEBF7"/>
          </w:tcPr>
          <w:p>
            <w:r>
              <w:rPr>
                <w:rFonts w:ascii="Meiryo UI" w:hAnsi="Meiryo UI"/>
                <w:sz w:val="18"/>
              </w:rPr>
              <w:t>FY2025</w:t>
            </w:r>
          </w:p>
        </w:tc>
        <w:tc>
          <w:tcPr>
            <w:tcW w:type="dxa" w:w="3135"/>
            <w:shd w:val="clear" w:color="auto" w:fill="DDEBF7"/>
          </w:tcPr>
          <w:p>
            <w:r>
              <w:rPr>
                <w:rFonts w:ascii="Meiryo UI" w:hAnsi="Meiryo UI"/>
                <w:sz w:val="18"/>
              </w:rPr>
              <w:t>¥32</w:t>
            </w:r>
          </w:p>
        </w:tc>
        <w:tc>
          <w:tcPr>
            <w:tcW w:type="dxa" w:w="3135"/>
            <w:shd w:val="clear" w:color="auto" w:fill="DDEBF7"/>
          </w:tcPr>
          <w:p>
            <w:r>
              <w:rPr>
                <w:rFonts w:ascii="Meiryo UI" w:hAnsi="Meiryo UI"/>
                <w:sz w:val="18"/>
              </w:rPr>
              <w:t>72.8%</w:t>
            </w:r>
          </w:p>
        </w:tc>
      </w:tr>
      <w:tr>
        <w:tc>
          <w:tcPr>
            <w:tcW w:type="dxa" w:w="3135"/>
          </w:tcPr>
          <w:p>
            <w:r>
              <w:rPr>
                <w:rFonts w:ascii="Meiryo UI" w:hAnsi="Meiryo UI"/>
                <w:sz w:val="18"/>
              </w:rPr>
              <w:t>FY2026</w:t>
            </w:r>
          </w:p>
        </w:tc>
        <w:tc>
          <w:tcPr>
            <w:tcW w:type="dxa" w:w="3135"/>
          </w:tcPr>
          <w:p>
            <w:r>
              <w:rPr>
                <w:rFonts w:ascii="Meiryo UI" w:hAnsi="Meiryo UI"/>
                <w:sz w:val="18"/>
              </w:rPr>
              <w:t>¥32（継続）</w:t>
            </w:r>
          </w:p>
        </w:tc>
        <w:tc>
          <w:tcPr>
            <w:tcW w:type="dxa" w:w="3135"/>
          </w:tcPr>
          <w:p>
            <w:r>
              <w:rPr>
                <w:rFonts w:ascii="Meiryo UI" w:hAnsi="Meiryo UI"/>
                <w:sz w:val="18"/>
              </w:rPr>
              <w:t>72.3%</w:t>
            </w:r>
          </w:p>
        </w:tc>
      </w:tr>
    </w:tbl>
    <w:p/>
    <w:p>
      <w:pPr>
        <w:pStyle w:val="ListBullet"/>
      </w:pPr>
      <w:r>
        <w:rPr>
          <w:rFonts w:ascii="Meiryo UI" w:hAnsi="Meiryo UI"/>
          <w:sz w:val="20"/>
        </w:rPr>
        <w:t>目標配当性向50%に対し実績72%超：過剰に配当している（利益の7割超を配当）</w:t>
      </w:r>
    </w:p>
    <w:p>
      <w:pPr>
        <w:pStyle w:val="ListBullet"/>
      </w:pPr>
      <w:r>
        <w:rPr>
          <w:rFonts w:ascii="Meiryo UI" w:hAnsi="Meiryo UI"/>
          <w:sz w:val="20"/>
        </w:rPr>
        <w:t>自社株買い実績なし：70年以上の保守経営。アクティビストが最も狙いやすいポイント</w:t>
      </w:r>
    </w:p>
    <w:p>
      <w:pPr>
        <w:pStyle w:val="ListBullet"/>
      </w:pPr>
      <w:r>
        <w:rPr>
          <w:rFonts w:ascii="Meiryo UI" w:hAnsi="Meiryo UI"/>
          <w:sz w:val="20"/>
        </w:rPr>
        <w:t>特別配当・TOBの先例なし。ただしBPS¥2,009（現値の1.83倍）は外部からの打診に耐えうる水準</w:t>
      </w:r>
    </w:p>
    <w:p/>
    <w:p>
      <w:r>
        <w:t>──────────────────────────────────────────────────</w:t>
      </w:r>
    </w:p>
    <w:p/>
    <w:p>
      <w:pPr>
        <w:pStyle w:val="Heading2"/>
      </w:pPr>
      <w:r>
        <w:rPr>
          <w:rFonts w:ascii="Meiryo UI" w:hAnsi="Meiryo UI"/>
          <w:color w:val="2E74B5"/>
        </w:rPr>
        <w:t>【FV算出】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PBR法（0.70x×BPS¥2,009）</w:t>
            </w:r>
          </w:p>
        </w:tc>
        <w:tc>
          <w:tcPr>
            <w:tcW w:type="dxa" w:w="2351"/>
          </w:tcPr>
          <w:p>
            <w:r>
              <w:rPr>
                <w:rFonts w:ascii="Meiryo UI" w:hAnsi="Meiryo UI"/>
                <w:sz w:val="18"/>
              </w:rPr>
              <w:t>¥1,406</w:t>
            </w:r>
          </w:p>
        </w:tc>
        <w:tc>
          <w:tcPr>
            <w:tcW w:type="dxa" w:w="2351"/>
          </w:tcPr>
          <w:p>
            <w:r>
              <w:rPr>
                <w:rFonts w:ascii="Meiryo UI" w:hAnsi="Meiryo UI"/>
                <w:sz w:val="18"/>
              </w:rPr>
              <w:t>50%</w:t>
            </w:r>
          </w:p>
        </w:tc>
        <w:tc>
          <w:tcPr>
            <w:tcW w:type="dxa" w:w="2351"/>
          </w:tcPr>
          <w:p>
            <w:r>
              <w:rPr>
                <w:rFonts w:ascii="Meiryo UI" w:hAnsi="Meiryo UI"/>
                <w:sz w:val="18"/>
              </w:rPr>
              <w:t>無借金ニッチ製造業の正常化PBR。低ROE（2.2%）を勘案しディスカウント0.70x（通常0.8〜1.0x）</w:t>
            </w:r>
          </w:p>
        </w:tc>
      </w:tr>
      <w:tr>
        <w:tc>
          <w:tcPr>
            <w:tcW w:type="dxa" w:w="2351"/>
            <w:shd w:val="clear" w:color="auto" w:fill="DDEBF7"/>
          </w:tcPr>
          <w:p>
            <w:r>
              <w:rPr>
                <w:rFonts w:ascii="Meiryo UI" w:hAnsi="Meiryo UI"/>
                <w:sz w:val="18"/>
              </w:rPr>
              <w:t>PER法（FY2027E EPS¥44×PER14x）</w:t>
            </w:r>
          </w:p>
        </w:tc>
        <w:tc>
          <w:tcPr>
            <w:tcW w:type="dxa" w:w="2351"/>
            <w:shd w:val="clear" w:color="auto" w:fill="DDEBF7"/>
          </w:tcPr>
          <w:p>
            <w:r>
              <w:rPr>
                <w:rFonts w:ascii="Meiryo UI" w:hAnsi="Meiryo UI"/>
                <w:sz w:val="18"/>
              </w:rPr>
              <w:t>¥616</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低成長・低OPM（6.6%）・小型株向け保守的PER。現在PER24.9xは過大評価</w:t>
            </w:r>
          </w:p>
        </w:tc>
      </w:tr>
      <w:tr>
        <w:tc>
          <w:tcPr>
            <w:tcW w:type="dxa" w:w="2351"/>
          </w:tcPr>
          <w:p>
            <w:r>
              <w:rPr>
                <w:rFonts w:ascii="Meiryo UI" w:hAnsi="Meiryo UI"/>
                <w:sz w:val="18"/>
              </w:rPr>
              <w:t>Sum-of-Parts法</w:t>
            </w:r>
          </w:p>
        </w:tc>
        <w:tc>
          <w:tcPr>
            <w:tcW w:type="dxa" w:w="2351"/>
          </w:tcPr>
          <w:p>
            <w:r>
              <w:rPr>
                <w:rFonts w:ascii="Meiryo UI" w:hAnsi="Meiryo UI"/>
                <w:sz w:val="18"/>
              </w:rPr>
              <w:t>¥1,603</w:t>
            </w:r>
          </w:p>
        </w:tc>
        <w:tc>
          <w:tcPr>
            <w:tcW w:type="dxa" w:w="2351"/>
          </w:tcPr>
          <w:p>
            <w:r>
              <w:rPr>
                <w:rFonts w:ascii="Meiryo UI" w:hAnsi="Meiryo UI"/>
                <w:sz w:val="18"/>
              </w:rPr>
              <w:t>30%</w:t>
            </w:r>
          </w:p>
        </w:tc>
        <w:tc>
          <w:tcPr>
            <w:tcW w:type="dxa" w:w="2351"/>
          </w:tcPr>
          <w:p>
            <w:r>
              <w:rPr>
                <w:rFonts w:ascii="Meiryo UI" w:hAnsi="Meiryo UI"/>
                <w:sz w:val="18"/>
              </w:rPr>
              <w:t>事業価値¥21億（OP¥1.75億×PER12x）+ 推定純現金¥80億 = ¥101億 ÷ 630万株</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¥1,400（レンジ¥1,200〜¥1,600）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Rf=2.380%（財務省CSV）、ERP=5.0%、β推計0.65</w:t>
            </w:r>
          </w:p>
        </w:tc>
      </w:tr>
    </w:tbl>
    <w:p/>
    <w:p>
      <w:r>
        <w:t>──────────────────────────────────────────────────</w:t>
      </w:r>
    </w:p>
    <w:p/>
    <w:p>
      <w:pPr>
        <w:pStyle w:val="Heading2"/>
      </w:pPr>
      <w:r>
        <w:rPr>
          <w:rFonts w:ascii="Meiryo UI" w:hAnsi="Meiryo UI"/>
          <w:color w:val="2E74B5"/>
        </w:rPr>
        <w:t>【不動産・含み資産考察】</w:t>
      </w:r>
    </w:p>
    <w:p/>
    <w:p>
      <w:pPr>
        <w:pStyle w:val="ListBullet"/>
      </w:pPr>
      <w:r>
        <w:rPr>
          <w:rFonts w:ascii="Meiryo UI" w:hAnsi="Meiryo UI"/>
          <w:sz w:val="20"/>
        </w:rPr>
        <w:t>草津製作所（滋賀県草津市）：工場用地保有。ただし時価総額¥69.2億の規模感から含み益は限定的と推定</w:t>
      </w:r>
    </w:p>
    <w:p>
      <w:pPr>
        <w:pStyle w:val="ListBullet"/>
      </w:pPr>
      <w:r>
        <w:rPr>
          <w:rFonts w:ascii="Meiryo UI" w:hAnsi="Meiryo UI"/>
          <w:sz w:val="20"/>
        </w:rPr>
        <w:t>最大の含み資産は「現金・有価証券」：推定¥60〜80億。土地含み益よりもこちらが本質的アンロック対象</w:t>
      </w:r>
    </w:p>
    <w:p>
      <w:pPr>
        <w:pStyle w:val="ListBullet"/>
      </w:pPr>
      <w:r>
        <w:rPr>
          <w:rFonts w:ascii="Meiryo UI" w:hAnsi="Meiryo UI"/>
          <w:sz w:val="20"/>
        </w:rPr>
        <w:t>IRへの確認事項：現金預金・投資有価証券の総額（BSの科目別開示）</w:t>
      </w:r>
    </w:p>
    <w:p/>
    <w:p>
      <w:r>
        <w:t>──────────────────────────────────────────────────</w:t>
      </w:r>
    </w:p>
    <w:p/>
    <w:p>
      <w:pPr>
        <w:pStyle w:val="Heading2"/>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到達株価</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ブル</w:t>
            </w:r>
          </w:p>
        </w:tc>
        <w:tc>
          <w:tcPr>
            <w:tcW w:type="dxa" w:w="2351"/>
          </w:tcPr>
          <w:p>
            <w:r>
              <w:rPr>
                <w:rFonts w:ascii="Meiryo UI" w:hAnsi="Meiryo UI"/>
                <w:sz w:val="18"/>
              </w:rPr>
              <w:t>20%</w:t>
            </w:r>
          </w:p>
        </w:tc>
        <w:tc>
          <w:tcPr>
            <w:tcW w:type="dxa" w:w="2351"/>
          </w:tcPr>
          <w:p>
            <w:r>
              <w:rPr>
                <w:rFonts w:ascii="Meiryo UI" w:hAnsi="Meiryo UI"/>
                <w:sz w:val="18"/>
              </w:rPr>
              <w:t>¥1,600〜¥2,000</w:t>
            </w:r>
          </w:p>
        </w:tc>
        <w:tc>
          <w:tcPr>
            <w:tcW w:type="dxa" w:w="2351"/>
          </w:tcPr>
          <w:p>
            <w:r>
              <w:rPr>
                <w:rFonts w:ascii="Meiryo UI" w:hAnsi="Meiryo UI"/>
                <w:sz w:val="18"/>
              </w:rPr>
              <w:t>6/3決算で自社株買い発表 or アクティビスト登場。純現金の株主還元開始でPBR0.8〜1.0xへ急騰</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¥1,100〜¥1,400</w:t>
            </w:r>
          </w:p>
        </w:tc>
        <w:tc>
          <w:tcPr>
            <w:tcW w:type="dxa" w:w="2351"/>
            <w:shd w:val="clear" w:color="auto" w:fill="DDEBF7"/>
          </w:tcPr>
          <w:p>
            <w:r>
              <w:rPr>
                <w:rFonts w:ascii="Meiryo UI" w:hAnsi="Meiryo UI"/>
                <w:sz w:val="18"/>
              </w:rPr>
              <w:t>FY2027ガイダンス増益確認→PBR緩やかに0.65〜0.70xへ。1〜2年かけての緩やかな上昇</w:t>
            </w:r>
          </w:p>
        </w:tc>
      </w:tr>
      <w:tr>
        <w:tc>
          <w:tcPr>
            <w:tcW w:type="dxa" w:w="2351"/>
          </w:tcPr>
          <w:p>
            <w:r>
              <w:rPr>
                <w:rFonts w:ascii="Meiryo UI" w:hAnsi="Meiryo UI"/>
                <w:sz w:val="18"/>
              </w:rPr>
              <w:t>ベア</w:t>
            </w:r>
          </w:p>
        </w:tc>
        <w:tc>
          <w:tcPr>
            <w:tcW w:type="dxa" w:w="2351"/>
          </w:tcPr>
          <w:p>
            <w:r>
              <w:rPr>
                <w:rFonts w:ascii="Meiryo UI" w:hAnsi="Meiryo UI"/>
                <w:sz w:val="18"/>
              </w:rPr>
              <w:t>25%</w:t>
            </w:r>
          </w:p>
        </w:tc>
        <w:tc>
          <w:tcPr>
            <w:tcW w:type="dxa" w:w="2351"/>
          </w:tcPr>
          <w:p>
            <w:r>
              <w:rPr>
                <w:rFonts w:ascii="Meiryo UI" w:hAnsi="Meiryo UI"/>
                <w:sz w:val="18"/>
              </w:rPr>
              <w:t>¥700〜¥900</w:t>
            </w:r>
          </w:p>
        </w:tc>
        <w:tc>
          <w:tcPr>
            <w:tcW w:type="dxa" w:w="2351"/>
          </w:tcPr>
          <w:p>
            <w:r>
              <w:rPr>
                <w:rFonts w:ascii="Meiryo UI" w:hAnsi="Meiryo UI"/>
                <w:sz w:val="18"/>
              </w:rPr>
              <w:t>FY2027引き続き減収・ガイダンス失望。ROE 1%台固定。流動性が低いまま放置→PBR0.35〜0.45x</w:t>
            </w:r>
          </w:p>
        </w:tc>
      </w:tr>
    </w:tbl>
    <w:p/>
    <w:p>
      <w:r>
        <w:rPr>
          <w:rFonts w:ascii="Meiryo UI" w:hAnsi="Meiryo UI"/>
          <w:sz w:val="20"/>
        </w:rPr>
        <w:t>期待値： ¥1,800×0.20 + ¥1,250×0.55 + ¥800×0.25 = ¥1,248（現値比+13.6%）</w:t>
      </w:r>
    </w:p>
    <w:p/>
    <w:p>
      <w:r>
        <w:rPr>
          <w:rFonts w:ascii="Meiryo UI" w:hAnsi="Meiryo UI"/>
          <w:sz w:val="20"/>
        </w:rPr>
        <w:t>→ 上昇余地はあるが、非対称性は弱い。カタリスト依存。現値ではHOLD。</w:t>
      </w:r>
    </w:p>
    <w:p/>
    <w:p>
      <w:r>
        <w:t>──────────────────────────────────────────────────</w:t>
      </w:r>
    </w:p>
    <w:p/>
    <w:p>
      <w:pPr>
        <w:pStyle w:val="Heading2"/>
      </w:pPr>
      <w:r>
        <w:rPr>
          <w:rFonts w:ascii="Meiryo UI" w:hAnsi="Meiryo UI"/>
          <w:color w:val="2E74B5"/>
        </w:rPr>
        <w:t>【6/3決算チェックリスト】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確認事項</w:t>
            </w:r>
          </w:p>
        </w:tc>
        <w:tc>
          <w:tcPr>
            <w:tcW w:type="dxa" w:w="3135"/>
            <w:shd w:val="clear" w:color="auto" w:fill="2E74B5"/>
          </w:tcPr>
          <w:p>
            <w:r>
              <w:rPr>
                <w:rFonts w:ascii="Meiryo UI" w:hAnsi="Meiryo UI"/>
                <w:b/>
                <w:color w:val="FFFFFF"/>
                <w:sz w:val="18"/>
              </w:rPr>
              <w:t>BUYシグナル</w:t>
            </w:r>
          </w:p>
        </w:tc>
        <w:tc>
          <w:tcPr>
            <w:tcW w:type="dxa" w:w="3135"/>
            <w:shd w:val="clear" w:color="auto" w:fill="2E74B5"/>
          </w:tcPr>
          <w:p>
            <w:r>
              <w:rPr>
                <w:rFonts w:ascii="Meiryo UI" w:hAnsi="Meiryo UI"/>
                <w:b/>
                <w:color w:val="FFFFFF"/>
                <w:sz w:val="18"/>
              </w:rPr>
              <w:t>SELLシグナル</w:t>
            </w:r>
          </w:p>
        </w:tc>
      </w:tr>
      <w:tr>
        <w:tc>
          <w:tcPr>
            <w:tcW w:type="dxa" w:w="3135"/>
          </w:tcPr>
          <w:p>
            <w:r>
              <w:rPr>
                <w:rFonts w:ascii="Meiryo UI" w:hAnsi="Meiryo UI"/>
                <w:sz w:val="18"/>
              </w:rPr>
              <w:t>自社株買い発表</w:t>
            </w:r>
          </w:p>
        </w:tc>
        <w:tc>
          <w:tcPr>
            <w:tcW w:type="dxa" w:w="3135"/>
          </w:tcPr>
          <w:p>
            <w:r>
              <w:rPr>
                <w:rFonts w:ascii="Meiryo UI" w:hAnsi="Meiryo UI"/>
                <w:sz w:val="18"/>
              </w:rPr>
              <w:t>即BUYアップグレード</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FY2027ガイダンス</w:t>
            </w:r>
          </w:p>
        </w:tc>
        <w:tc>
          <w:tcPr>
            <w:tcW w:type="dxa" w:w="3135"/>
            <w:shd w:val="clear" w:color="auto" w:fill="DDEBF7"/>
          </w:tcPr>
          <w:p>
            <w:r>
              <w:rPr>
                <w:rFonts w:ascii="Meiryo UI" w:hAnsi="Meiryo UI"/>
                <w:sz w:val="18"/>
              </w:rPr>
              <w:t>OP¥3億超（+21%超）→買い</w:t>
            </w:r>
          </w:p>
        </w:tc>
        <w:tc>
          <w:tcPr>
            <w:tcW w:type="dxa" w:w="3135"/>
            <w:shd w:val="clear" w:color="auto" w:fill="DDEBF7"/>
          </w:tcPr>
          <w:p>
            <w:r>
              <w:rPr>
                <w:rFonts w:ascii="Meiryo UI" w:hAnsi="Meiryo UI"/>
                <w:sz w:val="18"/>
              </w:rPr>
              <w:t>OP¥2.5億未満（横ばい以下）→売り</w:t>
            </w:r>
          </w:p>
        </w:tc>
      </w:tr>
      <w:tr>
        <w:tc>
          <w:tcPr>
            <w:tcW w:type="dxa" w:w="3135"/>
          </w:tcPr>
          <w:p>
            <w:r>
              <w:rPr>
                <w:rFonts w:ascii="Meiryo UI" w:hAnsi="Meiryo UI"/>
                <w:sz w:val="18"/>
              </w:rPr>
              <w:t>純現金の開示</w:t>
            </w:r>
          </w:p>
        </w:tc>
        <w:tc>
          <w:tcPr>
            <w:tcW w:type="dxa" w:w="3135"/>
          </w:tcPr>
          <w:p>
            <w:r>
              <w:rPr>
                <w:rFonts w:ascii="Meiryo UI" w:hAnsi="Meiryo UI"/>
                <w:sz w:val="18"/>
              </w:rPr>
              <w:t>¥80億超確認→SoPで¥1,600以上正当化</w:t>
            </w:r>
          </w:p>
        </w:tc>
        <w:tc>
          <w:tcPr>
            <w:tcW w:type="dxa" w:w="3135"/>
          </w:tcPr>
          <w:p>
            <w:r>
              <w:rPr>
                <w:rFonts w:ascii="Meiryo UI" w:hAnsi="Meiryo UI"/>
                <w:sz w:val="18"/>
              </w:rPr>
              <w:t>¥40億未満→SoP崩壊</w:t>
            </w:r>
          </w:p>
        </w:tc>
      </w:tr>
      <w:tr>
        <w:tc>
          <w:tcPr>
            <w:tcW w:type="dxa" w:w="3135"/>
            <w:shd w:val="clear" w:color="auto" w:fill="DDEBF7"/>
          </w:tcPr>
          <w:p>
            <w:r>
              <w:rPr>
                <w:rFonts w:ascii="Meiryo UI" w:hAnsi="Meiryo UI"/>
                <w:sz w:val="18"/>
              </w:rPr>
              <w:t>配当方針変化</w:t>
            </w:r>
          </w:p>
        </w:tc>
        <w:tc>
          <w:tcPr>
            <w:tcW w:type="dxa" w:w="3135"/>
            <w:shd w:val="clear" w:color="auto" w:fill="DDEBF7"/>
          </w:tcPr>
          <w:p>
            <w:r>
              <w:rPr>
                <w:rFonts w:ascii="Meiryo UI" w:hAnsi="Meiryo UI"/>
                <w:sz w:val="18"/>
              </w:rPr>
              <w:t>増配 or 特別配当→ポジ</w:t>
            </w:r>
          </w:p>
        </w:tc>
        <w:tc>
          <w:tcPr>
            <w:tcW w:type="dxa" w:w="3135"/>
            <w:shd w:val="clear" w:color="auto" w:fill="DDEBF7"/>
          </w:tcPr>
          <w:p>
            <w:r>
              <w:rPr>
                <w:rFonts w:ascii="Meiryo UI" w:hAnsi="Meiryo UI"/>
                <w:sz w:val="18"/>
              </w:rPr>
              <w:t>減配→即撤退</w:t>
            </w:r>
          </w:p>
        </w:tc>
      </w:tr>
    </w:tbl>
    <w:p/>
    <w:p>
      <w:r>
        <w:t>──────────────────────────────────────────────────</w:t>
      </w:r>
    </w:p>
    <w:p/>
    <w:p>
      <w:pPr>
        <w:pStyle w:val="Heading2"/>
      </w:pPr>
      <w:r>
        <w:rPr>
          <w:rFonts w:ascii="Meiryo UI" w:hAnsi="Meiryo UI"/>
          <w:color w:val="2E74B5"/>
        </w:rPr>
        <w:t>【IR質問状】</w:t>
      </w:r>
    </w:p>
    <w:p/>
    <w:p>
      <w:r>
        <w:rPr>
          <w:rFonts w:ascii="Meiryo UI" w:hAnsi="Meiryo UI"/>
          <w:sz w:val="20"/>
        </w:rPr>
        <w:t>宛先： 不二電機工業株式会社 IR担当（https://www.fujidk.co.jp/ir/）</w:t>
      </w:r>
    </w:p>
    <w:p>
      <w:r>
        <w:rPr>
          <w:rFonts w:ascii="Meiryo UI" w:hAnsi="Meiryo UI"/>
          <w:sz w:val="20"/>
        </w:rPr>
        <w:t>件名： FY2026 1月期決算に係る投資判断照会（竹村トレードカンパニー）</w:t>
      </w:r>
    </w:p>
    <w:p/>
    <w:p>
      <w:r>
        <w:rPr>
          <w:rFonts w:ascii="Meiryo UI" w:hAnsi="Meiryo UI"/>
          <w:sz w:val="20"/>
        </w:rPr>
        <w:t>竹村トレードカンパニーの竹村と申します。6月3日の決算発表を前に以下4点についてご教示ください。</w:t>
      </w:r>
    </w:p>
    <w:p/>
    <w:p>
      <w:r>
        <w:rPr>
          <w:rFonts w:ascii="Meiryo UI" w:hAnsi="Meiryo UI"/>
          <w:sz w:val="20"/>
        </w:rPr>
        <w:t>Q1【貸借対照表の現金・有価証券残高の内訳】</w:t>
      </w:r>
    </w:p>
    <w:p>
      <w:r>
        <w:rPr>
          <w:rFonts w:ascii="Meiryo UI" w:hAnsi="Meiryo UI"/>
          <w:sz w:val="20"/>
        </w:rPr>
        <w:t>FY2026 1月期末時点の現金及び預金・投資有価証券の合計額をご開示ください。自己資本比率93%・無借金経営の財務構造に対し、その資金の運用実態（現金・定期預金・株式・債券の内訳）をお聞きします。</w:t>
      </w:r>
    </w:p>
    <w:p/>
    <w:p>
      <w:r>
        <w:rPr>
          <w:rFonts w:ascii="Meiryo UI" w:hAnsi="Meiryo UI"/>
          <w:sz w:val="20"/>
        </w:rPr>
        <w:t>Q2【FY2027 売上+12.5%回復の根拠】</w:t>
      </w:r>
    </w:p>
    <w:p>
      <w:r>
        <w:rPr>
          <w:rFonts w:ascii="Meiryo UI" w:hAnsi="Meiryo UI"/>
          <w:sz w:val="20"/>
        </w:rPr>
        <w:t>FY2026までの2期連続減収の要因（需要軟化 or 競合シェア喪失 or 価格下落）と、FY2027で+12.5%回復を見込む具体的な受注状況・案件をご説明ください。</w:t>
      </w:r>
    </w:p>
    <w:p/>
    <w:p>
      <w:r>
        <w:rPr>
          <w:rFonts w:ascii="Meiryo UI" w:hAnsi="Meiryo UI"/>
          <w:sz w:val="20"/>
        </w:rPr>
        <w:t>Q3【株主還元方針の見直し】</w:t>
      </w:r>
    </w:p>
    <w:p>
      <w:r>
        <w:rPr>
          <w:rFonts w:ascii="Meiryo UI" w:hAnsi="Meiryo UI"/>
          <w:sz w:val="20"/>
        </w:rPr>
        <w:t>配当性向目標50%に対し実績72%超を継続。自社株買いについて今後の検討状況をご教示ください。PBR0.547x（BPS¥2,009に対し現値¥1,099）という現状を経営陣はどのように認識されているかもお聞きしたいです。</w:t>
      </w:r>
    </w:p>
    <w:p/>
    <w:p>
      <w:r>
        <w:rPr>
          <w:rFonts w:ascii="Meiryo UI" w:hAnsi="Meiryo UI"/>
          <w:sz w:val="20"/>
        </w:rPr>
        <w:t>Q4【PBR1倍達成に向けたROE改善計画】</w:t>
      </w:r>
    </w:p>
    <w:p>
      <w:r>
        <w:rPr>
          <w:rFonts w:ascii="Meiryo UI" w:hAnsi="Meiryo UI"/>
          <w:sz w:val="20"/>
        </w:rPr>
        <w:t>ROE2.2%はCAPM上のコスト・オブ・エクイティ（推定5.6%）を大幅に下回ります。ROE改善（収益力向上 or 資本効率化）の中期目標があればご説明ください。</w:t>
      </w:r>
    </w:p>
    <w:p/>
    <w:p>
      <w:r>
        <w:rPr>
          <w:rFonts w:ascii="Meiryo UI" w:hAnsi="Meiryo UI"/>
          <w:sz w:val="20"/>
        </w:rPr>
        <w:t>竹村トレードカンパニー　竹村</w:t>
      </w:r>
    </w:p>
    <w:p/>
    <w:p>
      <w:r>
        <w:t>──────────────────────────────────────────────────</w:t>
      </w:r>
    </w:p>
    <w:p/>
    <w:p>
      <w:r>
        <w:rPr>
          <w:rFonts w:ascii="Meiryo UI" w:hAnsi="Meiryo UI"/>
          <w:sz w:val="20"/>
        </w:rPr>
        <w:t>Sources: 不二電機工業IR公式（fujidk.co.jp/ir）、IRBank（FY2026決算）、Kabutan・Minkabu財務データ、yfinance（株価・PBR・BPS）、銘柄マスター20260420_2.csv</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