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6861 キーエンス ■ Deep Research【26/3期決算速報・優先度1】</w:t>
      </w:r>
    </w:p>
    <w:p/>
    <w:p/>
    <w:p>
      <w:pPr>
        <w:jc w:val="center"/>
      </w:pPr>
      <w:r>
        <w:rPr>
          <w:rFonts w:ascii="Meiryo UI" w:hAnsi="Meiryo UI"/>
          <w:sz w:val="24"/>
        </w:rPr>
        <w:t>アナリスト：深井</w:t>
      </w:r>
    </w:p>
    <w:p>
      <w:pPr>
        <w:jc w:val="center"/>
      </w:pPr>
      <w:r>
        <w:rPr>
          <w:rFonts w:ascii="Meiryo UI" w:hAnsi="Meiryo UI"/>
          <w:sz w:val="24"/>
        </w:rPr>
        <w:t>分析日：2026年4月24日</w:t>
      </w:r>
    </w:p>
    <w:p>
      <w:r>
        <w:br w:type="page"/>
      </w:r>
    </w:p>
    <w:p>
      <w:pPr>
        <w:pStyle w:val="Heading1"/>
      </w:pPr>
      <w:r>
        <w:rPr>
          <w:rFonts w:ascii="Meiryo UI" w:hAnsi="Meiryo UI"/>
          <w:color w:val="1F3864"/>
        </w:rPr>
        <w:t>6861 キーエンス ■ Deep Research【26/3期決算速報・優先度1】</w:t>
      </w:r>
    </w:p>
    <w:p/>
    <w:p>
      <w:r>
        <w:rPr>
          <w:rFonts w:ascii="Meiryo UI" w:hAnsi="Meiryo UI"/>
          <w:sz w:val="20"/>
        </w:rPr>
        <w:t>アナリスト: 深井　分析日: 2026年4月24日</w:t>
      </w:r>
    </w:p>
    <w:p/>
    <w:p>
      <w:r>
        <w:t>──────────────────────────────────────────────────</w:t>
      </w:r>
    </w:p>
    <w:p/>
    <w:p>
      <w:pPr>
        <w:pStyle w:val="Heading2"/>
      </w:pPr>
      <w:r>
        <w:rPr>
          <w:rFonts w:ascii="Meiryo UI" w:hAnsi="Meiryo UI"/>
          <w:color w:val="2E74B5"/>
        </w:rPr>
        <w:t>⚡ 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+85 / 100</w:t>
            </w:r>
          </w:p>
        </w:tc>
      </w:tr>
      <w:tr>
        <w:tc>
          <w:tcPr>
            <w:tcW w:type="dxa" w:w="4703"/>
          </w:tcPr>
          <w:p>
            <w:r>
              <w:rPr>
                <w:rFonts w:ascii="Meiryo UI" w:hAnsi="Meiryo UI"/>
                <w:sz w:val="18"/>
              </w:rPr>
              <w:t>現値</w:t>
            </w:r>
          </w:p>
        </w:tc>
        <w:tc>
          <w:tcPr>
            <w:tcW w:type="dxa" w:w="4703"/>
          </w:tcPr>
          <w:p>
            <w:r>
              <w:rPr>
                <w:rFonts w:ascii="Meiryo UI" w:hAnsi="Meiryo UI"/>
                <w:sz w:val="18"/>
              </w:rPr>
              <w:t>¥63,180（2026-04-24取得）</w:t>
            </w:r>
          </w:p>
        </w:tc>
      </w:tr>
      <w:tr>
        <w:tc>
          <w:tcPr>
            <w:tcW w:type="dxa" w:w="4703"/>
            <w:shd w:val="clear" w:color="auto" w:fill="DDEBF7"/>
          </w:tcPr>
          <w:p>
            <w:r>
              <w:rPr>
                <w:rFonts w:ascii="Meiryo UI" w:hAnsi="Meiryo UI"/>
                <w:sz w:val="18"/>
              </w:rPr>
              <w:t>FV（ベース）</w:t>
            </w:r>
          </w:p>
        </w:tc>
        <w:tc>
          <w:tcPr>
            <w:tcW w:type="dxa" w:w="4703"/>
            <w:shd w:val="clear" w:color="auto" w:fill="DDEBF7"/>
          </w:tcPr>
          <w:p>
            <w:r>
              <w:rPr>
                <w:rFonts w:ascii="Meiryo UI" w:hAnsi="Meiryo UI"/>
                <w:sz w:val="18"/>
              </w:rPr>
              <w:t>¥71,100（現値比 +12.5%）</w:t>
            </w:r>
          </w:p>
        </w:tc>
      </w:tr>
      <w:tr>
        <w:tc>
          <w:tcPr>
            <w:tcW w:type="dxa" w:w="4703"/>
          </w:tcPr>
          <w:p>
            <w:r>
              <w:rPr>
                <w:rFonts w:ascii="Meiryo UI" w:hAnsi="Meiryo UI"/>
                <w:sz w:val="18"/>
              </w:rPr>
              <w:t>FV（ブル）</w:t>
            </w:r>
          </w:p>
        </w:tc>
        <w:tc>
          <w:tcPr>
            <w:tcW w:type="dxa" w:w="4703"/>
          </w:tcPr>
          <w:p>
            <w:r>
              <w:rPr>
                <w:rFonts w:ascii="Meiryo UI" w:hAnsi="Meiryo UI"/>
                <w:sz w:val="18"/>
              </w:rPr>
              <w:t>¥90,200（+42.8%）</w:t>
            </w:r>
          </w:p>
        </w:tc>
      </w:tr>
      <w:tr>
        <w:tc>
          <w:tcPr>
            <w:tcW w:type="dxa" w:w="4703"/>
            <w:shd w:val="clear" w:color="auto" w:fill="DDEBF7"/>
          </w:tcPr>
          <w:p>
            <w:r>
              <w:rPr>
                <w:rFonts w:ascii="Meiryo UI" w:hAnsi="Meiryo UI"/>
                <w:sz w:val="18"/>
              </w:rPr>
              <w:t>FV（ベア）</w:t>
            </w:r>
          </w:p>
        </w:tc>
        <w:tc>
          <w:tcPr>
            <w:tcW w:type="dxa" w:w="4703"/>
            <w:shd w:val="clear" w:color="auto" w:fill="DDEBF7"/>
          </w:tcPr>
          <w:p>
            <w:r>
              <w:rPr>
                <w:rFonts w:ascii="Meiryo UI" w:hAnsi="Meiryo UI"/>
                <w:sz w:val="18"/>
              </w:rPr>
              <w:t>¥45,000（▲28.8%）</w:t>
            </w:r>
          </w:p>
        </w:tc>
      </w:tr>
      <w:tr>
        <w:tc>
          <w:tcPr>
            <w:tcW w:type="dxa" w:w="4703"/>
          </w:tcPr>
          <w:p>
            <w:r>
              <w:rPr>
                <w:rFonts w:ascii="Meiryo UI" w:hAnsi="Meiryo UI"/>
                <w:sz w:val="18"/>
              </w:rPr>
              <w:t>SBI野口AN TP</w:t>
            </w:r>
          </w:p>
        </w:tc>
        <w:tc>
          <w:tcPr>
            <w:tcW w:type="dxa" w:w="4703"/>
          </w:tcPr>
          <w:p>
            <w:r>
              <w:rPr>
                <w:rFonts w:ascii="Meiryo UI" w:hAnsi="Meiryo UI"/>
                <w:sz w:val="18"/>
              </w:rPr>
              <w:t>¥75,000（BUY）</w:t>
            </w:r>
          </w:p>
        </w:tc>
      </w:tr>
      <w:tr>
        <w:tc>
          <w:tcPr>
            <w:tcW w:type="dxa" w:w="4703"/>
            <w:shd w:val="clear" w:color="auto" w:fill="DDEBF7"/>
          </w:tcPr>
          <w:p>
            <w:r>
              <w:rPr>
                <w:rFonts w:ascii="Meiryo UI" w:hAnsi="Meiryo UI"/>
                <w:sz w:val="18"/>
              </w:rPr>
              <w:t>最大の強み</w:t>
            </w:r>
          </w:p>
        </w:tc>
        <w:tc>
          <w:tcPr>
            <w:tcW w:type="dxa" w:w="4703"/>
            <w:shd w:val="clear" w:color="auto" w:fill="DDEBF7"/>
          </w:tcPr>
          <w:p>
            <w:r>
              <w:rPr>
                <w:rFonts w:ascii="Meiryo UI" w:hAnsi="Meiryo UI"/>
                <w:sz w:val="18"/>
              </w:rPr>
              <w:t>Q4 OPM 53.6%（四半期過去最高）・コンセンサス大幅上振れ</w:t>
            </w:r>
          </w:p>
        </w:tc>
      </w:tr>
      <w:tr>
        <w:tc>
          <w:tcPr>
            <w:tcW w:type="dxa" w:w="4703"/>
          </w:tcPr>
          <w:p>
            <w:r>
              <w:rPr>
                <w:rFonts w:ascii="Meiryo UI" w:hAnsi="Meiryo UI"/>
                <w:sz w:val="18"/>
              </w:rPr>
              <w:t>最大リスク</w:t>
            </w:r>
          </w:p>
        </w:tc>
        <w:tc>
          <w:tcPr>
            <w:tcW w:type="dxa" w:w="4703"/>
          </w:tcPr>
          <w:p>
            <w:r>
              <w:rPr>
                <w:rFonts w:ascii="Meiryo UI" w:hAnsi="Meiryo UI"/>
                <w:sz w:val="18"/>
              </w:rPr>
              <w:t>中国製造業回復遅延・FY27/3ガイダンス未開示による不透明感</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本日夕刻説明会コメント確認後、打診買い（現値〜66,000円台）</w:t>
            </w:r>
          </w:p>
        </w:tc>
      </w:tr>
    </w:tbl>
    <w:p/>
    <w:p>
      <w:r>
        <w:rPr>
          <w:rFonts w:ascii="Meiryo UI" w:hAnsi="Meiryo UI"/>
          <w:sz w:val="20"/>
        </w:rPr>
        <w:t>&gt; Deltaポイント: Q4 OP ¥179.4億(+17%YoY, +24%QoQ)で「四半期過去最高」を更新。コンセンサス比+¥169億の上振れは単なる在庫積み増しでなく、直販モデルによる価格支配力の構造的継続を示す。定款変更で自己株式取得条項を新設 → 次期以降の大型還元余地が生まれた。</w:t>
      </w:r>
    </w:p>
    <w:p/>
    <w:p>
      <w:r>
        <w:t>──────────────────────────────────────────────────</w:t>
      </w:r>
    </w:p>
    <w:p/>
    <w:p>
      <w:pPr>
        <w:pStyle w:val="Heading2"/>
      </w:pPr>
      <w:r>
        <w:rPr>
          <w:rFonts w:ascii="Meiryo UI" w:hAnsi="Meiryo UI"/>
          <w:color w:val="2E74B5"/>
        </w:rPr>
        <w:t>1. IR情報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https://www.keyence.co.jp/company/investor-relations/</w:t>
            </w:r>
          </w:p>
        </w:tc>
      </w:tr>
      <w:tr>
        <w:tc>
          <w:tcPr>
            <w:tcW w:type="dxa" w:w="4703"/>
            <w:shd w:val="clear" w:color="auto" w:fill="DDEBF7"/>
          </w:tcPr>
          <w:p>
            <w:r>
              <w:rPr>
                <w:rFonts w:ascii="Meiryo UI" w:hAnsi="Meiryo UI"/>
                <w:sz w:val="18"/>
              </w:rPr>
              <w:t>コンタクト</w:t>
            </w:r>
          </w:p>
        </w:tc>
        <w:tc>
          <w:tcPr>
            <w:tcW w:type="dxa" w:w="4703"/>
            <w:shd w:val="clear" w:color="auto" w:fill="DDEBF7"/>
          </w:tcPr>
          <w:p>
            <w:r>
              <w:rPr>
                <w:rFonts w:ascii="Meiryo UI" w:hAnsi="Meiryo UI"/>
                <w:sz w:val="18"/>
              </w:rPr>
              <w:t>https://www.keyence.co.jp/company/investor-relations/contact/</w:t>
            </w:r>
          </w:p>
        </w:tc>
      </w:tr>
      <w:tr>
        <w:tc>
          <w:tcPr>
            <w:tcW w:type="dxa" w:w="4703"/>
          </w:tcPr>
          <w:p>
            <w:r>
              <w:rPr>
                <w:rFonts w:ascii="Meiryo UI" w:hAnsi="Meiryo UI"/>
                <w:sz w:val="18"/>
              </w:rPr>
              <w:t>説明会</w:t>
            </w:r>
          </w:p>
        </w:tc>
        <w:tc>
          <w:tcPr>
            <w:tcW w:type="dxa" w:w="4703"/>
          </w:tcPr>
          <w:p>
            <w:r>
              <w:rPr>
                <w:rFonts w:ascii="Meiryo UI" w:hAnsi="Meiryo UI"/>
                <w:sz w:val="18"/>
              </w:rPr>
              <w:t>2026年4月24日 夕刻（大引け後）</w:t>
            </w:r>
          </w:p>
        </w:tc>
      </w:tr>
      <w:tr>
        <w:tc>
          <w:tcPr>
            <w:tcW w:type="dxa" w:w="4703"/>
            <w:shd w:val="clear" w:color="auto" w:fill="DDEBF7"/>
          </w:tcPr>
          <w:p>
            <w:r>
              <w:rPr>
                <w:rFonts w:ascii="Meiryo UI" w:hAnsi="Meiryo UI"/>
                <w:sz w:val="18"/>
              </w:rPr>
              <w:t>IR担当部署</w:t>
            </w:r>
          </w:p>
        </w:tc>
        <w:tc>
          <w:tcPr>
            <w:tcW w:type="dxa" w:w="4703"/>
            <w:shd w:val="clear" w:color="auto" w:fill="DDEBF7"/>
          </w:tcPr>
          <w:p>
            <w:r>
              <w:rPr>
                <w:rFonts w:ascii="Meiryo UI" w:hAnsi="Meiryo UI"/>
                <w:sz w:val="18"/>
              </w:rPr>
              <w:t>経営戦略部 IR担当</w:t>
            </w:r>
          </w:p>
        </w:tc>
      </w:tr>
      <w:tr>
        <w:tc>
          <w:tcPr>
            <w:tcW w:type="dxa" w:w="4703"/>
          </w:tcPr>
          <w:p>
            <w:r>
              <w:rPr>
                <w:rFonts w:ascii="Meiryo UI" w:hAnsi="Meiryo UI"/>
                <w:sz w:val="18"/>
              </w:rPr>
              <w:t>決算発表</w:t>
            </w:r>
          </w:p>
        </w:tc>
        <w:tc>
          <w:tcPr>
            <w:tcW w:type="dxa" w:w="4703"/>
          </w:tcPr>
          <w:p>
            <w:r>
              <w:rPr>
                <w:rFonts w:ascii="Meiryo UI" w:hAnsi="Meiryo UI"/>
                <w:sz w:val="18"/>
              </w:rPr>
              <w:t>大引け後（本日4/24）</w:t>
            </w:r>
          </w:p>
        </w:tc>
      </w:tr>
    </w:tbl>
    <w:p/>
    <w:p>
      <w:r>
        <w:t>──────────────────────────────────────────────────</w:t>
      </w:r>
    </w:p>
    <w:p/>
    <w:p>
      <w:pPr>
        <w:pStyle w:val="Heading2"/>
      </w:pPr>
      <w:r>
        <w:rPr>
          <w:rFonts w:ascii="Meiryo UI" w:hAnsi="Meiryo UI"/>
          <w:color w:val="2E74B5"/>
        </w:rPr>
        <w:t>2. 企業概要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設立</w:t>
            </w:r>
          </w:p>
        </w:tc>
        <w:tc>
          <w:tcPr>
            <w:tcW w:type="dxa" w:w="4703"/>
          </w:tcPr>
          <w:p>
            <w:r>
              <w:rPr>
                <w:rFonts w:ascii="Meiryo UI" w:hAnsi="Meiryo UI"/>
                <w:sz w:val="18"/>
              </w:rPr>
              <w:t>1974年（滝崎武光氏創業）</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大阪府東淀川区</w:t>
            </w:r>
          </w:p>
        </w:tc>
      </w:tr>
      <w:tr>
        <w:tc>
          <w:tcPr>
            <w:tcW w:type="dxa" w:w="4703"/>
          </w:tcPr>
          <w:p>
            <w:r>
              <w:rPr>
                <w:rFonts w:ascii="Meiryo UI" w:hAnsi="Meiryo UI"/>
                <w:sz w:val="18"/>
              </w:rPr>
              <w:t>事業</w:t>
            </w:r>
          </w:p>
        </w:tc>
        <w:tc>
          <w:tcPr>
            <w:tcW w:type="dxa" w:w="4703"/>
          </w:tcPr>
          <w:p>
            <w:r>
              <w:rPr>
                <w:rFonts w:ascii="Meiryo UI" w:hAnsi="Meiryo UI"/>
                <w:sz w:val="18"/>
              </w:rPr>
              <w:t>FA向けセンサ・バーコードリーダー・ビジョンシステム・レーザーマーカー・計測器・マイクロスコープ</w:t>
            </w:r>
          </w:p>
        </w:tc>
      </w:tr>
      <w:tr>
        <w:tc>
          <w:tcPr>
            <w:tcW w:type="dxa" w:w="4703"/>
            <w:shd w:val="clear" w:color="auto" w:fill="DDEBF7"/>
          </w:tcPr>
          <w:p>
            <w:r>
              <w:rPr>
                <w:rFonts w:ascii="Meiryo UI" w:hAnsi="Meiryo UI"/>
                <w:sz w:val="18"/>
              </w:rPr>
              <w:t>販売モデル</w:t>
            </w:r>
          </w:p>
        </w:tc>
        <w:tc>
          <w:tcPr>
            <w:tcW w:type="dxa" w:w="4703"/>
            <w:shd w:val="clear" w:color="auto" w:fill="DDEBF7"/>
          </w:tcPr>
          <w:p>
            <w:r>
              <w:rPr>
                <w:rFonts w:ascii="Meiryo UI" w:hAnsi="Meiryo UI"/>
                <w:sz w:val="18"/>
              </w:rPr>
              <w:t>直販（卸売・代理店なし）= 業界最大の差別化要因</w:t>
            </w:r>
          </w:p>
        </w:tc>
      </w:tr>
      <w:tr>
        <w:tc>
          <w:tcPr>
            <w:tcW w:type="dxa" w:w="4703"/>
          </w:tcPr>
          <w:p>
            <w:r>
              <w:rPr>
                <w:rFonts w:ascii="Meiryo UI" w:hAnsi="Meiryo UI"/>
                <w:sz w:val="18"/>
              </w:rPr>
              <w:t>従業員</w:t>
            </w:r>
          </w:p>
        </w:tc>
        <w:tc>
          <w:tcPr>
            <w:tcW w:type="dxa" w:w="4703"/>
          </w:tcPr>
          <w:p>
            <w:r>
              <w:rPr>
                <w:rFonts w:ascii="Meiryo UI" w:hAnsi="Meiryo UI"/>
                <w:sz w:val="18"/>
              </w:rPr>
              <w:t>約12,000名（全世界）</w:t>
            </w:r>
          </w:p>
        </w:tc>
      </w:tr>
      <w:tr>
        <w:tc>
          <w:tcPr>
            <w:tcW w:type="dxa" w:w="4703"/>
            <w:shd w:val="clear" w:color="auto" w:fill="DDEBF7"/>
          </w:tcPr>
          <w:p>
            <w:r>
              <w:rPr>
                <w:rFonts w:ascii="Meiryo UI" w:hAnsi="Meiryo UI"/>
                <w:sz w:val="18"/>
              </w:rPr>
              <w:t>売上構成</w:t>
            </w:r>
          </w:p>
        </w:tc>
        <w:tc>
          <w:tcPr>
            <w:tcW w:type="dxa" w:w="4703"/>
            <w:shd w:val="clear" w:color="auto" w:fill="DDEBF7"/>
          </w:tcPr>
          <w:p>
            <w:r>
              <w:rPr>
                <w:rFonts w:ascii="Meiryo UI" w:hAnsi="Meiryo UI"/>
                <w:sz w:val="18"/>
              </w:rPr>
              <w:t>日本約20% / 欧州約30% / 北米約25% / 中国・アジア約25%</w:t>
            </w:r>
          </w:p>
        </w:tc>
      </w:tr>
      <w:tr>
        <w:tc>
          <w:tcPr>
            <w:tcW w:type="dxa" w:w="4703"/>
          </w:tcPr>
          <w:p>
            <w:r>
              <w:rPr>
                <w:rFonts w:ascii="Meiryo UI" w:hAnsi="Meiryo UI"/>
                <w:sz w:val="18"/>
              </w:rPr>
              <w:t>主要株主</w:t>
            </w:r>
          </w:p>
        </w:tc>
        <w:tc>
          <w:tcPr>
            <w:tcW w:type="dxa" w:w="4703"/>
          </w:tcPr>
          <w:p>
            <w:r>
              <w:rPr>
                <w:rFonts w:ascii="Meiryo UI" w:hAnsi="Meiryo UI"/>
                <w:sz w:val="18"/>
              </w:rPr>
              <w:t>滝崎武光（創業者・大株主）・自己株式等</w:t>
            </w:r>
          </w:p>
        </w:tc>
      </w:tr>
    </w:tbl>
    <w:p/>
    <w:p>
      <w:pPr>
        <w:pStyle w:val="Heading3"/>
      </w:pPr>
      <w:r>
        <w:rPr>
          <w:rFonts w:ascii="Meiryo UI" w:hAnsi="Meiryo UI"/>
          <w:color w:val="2E74B5"/>
        </w:rPr>
        <w:t>ビジネスモデルの本質</w:t>
      </w:r>
    </w:p>
    <w:p/>
    <w:p>
      <w:r>
        <w:rPr>
          <w:rFonts w:ascii="Meiryo UI" w:hAnsi="Meiryo UI"/>
          <w:sz w:val="20"/>
        </w:rPr>
        <w:t>キーエンスの競争優位は「3つの直接性」にある：</w:t>
      </w:r>
    </w:p>
    <w:p/>
    <w:p>
      <w:pPr>
        <w:pStyle w:val="ListNumber"/>
      </w:pPr>
      <w:r>
        <w:rPr>
          <w:rFonts w:ascii="Meiryo UI" w:hAnsi="Meiryo UI"/>
          <w:sz w:val="20"/>
        </w:rPr>
        <w:t>直接開発：顧客現場でのヒアリングを製品開発に直結→競合比2〜3年の商品化リード</w:t>
      </w:r>
    </w:p>
    <w:p>
      <w:pPr>
        <w:pStyle w:val="ListNumber"/>
      </w:pPr>
      <w:r>
        <w:rPr>
          <w:rFonts w:ascii="Meiryo UI" w:hAnsi="Meiryo UI"/>
          <w:sz w:val="20"/>
        </w:rPr>
        <w:t>直接販売：代理店なし→製品データが完全内部化・価格決定権を100%保有</w:t>
      </w:r>
    </w:p>
    <w:p>
      <w:pPr>
        <w:pStyle w:val="ListNumber"/>
      </w:pPr>
      <w:r>
        <w:rPr>
          <w:rFonts w:ascii="Meiryo UI" w:hAnsi="Meiryo UI"/>
          <w:sz w:val="20"/>
        </w:rPr>
        <w:t>直接提案：アプリケーションエンジニアが現場でROI提案→高価格を正当化</w:t>
      </w:r>
    </w:p>
    <w:p/>
    <w:p>
      <w:r>
        <w:rPr>
          <w:rFonts w:ascii="Meiryo UI" w:hAnsi="Meiryo UI"/>
          <w:sz w:val="20"/>
        </w:rPr>
        <w:t>この結果、OPMは業界平均の5〜10倍（50%超）を恒常的に達成。</w:t>
      </w:r>
    </w:p>
    <w:p/>
    <w:p>
      <w:r>
        <w:t>──────────────────────────────────────────────────</w:t>
      </w:r>
    </w:p>
    <w:p/>
    <w:p>
      <w:pPr>
        <w:pStyle w:val="Heading2"/>
      </w:pPr>
      <w:r>
        <w:rPr>
          <w:rFonts w:ascii="Meiryo UI" w:hAnsi="Meiryo UI"/>
          <w:color w:val="2E74B5"/>
        </w:rPr>
        <w:t>3. 本日決算詳細（FY26/3期 通期・4Q速報）</w:t>
      </w:r>
    </w:p>
    <w:p/>
    <w:p>
      <w:pPr>
        <w:pStyle w:val="Heading3"/>
      </w:pPr>
      <w:r>
        <w:rPr>
          <w:rFonts w:ascii="Meiryo UI" w:hAnsi="Meiryo UI"/>
          <w:color w:val="2E74B5"/>
        </w:rPr>
        <w:t>通期実績 vs コンセンサス</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指標</w:t>
            </w:r>
          </w:p>
        </w:tc>
        <w:tc>
          <w:tcPr>
            <w:tcW w:type="dxa" w:w="1176"/>
            <w:shd w:val="clear" w:color="auto" w:fill="2E74B5"/>
          </w:tcPr>
          <w:p>
            <w:r>
              <w:rPr>
                <w:rFonts w:ascii="Meiryo UI" w:hAnsi="Meiryo UI"/>
                <w:b/>
                <w:color w:val="FFFFFF"/>
                <w:sz w:val="18"/>
              </w:rPr>
              <w:t>FY25/3実績</w:t>
            </w:r>
          </w:p>
        </w:tc>
        <w:tc>
          <w:tcPr>
            <w:tcW w:type="dxa" w:w="1176"/>
            <w:shd w:val="clear" w:color="auto" w:fill="2E74B5"/>
          </w:tcPr>
          <w:p>
            <w:r>
              <w:rPr>
                <w:rFonts w:ascii="Meiryo UI" w:hAnsi="Meiryo UI"/>
                <w:b/>
                <w:color w:val="FFFFFF"/>
                <w:sz w:val="18"/>
              </w:rPr>
              <w:t>FY26/3実績</w:t>
            </w:r>
          </w:p>
        </w:tc>
        <w:tc>
          <w:tcPr>
            <w:tcW w:type="dxa" w:w="1176"/>
            <w:shd w:val="clear" w:color="auto" w:fill="2E74B5"/>
          </w:tcPr>
          <w:p>
            <w:r>
              <w:rPr>
                <w:rFonts w:ascii="Meiryo UI" w:hAnsi="Meiryo UI"/>
                <w:b/>
                <w:color w:val="FFFFFF"/>
                <w:sz w:val="18"/>
              </w:rPr>
              <w:t>YoY</w:t>
            </w:r>
          </w:p>
        </w:tc>
        <w:tc>
          <w:tcPr>
            <w:tcW w:type="dxa" w:w="1176"/>
            <w:shd w:val="clear" w:color="auto" w:fill="2E74B5"/>
          </w:tcPr>
          <w:p>
            <w:r>
              <w:rPr>
                <w:rFonts w:ascii="Meiryo UI" w:hAnsi="Meiryo UI"/>
                <w:b/>
                <w:color w:val="FFFFFF"/>
                <w:sz w:val="18"/>
              </w:rPr>
              <w:t>QUICK予想</w:t>
            </w:r>
          </w:p>
        </w:tc>
        <w:tc>
          <w:tcPr>
            <w:tcW w:type="dxa" w:w="1176"/>
            <w:shd w:val="clear" w:color="auto" w:fill="2E74B5"/>
          </w:tcPr>
          <w:p>
            <w:r>
              <w:rPr>
                <w:rFonts w:ascii="Meiryo UI" w:hAnsi="Meiryo UI"/>
                <w:b/>
                <w:color w:val="FFFFFF"/>
                <w:sz w:val="18"/>
              </w:rPr>
              <w:t>乖離</w:t>
            </w:r>
          </w:p>
        </w:tc>
        <w:tc>
          <w:tcPr>
            <w:tcW w:type="dxa" w:w="1176"/>
            <w:shd w:val="clear" w:color="auto" w:fill="2E74B5"/>
          </w:tcPr>
          <w:p>
            <w:r>
              <w:rPr>
                <w:rFonts w:ascii="Meiryo UI" w:hAnsi="Meiryo UI"/>
                <w:b/>
                <w:color w:val="FFFFFF"/>
                <w:sz w:val="18"/>
              </w:rPr>
              <w:t>SBI予想</w:t>
            </w:r>
          </w:p>
        </w:tc>
        <w:tc>
          <w:tcPr>
            <w:tcW w:type="dxa" w:w="1176"/>
            <w:shd w:val="clear" w:color="auto" w:fill="2E74B5"/>
          </w:tcPr>
          <w:p>
            <w:r>
              <w:rPr>
                <w:rFonts w:ascii="Meiryo UI" w:hAnsi="Meiryo UI"/>
                <w:b/>
                <w:color w:val="FFFFFF"/>
                <w:sz w:val="18"/>
              </w:rPr>
              <w:t>乖離</w:t>
            </w:r>
          </w:p>
        </w:tc>
      </w:tr>
      <w:tr>
        <w:tc>
          <w:tcPr>
            <w:tcW w:type="dxa" w:w="1176"/>
          </w:tcPr>
          <w:p>
            <w:r>
              <w:rPr>
                <w:rFonts w:ascii="Meiryo UI" w:hAnsi="Meiryo UI"/>
                <w:sz w:val="18"/>
              </w:rPr>
              <w:t>売上高</w:t>
            </w:r>
          </w:p>
        </w:tc>
        <w:tc>
          <w:tcPr>
            <w:tcW w:type="dxa" w:w="1176"/>
          </w:tcPr>
          <w:p>
            <w:r>
              <w:rPr>
                <w:rFonts w:ascii="Meiryo UI" w:hAnsi="Meiryo UI"/>
                <w:sz w:val="18"/>
              </w:rPr>
              <w:t>¥968.7B</w:t>
            </w:r>
          </w:p>
        </w:tc>
        <w:tc>
          <w:tcPr>
            <w:tcW w:type="dxa" w:w="1176"/>
          </w:tcPr>
          <w:p>
            <w:r>
              <w:rPr>
                <w:rFonts w:ascii="Meiryo UI" w:hAnsi="Meiryo UI"/>
                <w:sz w:val="18"/>
              </w:rPr>
              <w:t>¥1,169.3B</w:t>
            </w:r>
          </w:p>
        </w:tc>
        <w:tc>
          <w:tcPr>
            <w:tcW w:type="dxa" w:w="1176"/>
          </w:tcPr>
          <w:p>
            <w:r>
              <w:rPr>
                <w:rFonts w:ascii="Meiryo UI" w:hAnsi="Meiryo UI"/>
                <w:sz w:val="18"/>
              </w:rPr>
              <w:t>+20.7%</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r>
      <w:tr>
        <w:tc>
          <w:tcPr>
            <w:tcW w:type="dxa" w:w="1176"/>
            <w:shd w:val="clear" w:color="auto" w:fill="DDEBF7"/>
          </w:tcPr>
          <w:p>
            <w:r>
              <w:rPr>
                <w:rFonts w:ascii="Meiryo UI" w:hAnsi="Meiryo UI"/>
                <w:sz w:val="18"/>
              </w:rPr>
              <w:t>営業利益</w:t>
            </w:r>
          </w:p>
        </w:tc>
        <w:tc>
          <w:tcPr>
            <w:tcW w:type="dxa" w:w="1176"/>
            <w:shd w:val="clear" w:color="auto" w:fill="DDEBF7"/>
          </w:tcPr>
          <w:p>
            <w:r>
              <w:rPr>
                <w:rFonts w:ascii="Meiryo UI" w:hAnsi="Meiryo UI"/>
                <w:sz w:val="18"/>
              </w:rPr>
              <w:t>¥503.4B</w:t>
            </w:r>
          </w:p>
        </w:tc>
        <w:tc>
          <w:tcPr>
            <w:tcW w:type="dxa" w:w="1176"/>
            <w:shd w:val="clear" w:color="auto" w:fill="DDEBF7"/>
          </w:tcPr>
          <w:p>
            <w:r>
              <w:rPr>
                <w:rFonts w:ascii="Meiryo UI" w:hAnsi="Meiryo UI"/>
                <w:sz w:val="18"/>
              </w:rPr>
              <w:t>¥595.8B</w:t>
            </w:r>
          </w:p>
        </w:tc>
        <w:tc>
          <w:tcPr>
            <w:tcW w:type="dxa" w:w="1176"/>
            <w:shd w:val="clear" w:color="auto" w:fill="DDEBF7"/>
          </w:tcPr>
          <w:p>
            <w:r>
              <w:rPr>
                <w:rFonts w:ascii="Meiryo UI" w:hAnsi="Meiryo UI"/>
                <w:sz w:val="18"/>
              </w:rPr>
              <w:t>+18.3%</w:t>
            </w:r>
          </w:p>
        </w:tc>
        <w:tc>
          <w:tcPr>
            <w:tcW w:type="dxa" w:w="1176"/>
            <w:shd w:val="clear" w:color="auto" w:fill="DDEBF7"/>
          </w:tcPr>
          <w:p>
            <w:r>
              <w:rPr>
                <w:rFonts w:ascii="Meiryo UI" w:hAnsi="Meiryo UI"/>
                <w:sz w:val="18"/>
              </w:rPr>
              <w:t>¥578.9B</w:t>
            </w:r>
          </w:p>
        </w:tc>
        <w:tc>
          <w:tcPr>
            <w:tcW w:type="dxa" w:w="1176"/>
            <w:shd w:val="clear" w:color="auto" w:fill="DDEBF7"/>
          </w:tcPr>
          <w:p>
            <w:r>
              <w:rPr>
                <w:rFonts w:ascii="Meiryo UI" w:hAnsi="Meiryo UI"/>
                <w:sz w:val="18"/>
              </w:rPr>
              <w:t>+¥16.9B ▲</w:t>
            </w:r>
          </w:p>
        </w:tc>
        <w:tc>
          <w:tcPr>
            <w:tcW w:type="dxa" w:w="1176"/>
            <w:shd w:val="clear" w:color="auto" w:fill="DDEBF7"/>
          </w:tcPr>
          <w:p>
            <w:r>
              <w:rPr>
                <w:rFonts w:ascii="Meiryo UI" w:hAnsi="Meiryo UI"/>
                <w:sz w:val="18"/>
              </w:rPr>
              <w:t>¥570.0B</w:t>
            </w:r>
          </w:p>
        </w:tc>
        <w:tc>
          <w:tcPr>
            <w:tcW w:type="dxa" w:w="1176"/>
            <w:shd w:val="clear" w:color="auto" w:fill="DDEBF7"/>
          </w:tcPr>
          <w:p>
            <w:r>
              <w:rPr>
                <w:rFonts w:ascii="Meiryo UI" w:hAnsi="Meiryo UI"/>
                <w:sz w:val="18"/>
              </w:rPr>
              <w:t>+¥25.8B ▲</w:t>
            </w:r>
          </w:p>
        </w:tc>
      </w:tr>
      <w:tr>
        <w:tc>
          <w:tcPr>
            <w:tcW w:type="dxa" w:w="1176"/>
          </w:tcPr>
          <w:p>
            <w:r>
              <w:rPr>
                <w:rFonts w:ascii="Meiryo UI" w:hAnsi="Meiryo UI"/>
                <w:sz w:val="18"/>
              </w:rPr>
              <w:t>OPM</w:t>
            </w:r>
          </w:p>
        </w:tc>
        <w:tc>
          <w:tcPr>
            <w:tcW w:type="dxa" w:w="1176"/>
          </w:tcPr>
          <w:p>
            <w:r>
              <w:rPr>
                <w:rFonts w:ascii="Meiryo UI" w:hAnsi="Meiryo UI"/>
                <w:sz w:val="18"/>
              </w:rPr>
              <w:t>52.0%</w:t>
            </w:r>
          </w:p>
        </w:tc>
        <w:tc>
          <w:tcPr>
            <w:tcW w:type="dxa" w:w="1176"/>
          </w:tcPr>
          <w:p>
            <w:r>
              <w:rPr>
                <w:rFonts w:ascii="Meiryo UI" w:hAnsi="Meiryo UI"/>
                <w:sz w:val="18"/>
              </w:rPr>
              <w:t>51.0%</w:t>
            </w:r>
          </w:p>
        </w:tc>
        <w:tc>
          <w:tcPr>
            <w:tcW w:type="dxa" w:w="1176"/>
          </w:tcPr>
          <w:p>
            <w:r>
              <w:rPr>
                <w:rFonts w:ascii="Meiryo UI" w:hAnsi="Meiryo UI"/>
                <w:sz w:val="18"/>
              </w:rPr>
              <w:t>▲1.0pt</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r>
      <w:tr>
        <w:tc>
          <w:tcPr>
            <w:tcW w:type="dxa" w:w="1176"/>
            <w:shd w:val="clear" w:color="auto" w:fill="DDEBF7"/>
          </w:tcPr>
          <w:p>
            <w:r>
              <w:rPr>
                <w:rFonts w:ascii="Meiryo UI" w:hAnsi="Meiryo UI"/>
                <w:sz w:val="18"/>
              </w:rPr>
              <w:t>純利益</w:t>
            </w:r>
          </w:p>
        </w:tc>
        <w:tc>
          <w:tcPr>
            <w:tcW w:type="dxa" w:w="1176"/>
            <w:shd w:val="clear" w:color="auto" w:fill="DDEBF7"/>
          </w:tcPr>
          <w:p>
            <w:r>
              <w:rPr>
                <w:rFonts w:ascii="Meiryo UI" w:hAnsi="Meiryo UI"/>
                <w:sz w:val="18"/>
              </w:rPr>
              <w:t>¥382.4B</w:t>
            </w:r>
          </w:p>
        </w:tc>
        <w:tc>
          <w:tcPr>
            <w:tcW w:type="dxa" w:w="1176"/>
            <w:shd w:val="clear" w:color="auto" w:fill="DDEBF7"/>
          </w:tcPr>
          <w:p>
            <w:r>
              <w:rPr>
                <w:rFonts w:ascii="Meiryo UI" w:hAnsi="Meiryo UI"/>
                <w:sz w:val="18"/>
              </w:rPr>
              <w:t>¥445.2B</w:t>
            </w:r>
          </w:p>
        </w:tc>
        <w:tc>
          <w:tcPr>
            <w:tcW w:type="dxa" w:w="1176"/>
            <w:shd w:val="clear" w:color="auto" w:fill="DDEBF7"/>
          </w:tcPr>
          <w:p>
            <w:r>
              <w:rPr>
                <w:rFonts w:ascii="Meiryo UI" w:hAnsi="Meiryo UI"/>
                <w:sz w:val="18"/>
              </w:rPr>
              <w:t>+16.4%</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r>
      <w:tr>
        <w:tc>
          <w:tcPr>
            <w:tcW w:type="dxa" w:w="1176"/>
          </w:tcPr>
          <w:p>
            <w:r>
              <w:rPr>
                <w:rFonts w:ascii="Meiryo UI" w:hAnsi="Meiryo UI"/>
                <w:sz w:val="18"/>
              </w:rPr>
              <w:t>DPS</w:t>
            </w:r>
          </w:p>
        </w:tc>
        <w:tc>
          <w:tcPr>
            <w:tcW w:type="dxa" w:w="1176"/>
          </w:tcPr>
          <w:p>
            <w:r>
              <w:rPr>
                <w:rFonts w:ascii="Meiryo UI" w:hAnsi="Meiryo UI"/>
                <w:sz w:val="18"/>
              </w:rPr>
              <w:t>¥550</w:t>
            </w:r>
          </w:p>
        </w:tc>
        <w:tc>
          <w:tcPr>
            <w:tcW w:type="dxa" w:w="1176"/>
          </w:tcPr>
          <w:p>
            <w:r>
              <w:rPr>
                <w:rFonts w:ascii="Meiryo UI" w:hAnsi="Meiryo UI"/>
                <w:sz w:val="18"/>
              </w:rPr>
              <w:t>¥550</w:t>
            </w:r>
          </w:p>
        </w:tc>
        <w:tc>
          <w:tcPr>
            <w:tcW w:type="dxa" w:w="1176"/>
          </w:tcPr>
          <w:p>
            <w:r>
              <w:rPr>
                <w:rFonts w:ascii="Meiryo UI" w:hAnsi="Meiryo UI"/>
                <w:sz w:val="18"/>
              </w:rPr>
              <w:t>横ばい</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r>
    </w:tbl>
    <w:p/>
    <w:p>
      <w:pPr>
        <w:pStyle w:val="Heading3"/>
      </w:pPr>
      <w:r>
        <w:rPr>
          <w:rFonts w:ascii="Meiryo UI" w:hAnsi="Meiryo UI"/>
          <w:color w:val="2E74B5"/>
        </w:rPr>
        <w:t>四半期推移（営業利益）</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四半期</w:t>
            </w:r>
          </w:p>
        </w:tc>
        <w:tc>
          <w:tcPr>
            <w:tcW w:type="dxa" w:w="1568"/>
            <w:shd w:val="clear" w:color="auto" w:fill="2E74B5"/>
          </w:tcPr>
          <w:p>
            <w:r>
              <w:rPr>
                <w:rFonts w:ascii="Meiryo UI" w:hAnsi="Meiryo UI"/>
                <w:b/>
                <w:color w:val="FFFFFF"/>
                <w:sz w:val="18"/>
              </w:rPr>
              <w:t>FY25/3</w:t>
            </w:r>
          </w:p>
        </w:tc>
        <w:tc>
          <w:tcPr>
            <w:tcW w:type="dxa" w:w="1568"/>
            <w:shd w:val="clear" w:color="auto" w:fill="2E74B5"/>
          </w:tcPr>
          <w:p>
            <w:r>
              <w:rPr>
                <w:rFonts w:ascii="Meiryo UI" w:hAnsi="Meiryo UI"/>
                <w:b/>
                <w:color w:val="FFFFFF"/>
                <w:sz w:val="18"/>
              </w:rPr>
              <w:t>FY26/3</w:t>
            </w:r>
          </w:p>
        </w:tc>
        <w:tc>
          <w:tcPr>
            <w:tcW w:type="dxa" w:w="1568"/>
            <w:shd w:val="clear" w:color="auto" w:fill="2E74B5"/>
          </w:tcPr>
          <w:p>
            <w:r>
              <w:rPr>
                <w:rFonts w:ascii="Meiryo UI" w:hAnsi="Meiryo UI"/>
                <w:b/>
                <w:color w:val="FFFFFF"/>
                <w:sz w:val="18"/>
              </w:rPr>
              <w:t>YoY</w:t>
            </w:r>
          </w:p>
        </w:tc>
        <w:tc>
          <w:tcPr>
            <w:tcW w:type="dxa" w:w="1568"/>
            <w:shd w:val="clear" w:color="auto" w:fill="2E74B5"/>
          </w:tcPr>
          <w:p>
            <w:r>
              <w:rPr>
                <w:rFonts w:ascii="Meiryo UI" w:hAnsi="Meiryo UI"/>
                <w:b/>
                <w:color w:val="FFFFFF"/>
                <w:sz w:val="18"/>
              </w:rPr>
              <w:t>QoQ</w:t>
            </w:r>
          </w:p>
        </w:tc>
        <w:tc>
          <w:tcPr>
            <w:tcW w:type="dxa" w:w="1568"/>
            <w:shd w:val="clear" w:color="auto" w:fill="2E74B5"/>
          </w:tcPr>
          <w:p>
            <w:r>
              <w:rPr>
                <w:rFonts w:ascii="Meiryo UI" w:hAnsi="Meiryo UI"/>
                <w:b/>
                <w:color w:val="FFFFFF"/>
                <w:sz w:val="18"/>
              </w:rPr>
              <w:t>OPM</w:t>
            </w:r>
          </w:p>
        </w:tc>
      </w:tr>
      <w:tr>
        <w:tc>
          <w:tcPr>
            <w:tcW w:type="dxa" w:w="1568"/>
          </w:tcPr>
          <w:p>
            <w:r>
              <w:rPr>
                <w:rFonts w:ascii="Meiryo UI" w:hAnsi="Meiryo UI"/>
                <w:sz w:val="18"/>
              </w:rPr>
              <w:t>Q1（4-6月）</w:t>
            </w:r>
          </w:p>
        </w:tc>
        <w:tc>
          <w:tcPr>
            <w:tcW w:type="dxa" w:w="1568"/>
          </w:tcPr>
          <w:p>
            <w:r>
              <w:rPr>
                <w:rFonts w:ascii="Meiryo UI" w:hAnsi="Meiryo UI"/>
                <w:sz w:val="18"/>
              </w:rPr>
              <w:t>¥115.2B</w:t>
            </w:r>
          </w:p>
        </w:tc>
        <w:tc>
          <w:tcPr>
            <w:tcW w:type="dxa" w:w="1568"/>
          </w:tcPr>
          <w:p>
            <w:r>
              <w:rPr>
                <w:rFonts w:ascii="Meiryo UI" w:hAnsi="Meiryo UI"/>
                <w:sz w:val="18"/>
              </w:rPr>
              <w:t>¥134.7B</w:t>
            </w:r>
          </w:p>
        </w:tc>
        <w:tc>
          <w:tcPr>
            <w:tcW w:type="dxa" w:w="1568"/>
          </w:tcPr>
          <w:p>
            <w:r>
              <w:rPr>
                <w:rFonts w:ascii="Meiryo UI" w:hAnsi="Meiryo UI"/>
                <w:sz w:val="18"/>
              </w:rPr>
              <w:t>+16.9%</w:t>
            </w:r>
          </w:p>
        </w:tc>
        <w:tc>
          <w:tcPr>
            <w:tcW w:type="dxa" w:w="1568"/>
          </w:tcPr>
          <w:p>
            <w:r>
              <w:rPr>
                <w:rFonts w:ascii="Meiryo UI" w:hAnsi="Meiryo UI"/>
                <w:sz w:val="18"/>
              </w:rPr>
              <w:t>—</w:t>
            </w:r>
          </w:p>
        </w:tc>
        <w:tc>
          <w:tcPr>
            <w:tcW w:type="dxa" w:w="1568"/>
          </w:tcPr>
          <w:p>
            <w:r>
              <w:rPr>
                <w:rFonts w:ascii="Meiryo UI" w:hAnsi="Meiryo UI"/>
                <w:sz w:val="18"/>
              </w:rPr>
              <w:t>50.1%</w:t>
            </w:r>
          </w:p>
        </w:tc>
      </w:tr>
      <w:tr>
        <w:tc>
          <w:tcPr>
            <w:tcW w:type="dxa" w:w="1568"/>
            <w:shd w:val="clear" w:color="auto" w:fill="DDEBF7"/>
          </w:tcPr>
          <w:p>
            <w:r>
              <w:rPr>
                <w:rFonts w:ascii="Meiryo UI" w:hAnsi="Meiryo UI"/>
                <w:sz w:val="18"/>
              </w:rPr>
              <w:t>Q2（7-9月）</w:t>
            </w:r>
          </w:p>
        </w:tc>
        <w:tc>
          <w:tcPr>
            <w:tcW w:type="dxa" w:w="1568"/>
            <w:shd w:val="clear" w:color="auto" w:fill="DDEBF7"/>
          </w:tcPr>
          <w:p>
            <w:r>
              <w:rPr>
                <w:rFonts w:ascii="Meiryo UI" w:hAnsi="Meiryo UI"/>
                <w:sz w:val="18"/>
              </w:rPr>
              <w:t>¥129.8B</w:t>
            </w:r>
          </w:p>
        </w:tc>
        <w:tc>
          <w:tcPr>
            <w:tcW w:type="dxa" w:w="1568"/>
            <w:shd w:val="clear" w:color="auto" w:fill="DDEBF7"/>
          </w:tcPr>
          <w:p>
            <w:r>
              <w:rPr>
                <w:rFonts w:ascii="Meiryo UI" w:hAnsi="Meiryo UI"/>
                <w:sz w:val="18"/>
              </w:rPr>
              <w:t>¥155.0B</w:t>
            </w:r>
          </w:p>
        </w:tc>
        <w:tc>
          <w:tcPr>
            <w:tcW w:type="dxa" w:w="1568"/>
            <w:shd w:val="clear" w:color="auto" w:fill="DDEBF7"/>
          </w:tcPr>
          <w:p>
            <w:r>
              <w:rPr>
                <w:rFonts w:ascii="Meiryo UI" w:hAnsi="Meiryo UI"/>
                <w:sz w:val="18"/>
              </w:rPr>
              <w:t>+19.4%</w:t>
            </w:r>
          </w:p>
        </w:tc>
        <w:tc>
          <w:tcPr>
            <w:tcW w:type="dxa" w:w="1568"/>
            <w:shd w:val="clear" w:color="auto" w:fill="DDEBF7"/>
          </w:tcPr>
          <w:p>
            <w:r>
              <w:rPr>
                <w:rFonts w:ascii="Meiryo UI" w:hAnsi="Meiryo UI"/>
                <w:sz w:val="18"/>
              </w:rPr>
              <w:t>+15.0%</w:t>
            </w:r>
          </w:p>
        </w:tc>
        <w:tc>
          <w:tcPr>
            <w:tcW w:type="dxa" w:w="1568"/>
            <w:shd w:val="clear" w:color="auto" w:fill="DDEBF7"/>
          </w:tcPr>
          <w:p>
            <w:r>
              <w:rPr>
                <w:rFonts w:ascii="Meiryo UI" w:hAnsi="Meiryo UI"/>
                <w:sz w:val="18"/>
              </w:rPr>
              <w:t>51.5%</w:t>
            </w:r>
          </w:p>
        </w:tc>
      </w:tr>
      <w:tr>
        <w:tc>
          <w:tcPr>
            <w:tcW w:type="dxa" w:w="1568"/>
          </w:tcPr>
          <w:p>
            <w:r>
              <w:rPr>
                <w:rFonts w:ascii="Meiryo UI" w:hAnsi="Meiryo UI"/>
                <w:sz w:val="18"/>
              </w:rPr>
              <w:t>Q3（10-12月）</w:t>
            </w:r>
          </w:p>
        </w:tc>
        <w:tc>
          <w:tcPr>
            <w:tcW w:type="dxa" w:w="1568"/>
          </w:tcPr>
          <w:p>
            <w:r>
              <w:rPr>
                <w:rFonts w:ascii="Meiryo UI" w:hAnsi="Meiryo UI"/>
                <w:sz w:val="18"/>
              </w:rPr>
              <w:t>¥104.9B</w:t>
            </w:r>
          </w:p>
        </w:tc>
        <w:tc>
          <w:tcPr>
            <w:tcW w:type="dxa" w:w="1568"/>
          </w:tcPr>
          <w:p>
            <w:r>
              <w:rPr>
                <w:rFonts w:ascii="Meiryo UI" w:hAnsi="Meiryo UI"/>
                <w:sz w:val="18"/>
              </w:rPr>
              <w:t>¥126.7B</w:t>
            </w:r>
          </w:p>
        </w:tc>
        <w:tc>
          <w:tcPr>
            <w:tcW w:type="dxa" w:w="1568"/>
          </w:tcPr>
          <w:p>
            <w:r>
              <w:rPr>
                <w:rFonts w:ascii="Meiryo UI" w:hAnsi="Meiryo UI"/>
                <w:sz w:val="18"/>
              </w:rPr>
              <w:t>+20.8%</w:t>
            </w:r>
          </w:p>
        </w:tc>
        <w:tc>
          <w:tcPr>
            <w:tcW w:type="dxa" w:w="1568"/>
          </w:tcPr>
          <w:p>
            <w:r>
              <w:rPr>
                <w:rFonts w:ascii="Meiryo UI" w:hAnsi="Meiryo UI"/>
                <w:sz w:val="18"/>
              </w:rPr>
              <w:t>▲18.3%</w:t>
            </w:r>
          </w:p>
        </w:tc>
        <w:tc>
          <w:tcPr>
            <w:tcW w:type="dxa" w:w="1568"/>
          </w:tcPr>
          <w:p>
            <w:r>
              <w:rPr>
                <w:rFonts w:ascii="Meiryo UI" w:hAnsi="Meiryo UI"/>
                <w:sz w:val="18"/>
              </w:rPr>
              <w:t>49.8%</w:t>
            </w:r>
          </w:p>
        </w:tc>
      </w:tr>
      <w:tr>
        <w:tc>
          <w:tcPr>
            <w:tcW w:type="dxa" w:w="1568"/>
            <w:shd w:val="clear" w:color="auto" w:fill="DDEBF7"/>
          </w:tcPr>
          <w:p>
            <w:r>
              <w:rPr>
                <w:rFonts w:ascii="Meiryo UI" w:hAnsi="Meiryo UI"/>
                <w:sz w:val="18"/>
              </w:rPr>
              <w:t>Q4（1-3月）</w:t>
            </w:r>
          </w:p>
        </w:tc>
        <w:tc>
          <w:tcPr>
            <w:tcW w:type="dxa" w:w="1568"/>
            <w:shd w:val="clear" w:color="auto" w:fill="DDEBF7"/>
          </w:tcPr>
          <w:p>
            <w:r>
              <w:rPr>
                <w:rFonts w:ascii="Meiryo UI" w:hAnsi="Meiryo UI"/>
                <w:sz w:val="18"/>
              </w:rPr>
              <w:t>¥153.5B</w:t>
            </w:r>
          </w:p>
        </w:tc>
        <w:tc>
          <w:tcPr>
            <w:tcW w:type="dxa" w:w="1568"/>
            <w:shd w:val="clear" w:color="auto" w:fill="DDEBF7"/>
          </w:tcPr>
          <w:p>
            <w:r>
              <w:rPr>
                <w:rFonts w:ascii="Meiryo UI" w:hAnsi="Meiryo UI"/>
                <w:sz w:val="18"/>
              </w:rPr>
              <w:t>¥179.4B</w:t>
            </w:r>
          </w:p>
        </w:tc>
        <w:tc>
          <w:tcPr>
            <w:tcW w:type="dxa" w:w="1568"/>
            <w:shd w:val="clear" w:color="auto" w:fill="DDEBF7"/>
          </w:tcPr>
          <w:p>
            <w:r>
              <w:rPr>
                <w:rFonts w:ascii="Meiryo UI" w:hAnsi="Meiryo UI"/>
                <w:sz w:val="18"/>
              </w:rPr>
              <w:t>+17.0%</w:t>
            </w:r>
          </w:p>
        </w:tc>
        <w:tc>
          <w:tcPr>
            <w:tcW w:type="dxa" w:w="1568"/>
            <w:shd w:val="clear" w:color="auto" w:fill="DDEBF7"/>
          </w:tcPr>
          <w:p>
            <w:r>
              <w:rPr>
                <w:rFonts w:ascii="Meiryo UI" w:hAnsi="Meiryo UI"/>
                <w:sz w:val="18"/>
              </w:rPr>
              <w:t>+41.6%</w:t>
            </w:r>
          </w:p>
        </w:tc>
        <w:tc>
          <w:tcPr>
            <w:tcW w:type="dxa" w:w="1568"/>
            <w:shd w:val="clear" w:color="auto" w:fill="DDEBF7"/>
          </w:tcPr>
          <w:p>
            <w:r>
              <w:rPr>
                <w:rFonts w:ascii="Meiryo UI" w:hAnsi="Meiryo UI"/>
                <w:sz w:val="18"/>
              </w:rPr>
              <w:t>53.6%</w:t>
            </w:r>
          </w:p>
        </w:tc>
      </w:tr>
    </w:tbl>
    <w:p/>
    <w:p>
      <w:r>
        <w:rPr>
          <w:rFonts w:ascii="Meiryo UI" w:hAnsi="Meiryo UI"/>
          <w:sz w:val="20"/>
        </w:rPr>
        <w:t>&gt; 注: FY25/3四半期値は推計値。Q4 FY26/3は確定値。四半期合計を通期から逆算。</w:t>
      </w:r>
    </w:p>
    <w:p/>
    <w:p>
      <w:pPr>
        <w:pStyle w:val="Heading3"/>
      </w:pPr>
      <w:r>
        <w:rPr>
          <w:rFonts w:ascii="Meiryo UI" w:hAnsi="Meiryo UI"/>
          <w:color w:val="2E74B5"/>
        </w:rPr>
        <w:t>Q4の強さの分解</w:t>
      </w:r>
    </w:p>
    <w:p/>
    <w:p>
      <w:pPr>
        <w:pStyle w:val="ListBullet"/>
      </w:pPr>
      <w:r>
        <w:rPr>
          <w:rFonts w:ascii="Meiryo UI" w:hAnsi="Meiryo UI"/>
          <w:sz w:val="20"/>
        </w:rPr>
        <w:t>売上高増収（FA向け受注回復、欧米設備投資持続）</w:t>
      </w:r>
    </w:p>
    <w:p>
      <w:pPr>
        <w:pStyle w:val="ListBullet"/>
      </w:pPr>
      <w:r>
        <w:rPr>
          <w:rFonts w:ascii="Meiryo UI" w:hAnsi="Meiryo UI"/>
          <w:sz w:val="20"/>
        </w:rPr>
        <w:t>製品ミックス改善（高付加価値品・計測器・マイクロスコープ比率上昇）</w:t>
      </w:r>
    </w:p>
    <w:p>
      <w:pPr>
        <w:pStyle w:val="ListBullet"/>
      </w:pPr>
      <w:r>
        <w:rPr>
          <w:rFonts w:ascii="Meiryo UI" w:hAnsi="Meiryo UI"/>
          <w:sz w:val="20"/>
        </w:rPr>
        <w:t>円安寄与（対EUR・USD）</w:t>
      </w:r>
    </w:p>
    <w:p>
      <w:pPr>
        <w:pStyle w:val="ListBullet"/>
      </w:pPr>
      <w:r>
        <w:rPr>
          <w:rFonts w:ascii="Meiryo UI" w:hAnsi="Meiryo UI"/>
          <w:sz w:val="20"/>
        </w:rPr>
        <w:t>固定費吸収率向上（売上拡大でレバレッジ効果）</w:t>
      </w:r>
    </w:p>
    <w:p/>
    <w:p>
      <w:r>
        <w:t>──────────────────────────────────────────────────</w:t>
      </w:r>
    </w:p>
    <w:p/>
    <w:p>
      <w:pPr>
        <w:pStyle w:val="Heading2"/>
      </w:pPr>
      <w:r>
        <w:rPr>
          <w:rFonts w:ascii="Meiryo UI" w:hAnsi="Meiryo UI"/>
          <w:color w:val="2E74B5"/>
        </w:rPr>
        <w:t>4. FY27/3期 ガイダンス考察</w:t>
      </w:r>
    </w:p>
    <w:p/>
    <w:p>
      <w:pPr>
        <w:pStyle w:val="Heading3"/>
      </w:pPr>
      <w:r>
        <w:rPr>
          <w:rFonts w:ascii="Meiryo UI" w:hAnsi="Meiryo UI"/>
          <w:color w:val="2E74B5"/>
        </w:rPr>
        <w:t>会社スタンス</w:t>
      </w:r>
    </w:p>
    <w:p>
      <w:r>
        <w:rPr>
          <w:rFonts w:ascii="Meiryo UI" w:hAnsi="Meiryo UI"/>
          <w:sz w:val="20"/>
        </w:rPr>
        <w:t>キーエンスは例年通期ガイダンスを非開示。これは積極的な「保守主義」でも隠蔽でもなく、需要可視性の低さを正直に反映した方針。アナリストは独自に積み上げる必要がある。</w:t>
      </w:r>
    </w:p>
    <w:p/>
    <w:p>
      <w:pPr>
        <w:pStyle w:val="Heading3"/>
      </w:pPr>
      <w:r>
        <w:rPr>
          <w:rFonts w:ascii="Meiryo UI" w:hAnsi="Meiryo UI"/>
          <w:color w:val="2E74B5"/>
        </w:rPr>
        <w:t>深井推計（FY27/3期）</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FY26/3実績</w:t>
            </w:r>
          </w:p>
        </w:tc>
        <w:tc>
          <w:tcPr>
            <w:tcW w:type="dxa" w:w="1881"/>
            <w:shd w:val="clear" w:color="auto" w:fill="2E74B5"/>
          </w:tcPr>
          <w:p>
            <w:r>
              <w:rPr>
                <w:rFonts w:ascii="Meiryo UI" w:hAnsi="Meiryo UI"/>
                <w:b/>
                <w:color w:val="FFFFFF"/>
                <w:sz w:val="18"/>
              </w:rPr>
              <w:t>FY27/3E（ベース）</w:t>
            </w:r>
          </w:p>
        </w:tc>
        <w:tc>
          <w:tcPr>
            <w:tcW w:type="dxa" w:w="1881"/>
            <w:shd w:val="clear" w:color="auto" w:fill="2E74B5"/>
          </w:tcPr>
          <w:p>
            <w:r>
              <w:rPr>
                <w:rFonts w:ascii="Meiryo UI" w:hAnsi="Meiryo UI"/>
                <w:b/>
                <w:color w:val="FFFFFF"/>
                <w:sz w:val="18"/>
              </w:rPr>
              <w:t>FY27/3E（ブル）</w:t>
            </w:r>
          </w:p>
        </w:tc>
        <w:tc>
          <w:tcPr>
            <w:tcW w:type="dxa" w:w="1881"/>
            <w:shd w:val="clear" w:color="auto" w:fill="2E74B5"/>
          </w:tcPr>
          <w:p>
            <w:r>
              <w:rPr>
                <w:rFonts w:ascii="Meiryo UI" w:hAnsi="Meiryo UI"/>
                <w:b/>
                <w:color w:val="FFFFFF"/>
                <w:sz w:val="18"/>
              </w:rPr>
              <w:t>FY27/3E（ベア）</w:t>
            </w:r>
          </w:p>
        </w:tc>
      </w:tr>
      <w:tr>
        <w:tc>
          <w:tcPr>
            <w:tcW w:type="dxa" w:w="1881"/>
          </w:tcPr>
          <w:p>
            <w:r>
              <w:rPr>
                <w:rFonts w:ascii="Meiryo UI" w:hAnsi="Meiryo UI"/>
                <w:sz w:val="18"/>
              </w:rPr>
              <w:t>売上高</w:t>
            </w:r>
          </w:p>
        </w:tc>
        <w:tc>
          <w:tcPr>
            <w:tcW w:type="dxa" w:w="1881"/>
          </w:tcPr>
          <w:p>
            <w:r>
              <w:rPr>
                <w:rFonts w:ascii="Meiryo UI" w:hAnsi="Meiryo UI"/>
                <w:sz w:val="18"/>
              </w:rPr>
              <w:t>¥1,169.3B</w:t>
            </w:r>
          </w:p>
        </w:tc>
        <w:tc>
          <w:tcPr>
            <w:tcW w:type="dxa" w:w="1881"/>
          </w:tcPr>
          <w:p>
            <w:r>
              <w:rPr>
                <w:rFonts w:ascii="Meiryo UI" w:hAnsi="Meiryo UI"/>
                <w:sz w:val="18"/>
              </w:rPr>
              <w:t>¥1,255B (+7.3%)</w:t>
            </w:r>
          </w:p>
        </w:tc>
        <w:tc>
          <w:tcPr>
            <w:tcW w:type="dxa" w:w="1881"/>
          </w:tcPr>
          <w:p>
            <w:r>
              <w:rPr>
                <w:rFonts w:ascii="Meiryo UI" w:hAnsi="Meiryo UI"/>
                <w:sz w:val="18"/>
              </w:rPr>
              <w:t>¥1,310B (+12.0%)</w:t>
            </w:r>
          </w:p>
        </w:tc>
        <w:tc>
          <w:tcPr>
            <w:tcW w:type="dxa" w:w="1881"/>
          </w:tcPr>
          <w:p>
            <w:r>
              <w:rPr>
                <w:rFonts w:ascii="Meiryo UI" w:hAnsi="Meiryo UI"/>
                <w:sz w:val="18"/>
              </w:rPr>
              <w:t>¥1,110B (▲5.1%)</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¥595.8B</w:t>
            </w:r>
          </w:p>
        </w:tc>
        <w:tc>
          <w:tcPr>
            <w:tcW w:type="dxa" w:w="1881"/>
            <w:shd w:val="clear" w:color="auto" w:fill="DDEBF7"/>
          </w:tcPr>
          <w:p>
            <w:r>
              <w:rPr>
                <w:rFonts w:ascii="Meiryo UI" w:hAnsi="Meiryo UI"/>
                <w:sz w:val="18"/>
              </w:rPr>
              <w:t>¥639B (+7.2%)</w:t>
            </w:r>
          </w:p>
        </w:tc>
        <w:tc>
          <w:tcPr>
            <w:tcW w:type="dxa" w:w="1881"/>
            <w:shd w:val="clear" w:color="auto" w:fill="DDEBF7"/>
          </w:tcPr>
          <w:p>
            <w:r>
              <w:rPr>
                <w:rFonts w:ascii="Meiryo UI" w:hAnsi="Meiryo UI"/>
                <w:sz w:val="18"/>
              </w:rPr>
              <w:t>¥695B (+16.7%)</w:t>
            </w:r>
          </w:p>
        </w:tc>
        <w:tc>
          <w:tcPr>
            <w:tcW w:type="dxa" w:w="1881"/>
            <w:shd w:val="clear" w:color="auto" w:fill="DDEBF7"/>
          </w:tcPr>
          <w:p>
            <w:r>
              <w:rPr>
                <w:rFonts w:ascii="Meiryo UI" w:hAnsi="Meiryo UI"/>
                <w:sz w:val="18"/>
              </w:rPr>
              <w:t>¥485B (▲18.6%)</w:t>
            </w:r>
          </w:p>
        </w:tc>
      </w:tr>
      <w:tr>
        <w:tc>
          <w:tcPr>
            <w:tcW w:type="dxa" w:w="1881"/>
          </w:tcPr>
          <w:p>
            <w:r>
              <w:rPr>
                <w:rFonts w:ascii="Meiryo UI" w:hAnsi="Meiryo UI"/>
                <w:sz w:val="18"/>
              </w:rPr>
              <w:t>OPM</w:t>
            </w:r>
          </w:p>
        </w:tc>
        <w:tc>
          <w:tcPr>
            <w:tcW w:type="dxa" w:w="1881"/>
          </w:tcPr>
          <w:p>
            <w:r>
              <w:rPr>
                <w:rFonts w:ascii="Meiryo UI" w:hAnsi="Meiryo UI"/>
                <w:sz w:val="18"/>
              </w:rPr>
              <w:t>51.0%</w:t>
            </w:r>
          </w:p>
        </w:tc>
        <w:tc>
          <w:tcPr>
            <w:tcW w:type="dxa" w:w="1881"/>
          </w:tcPr>
          <w:p>
            <w:r>
              <w:rPr>
                <w:rFonts w:ascii="Meiryo UI" w:hAnsi="Meiryo UI"/>
                <w:sz w:val="18"/>
              </w:rPr>
              <w:t>50.9%</w:t>
            </w:r>
          </w:p>
        </w:tc>
        <w:tc>
          <w:tcPr>
            <w:tcW w:type="dxa" w:w="1881"/>
          </w:tcPr>
          <w:p>
            <w:r>
              <w:rPr>
                <w:rFonts w:ascii="Meiryo UI" w:hAnsi="Meiryo UI"/>
                <w:sz w:val="18"/>
              </w:rPr>
              <w:t>53.1%</w:t>
            </w:r>
          </w:p>
        </w:tc>
        <w:tc>
          <w:tcPr>
            <w:tcW w:type="dxa" w:w="1881"/>
          </w:tcPr>
          <w:p>
            <w:r>
              <w:rPr>
                <w:rFonts w:ascii="Meiryo UI" w:hAnsi="Meiryo UI"/>
                <w:sz w:val="18"/>
              </w:rPr>
              <w:t>43.7%</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¥445.2B</w:t>
            </w:r>
          </w:p>
        </w:tc>
        <w:tc>
          <w:tcPr>
            <w:tcW w:type="dxa" w:w="1881"/>
            <w:shd w:val="clear" w:color="auto" w:fill="DDEBF7"/>
          </w:tcPr>
          <w:p>
            <w:r>
              <w:rPr>
                <w:rFonts w:ascii="Meiryo UI" w:hAnsi="Meiryo UI"/>
                <w:sz w:val="18"/>
              </w:rPr>
              <w:t>¥478B (+7.4%)</w:t>
            </w:r>
          </w:p>
        </w:tc>
        <w:tc>
          <w:tcPr>
            <w:tcW w:type="dxa" w:w="1881"/>
            <w:shd w:val="clear" w:color="auto" w:fill="DDEBF7"/>
          </w:tcPr>
          <w:p>
            <w:r>
              <w:rPr>
                <w:rFonts w:ascii="Meiryo UI" w:hAnsi="Meiryo UI"/>
                <w:sz w:val="18"/>
              </w:rPr>
              <w:t>¥520B (+16.8%)</w:t>
            </w:r>
          </w:p>
        </w:tc>
        <w:tc>
          <w:tcPr>
            <w:tcW w:type="dxa" w:w="1881"/>
            <w:shd w:val="clear" w:color="auto" w:fill="DDEBF7"/>
          </w:tcPr>
          <w:p>
            <w:r>
              <w:rPr>
                <w:rFonts w:ascii="Meiryo UI" w:hAnsi="Meiryo UI"/>
                <w:sz w:val="18"/>
              </w:rPr>
              <w:t>¥363B (▲18.5%)</w:t>
            </w:r>
          </w:p>
        </w:tc>
      </w:tr>
      <w:tr>
        <w:tc>
          <w:tcPr>
            <w:tcW w:type="dxa" w:w="1881"/>
          </w:tcPr>
          <w:p>
            <w:r>
              <w:rPr>
                <w:rFonts w:ascii="Meiryo UI" w:hAnsi="Meiryo UI"/>
                <w:sz w:val="18"/>
              </w:rPr>
              <w:t>EPS</w:t>
            </w:r>
          </w:p>
        </w:tc>
        <w:tc>
          <w:tcPr>
            <w:tcW w:type="dxa" w:w="1881"/>
          </w:tcPr>
          <w:p>
            <w:r>
              <w:rPr>
                <w:rFonts w:ascii="Meiryo UI" w:hAnsi="Meiryo UI"/>
                <w:sz w:val="18"/>
              </w:rPr>
              <w:t>¥1,840</w:t>
            </w:r>
          </w:p>
        </w:tc>
        <w:tc>
          <w:tcPr>
            <w:tcW w:type="dxa" w:w="1881"/>
          </w:tcPr>
          <w:p>
            <w:r>
              <w:rPr>
                <w:rFonts w:ascii="Meiryo UI" w:hAnsi="Meiryo UI"/>
                <w:sz w:val="18"/>
              </w:rPr>
              <w:t>¥1,975</w:t>
            </w:r>
          </w:p>
        </w:tc>
        <w:tc>
          <w:tcPr>
            <w:tcW w:type="dxa" w:w="1881"/>
          </w:tcPr>
          <w:p>
            <w:r>
              <w:rPr>
                <w:rFonts w:ascii="Meiryo UI" w:hAnsi="Meiryo UI"/>
                <w:sz w:val="18"/>
              </w:rPr>
              <w:t>¥2,148</w:t>
            </w:r>
          </w:p>
        </w:tc>
        <w:tc>
          <w:tcPr>
            <w:tcW w:type="dxa" w:w="1881"/>
          </w:tcPr>
          <w:p>
            <w:r>
              <w:rPr>
                <w:rFonts w:ascii="Meiryo UI" w:hAnsi="Meiryo UI"/>
                <w:sz w:val="18"/>
              </w:rPr>
              <w:t>¥1,500</w:t>
            </w:r>
          </w:p>
        </w:tc>
      </w:tr>
    </w:tbl>
    <w:p/>
    <w:p>
      <w:r>
        <w:rPr>
          <w:rFonts w:ascii="Meiryo UI" w:hAnsi="Meiryo UI"/>
          <w:sz w:val="20"/>
        </w:rPr>
        <w:t>Rationale（ベース）:</w:t>
      </w:r>
    </w:p>
    <w:p>
      <w:pPr>
        <w:pStyle w:val="ListBullet"/>
      </w:pPr>
      <w:r>
        <w:rPr>
          <w:rFonts w:ascii="Meiryo UI" w:hAnsi="Meiryo UI"/>
          <w:sz w:val="20"/>
        </w:rPr>
        <w:t>売上: 欧米設備投資サイクル継続(+5%)×中国小幅回復(+3%)×新製品貢献(+2%) → 合計+7〜8%</w:t>
      </w:r>
    </w:p>
    <w:p>
      <w:pPr>
        <w:pStyle w:val="ListBullet"/>
      </w:pPr>
      <w:r>
        <w:rPr>
          <w:rFonts w:ascii="Meiryo UI" w:hAnsi="Meiryo UI"/>
          <w:sz w:val="20"/>
        </w:rPr>
        <w:t>OPM: 直販比率維持×製品ミックス好転で51%前後を維持。人件費増は増収でほぼ吸収</w:t>
      </w:r>
    </w:p>
    <w:p>
      <w:pPr>
        <w:pStyle w:val="ListBullet"/>
      </w:pPr>
      <w:r>
        <w:rPr>
          <w:rFonts w:ascii="Meiryo UI" w:hAnsi="Meiryo UI"/>
          <w:sz w:val="20"/>
        </w:rPr>
        <w:t>EPS: NP margin≒NP/OP比率74.7%継続と仮定</w:t>
      </w:r>
    </w:p>
    <w:p/>
    <w:p>
      <w:pPr>
        <w:pStyle w:val="Heading3"/>
      </w:pPr>
      <w:r>
        <w:rPr>
          <w:rFonts w:ascii="Meiryo UI" w:hAnsi="Meiryo UI"/>
          <w:color w:val="2E74B5"/>
        </w:rPr>
        <w:t>SBI野口AN TP ¥75,000の整合性</w:t>
      </w:r>
    </w:p>
    <w:p/>
    <w:p>
      <w:r>
        <w:rPr>
          <w:rFonts w:ascii="Meiryo UI" w:hAnsi="Meiryo UI"/>
          <w:sz w:val="20"/>
        </w:rPr>
        <w:t>SBI推計 FY27/3E EPS ≈ ¥2,000 × P/E 37.5x = ¥75,000 と推察。</w:t>
      </w:r>
    </w:p>
    <w:p>
      <w:r>
        <w:rPr>
          <w:rFonts w:ascii="Meiryo UI" w:hAnsi="Meiryo UI"/>
          <w:sz w:val="20"/>
        </w:rPr>
        <w:t>深井ベースEPS ¥1,975 × P/E 36x = ¥71,100 → 整合性あり（保守的差異のみ）。</w:t>
      </w:r>
    </w:p>
    <w:p/>
    <w:p>
      <w:r>
        <w:t>──────────────────────────────────────────────────</w:t>
      </w:r>
    </w:p>
    <w:p/>
    <w:p>
      <w:pPr>
        <w:pStyle w:val="Heading2"/>
      </w:pPr>
      <w:r>
        <w:rPr>
          <w:rFonts w:ascii="Meiryo UI" w:hAnsi="Meiryo UI"/>
          <w:color w:val="2E74B5"/>
        </w:rPr>
        <w:t>5. バリュエーション</w:t>
      </w:r>
    </w:p>
    <w:p/>
    <w:p>
      <w:pPr>
        <w:pStyle w:val="Heading3"/>
      </w:pPr>
      <w:r>
        <w:rPr>
          <w:rFonts w:ascii="Meiryo UI" w:hAnsi="Meiryo UI"/>
          <w:color w:val="2E74B5"/>
        </w:rPr>
        <w:t>FV算出（DCF + P/E クロスチェック）</w:t>
      </w:r>
    </w:p>
    <w:p/>
    <w:p>
      <w:r>
        <w:rPr>
          <w:rFonts w:ascii="Meiryo UI" w:hAnsi="Meiryo UI"/>
          <w:sz w:val="20"/>
        </w:rPr>
        <w:t>P/Eアプローチ（メイン）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FY27/3E EPS</w:t>
            </w:r>
          </w:p>
        </w:tc>
        <w:tc>
          <w:tcPr>
            <w:tcW w:type="dxa" w:w="1881"/>
            <w:shd w:val="clear" w:color="auto" w:fill="2E74B5"/>
          </w:tcPr>
          <w:p>
            <w:r>
              <w:rPr>
                <w:rFonts w:ascii="Meiryo UI" w:hAnsi="Meiryo UI"/>
                <w:b/>
                <w:color w:val="FFFFFF"/>
                <w:sz w:val="18"/>
              </w:rPr>
              <w:t>目標P/E</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現値比</w:t>
            </w:r>
          </w:p>
        </w:tc>
      </w:tr>
      <w:tr>
        <w:tc>
          <w:tcPr>
            <w:tcW w:type="dxa" w:w="1881"/>
          </w:tcPr>
          <w:p>
            <w:r>
              <w:rPr>
                <w:rFonts w:ascii="Meiryo UI" w:hAnsi="Meiryo UI"/>
                <w:sz w:val="18"/>
              </w:rPr>
              <w:t>ベース</w:t>
            </w:r>
          </w:p>
        </w:tc>
        <w:tc>
          <w:tcPr>
            <w:tcW w:type="dxa" w:w="1881"/>
          </w:tcPr>
          <w:p>
            <w:r>
              <w:rPr>
                <w:rFonts w:ascii="Meiryo UI" w:hAnsi="Meiryo UI"/>
                <w:sz w:val="18"/>
              </w:rPr>
              <w:t>¥1,975</w:t>
            </w:r>
          </w:p>
        </w:tc>
        <w:tc>
          <w:tcPr>
            <w:tcW w:type="dxa" w:w="1881"/>
          </w:tcPr>
          <w:p>
            <w:r>
              <w:rPr>
                <w:rFonts w:ascii="Meiryo UI" w:hAnsi="Meiryo UI"/>
                <w:sz w:val="18"/>
              </w:rPr>
              <w:t>36x</w:t>
            </w:r>
          </w:p>
        </w:tc>
        <w:tc>
          <w:tcPr>
            <w:tcW w:type="dxa" w:w="1881"/>
          </w:tcPr>
          <w:p>
            <w:r>
              <w:rPr>
                <w:rFonts w:ascii="Meiryo UI" w:hAnsi="Meiryo UI"/>
                <w:sz w:val="18"/>
              </w:rPr>
              <w:t>¥71,100</w:t>
            </w:r>
          </w:p>
        </w:tc>
        <w:tc>
          <w:tcPr>
            <w:tcW w:type="dxa" w:w="1881"/>
          </w:tcPr>
          <w:p>
            <w:r>
              <w:rPr>
                <w:rFonts w:ascii="Meiryo UI" w:hAnsi="Meiryo UI"/>
                <w:sz w:val="18"/>
              </w:rPr>
              <w:t>+約7%</w:t>
            </w:r>
          </w:p>
        </w:tc>
      </w:tr>
      <w:tr>
        <w:tc>
          <w:tcPr>
            <w:tcW w:type="dxa" w:w="1881"/>
            <w:shd w:val="clear" w:color="auto" w:fill="DDEBF7"/>
          </w:tcPr>
          <w:p>
            <w:r>
              <w:rPr>
                <w:rFonts w:ascii="Meiryo UI" w:hAnsi="Meiryo UI"/>
                <w:sz w:val="18"/>
              </w:rPr>
              <w:t>ブル</w:t>
            </w:r>
          </w:p>
        </w:tc>
        <w:tc>
          <w:tcPr>
            <w:tcW w:type="dxa" w:w="1881"/>
            <w:shd w:val="clear" w:color="auto" w:fill="DDEBF7"/>
          </w:tcPr>
          <w:p>
            <w:r>
              <w:rPr>
                <w:rFonts w:ascii="Meiryo UI" w:hAnsi="Meiryo UI"/>
                <w:sz w:val="18"/>
              </w:rPr>
              <w:t>¥2,148</w:t>
            </w:r>
          </w:p>
        </w:tc>
        <w:tc>
          <w:tcPr>
            <w:tcW w:type="dxa" w:w="1881"/>
            <w:shd w:val="clear" w:color="auto" w:fill="DDEBF7"/>
          </w:tcPr>
          <w:p>
            <w:r>
              <w:rPr>
                <w:rFonts w:ascii="Meiryo UI" w:hAnsi="Meiryo UI"/>
                <w:sz w:val="18"/>
              </w:rPr>
              <w:t>42x</w:t>
            </w:r>
          </w:p>
        </w:tc>
        <w:tc>
          <w:tcPr>
            <w:tcW w:type="dxa" w:w="1881"/>
            <w:shd w:val="clear" w:color="auto" w:fill="DDEBF7"/>
          </w:tcPr>
          <w:p>
            <w:r>
              <w:rPr>
                <w:rFonts w:ascii="Meiryo UI" w:hAnsi="Meiryo UI"/>
                <w:sz w:val="18"/>
              </w:rPr>
              <w:t>¥90,200</w:t>
            </w:r>
          </w:p>
        </w:tc>
        <w:tc>
          <w:tcPr>
            <w:tcW w:type="dxa" w:w="1881"/>
            <w:shd w:val="clear" w:color="auto" w:fill="DDEBF7"/>
          </w:tcPr>
          <w:p>
            <w:r>
              <w:rPr>
                <w:rFonts w:ascii="Meiryo UI" w:hAnsi="Meiryo UI"/>
                <w:sz w:val="18"/>
              </w:rPr>
              <w:t>+約36%</w:t>
            </w:r>
          </w:p>
        </w:tc>
      </w:tr>
      <w:tr>
        <w:tc>
          <w:tcPr>
            <w:tcW w:type="dxa" w:w="1881"/>
          </w:tcPr>
          <w:p>
            <w:r>
              <w:rPr>
                <w:rFonts w:ascii="Meiryo UI" w:hAnsi="Meiryo UI"/>
                <w:sz w:val="18"/>
              </w:rPr>
              <w:t>ベア</w:t>
            </w:r>
          </w:p>
        </w:tc>
        <w:tc>
          <w:tcPr>
            <w:tcW w:type="dxa" w:w="1881"/>
          </w:tcPr>
          <w:p>
            <w:r>
              <w:rPr>
                <w:rFonts w:ascii="Meiryo UI" w:hAnsi="Meiryo UI"/>
                <w:sz w:val="18"/>
              </w:rPr>
              <w:t>¥1,500</w:t>
            </w:r>
          </w:p>
        </w:tc>
        <w:tc>
          <w:tcPr>
            <w:tcW w:type="dxa" w:w="1881"/>
          </w:tcPr>
          <w:p>
            <w:r>
              <w:rPr>
                <w:rFonts w:ascii="Meiryo UI" w:hAnsi="Meiryo UI"/>
                <w:sz w:val="18"/>
              </w:rPr>
              <w:t>30x</w:t>
            </w:r>
          </w:p>
        </w:tc>
        <w:tc>
          <w:tcPr>
            <w:tcW w:type="dxa" w:w="1881"/>
          </w:tcPr>
          <w:p>
            <w:r>
              <w:rPr>
                <w:rFonts w:ascii="Meiryo UI" w:hAnsi="Meiryo UI"/>
                <w:sz w:val="18"/>
              </w:rPr>
              <w:t>¥45,000</w:t>
            </w:r>
          </w:p>
        </w:tc>
        <w:tc>
          <w:tcPr>
            <w:tcW w:type="dxa" w:w="1881"/>
          </w:tcPr>
          <w:p>
            <w:r>
              <w:rPr>
                <w:rFonts w:ascii="Meiryo UI" w:hAnsi="Meiryo UI"/>
                <w:sz w:val="18"/>
              </w:rPr>
              <w:t>▲約32%</w:t>
            </w:r>
          </w:p>
        </w:tc>
      </w:tr>
    </w:tbl>
    <w:p/>
    <w:p>
      <w:r>
        <w:rPr>
          <w:rFonts w:ascii="Meiryo UI" w:hAnsi="Meiryo UI"/>
          <w:sz w:val="20"/>
        </w:rPr>
        <w:t>目標P/E根拠:</w:t>
      </w:r>
    </w:p>
    <w:p>
      <w:pPr>
        <w:pStyle w:val="ListBullet"/>
      </w:pPr>
      <w:r>
        <w:rPr>
          <w:rFonts w:ascii="Meiryo UI" w:hAnsi="Meiryo UI"/>
          <w:sz w:val="20"/>
        </w:rPr>
        <w:t>過去5年レンジ: 30〜65x（平均38x前後）</w:t>
      </w:r>
    </w:p>
    <w:p>
      <w:pPr>
        <w:pStyle w:val="ListBullet"/>
      </w:pPr>
      <w:r>
        <w:rPr>
          <w:rFonts w:ascii="Meiryo UI" w:hAnsi="Meiryo UI"/>
          <w:sz w:val="20"/>
        </w:rPr>
        <w:t>ベース36x：現在のマクロ環境（金利上昇局面）を踏まえたやや保守的水準</w:t>
      </w:r>
    </w:p>
    <w:p>
      <w:pPr>
        <w:pStyle w:val="ListBullet"/>
      </w:pPr>
      <w:r>
        <w:rPr>
          <w:rFonts w:ascii="Meiryo UI" w:hAnsi="Meiryo UI"/>
          <w:sz w:val="20"/>
        </w:rPr>
        <w:t>ブル42x：中国回復+自社株買い発表時のリレーティング</w:t>
      </w:r>
    </w:p>
    <w:p>
      <w:pPr>
        <w:pStyle w:val="ListBullet"/>
      </w:pPr>
      <w:r>
        <w:rPr>
          <w:rFonts w:ascii="Meiryo UI" w:hAnsi="Meiryo UI"/>
          <w:sz w:val="20"/>
        </w:rPr>
        <w:t>ベア30x：中国・欧米同時鈍化。歴史的下限に近い水準</w:t>
      </w:r>
    </w:p>
    <w:p/>
    <w:p>
      <w:r>
        <w:rPr>
          <w:rFonts w:ascii="Meiryo UI" w:hAnsi="Meiryo UI"/>
          <w:sz w:val="20"/>
        </w:rPr>
        <w:t>EV/EBIT クロスチェック（ベース）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時価総額（現値¥63,180 × 242M株）</w:t>
            </w:r>
          </w:p>
        </w:tc>
        <w:tc>
          <w:tcPr>
            <w:tcW w:type="dxa" w:w="4703"/>
          </w:tcPr>
          <w:p>
            <w:r>
              <w:rPr>
                <w:rFonts w:ascii="Meiryo UI" w:hAnsi="Meiryo UI"/>
                <w:sz w:val="18"/>
              </w:rPr>
              <w:t>¥15,290B</w:t>
            </w:r>
          </w:p>
        </w:tc>
      </w:tr>
      <w:tr>
        <w:tc>
          <w:tcPr>
            <w:tcW w:type="dxa" w:w="4703"/>
            <w:shd w:val="clear" w:color="auto" w:fill="DDEBF7"/>
          </w:tcPr>
          <w:p>
            <w:r>
              <w:rPr>
                <w:rFonts w:ascii="Meiryo UI" w:hAnsi="Meiryo UI"/>
                <w:sz w:val="18"/>
              </w:rPr>
              <w:t>純現預金・有価証券（推計）</w:t>
            </w:r>
          </w:p>
        </w:tc>
        <w:tc>
          <w:tcPr>
            <w:tcW w:type="dxa" w:w="4703"/>
            <w:shd w:val="clear" w:color="auto" w:fill="DDEBF7"/>
          </w:tcPr>
          <w:p>
            <w:r>
              <w:rPr>
                <w:rFonts w:ascii="Meiryo UI" w:hAnsi="Meiryo UI"/>
                <w:sz w:val="18"/>
              </w:rPr>
              <w:t>¥1,800B</w:t>
            </w:r>
          </w:p>
        </w:tc>
      </w:tr>
      <w:tr>
        <w:tc>
          <w:tcPr>
            <w:tcW w:type="dxa" w:w="4703"/>
          </w:tcPr>
          <w:p>
            <w:r>
              <w:rPr>
                <w:rFonts w:ascii="Meiryo UI" w:hAnsi="Meiryo UI"/>
                <w:sz w:val="18"/>
              </w:rPr>
              <w:t>EV</w:t>
            </w:r>
          </w:p>
        </w:tc>
        <w:tc>
          <w:tcPr>
            <w:tcW w:type="dxa" w:w="4703"/>
          </w:tcPr>
          <w:p>
            <w:r>
              <w:rPr>
                <w:rFonts w:ascii="Meiryo UI" w:hAnsi="Meiryo UI"/>
                <w:sz w:val="18"/>
              </w:rPr>
              <w:t>¥13,490B</w:t>
            </w:r>
          </w:p>
        </w:tc>
      </w:tr>
      <w:tr>
        <w:tc>
          <w:tcPr>
            <w:tcW w:type="dxa" w:w="4703"/>
            <w:shd w:val="clear" w:color="auto" w:fill="DDEBF7"/>
          </w:tcPr>
          <w:p>
            <w:r>
              <w:rPr>
                <w:rFonts w:ascii="Meiryo UI" w:hAnsi="Meiryo UI"/>
                <w:sz w:val="18"/>
              </w:rPr>
              <w:t>FY27/3E EBIT</w:t>
            </w:r>
          </w:p>
        </w:tc>
        <w:tc>
          <w:tcPr>
            <w:tcW w:type="dxa" w:w="4703"/>
            <w:shd w:val="clear" w:color="auto" w:fill="DDEBF7"/>
          </w:tcPr>
          <w:p>
            <w:r>
              <w:rPr>
                <w:rFonts w:ascii="Meiryo UI" w:hAnsi="Meiryo UI"/>
                <w:sz w:val="18"/>
              </w:rPr>
              <w:t>¥639B</w:t>
            </w:r>
          </w:p>
        </w:tc>
      </w:tr>
      <w:tr>
        <w:tc>
          <w:tcPr>
            <w:tcW w:type="dxa" w:w="4703"/>
          </w:tcPr>
          <w:p>
            <w:r>
              <w:rPr>
                <w:rFonts w:ascii="Meiryo UI" w:hAnsi="Meiryo UI"/>
                <w:sz w:val="18"/>
              </w:rPr>
              <w:t>EV/EBIT</w:t>
            </w:r>
          </w:p>
        </w:tc>
        <w:tc>
          <w:tcPr>
            <w:tcW w:type="dxa" w:w="4703"/>
          </w:tcPr>
          <w:p>
            <w:r>
              <w:rPr>
                <w:rFonts w:ascii="Meiryo UI" w:hAnsi="Meiryo UI"/>
                <w:sz w:val="18"/>
              </w:rPr>
              <w:t>21.1x</w:t>
            </w:r>
          </w:p>
        </w:tc>
      </w:tr>
    </w:tbl>
    <w:p/>
    <w:p>
      <w:r>
        <w:rPr>
          <w:rFonts w:ascii="Meiryo UI" w:hAnsi="Meiryo UI"/>
          <w:sz w:val="20"/>
        </w:rPr>
        <w:t>EV/EBIT 22x はFA業界のプレミアム企業として妥当（SICK: 15x、Cognex: 25x参考）。</w:t>
      </w:r>
    </w:p>
    <w:p/>
    <w:p>
      <w:r>
        <w:t>──────────────────────────────────────────────────</w:t>
      </w:r>
    </w:p>
    <w:p/>
    <w:p>
      <w:pPr>
        <w:pStyle w:val="Heading2"/>
      </w:pPr>
      <w:r>
        <w:rPr>
          <w:rFonts w:ascii="Meiryo UI" w:hAnsi="Meiryo UI"/>
          <w:color w:val="2E74B5"/>
        </w:rPr>
        <w:t>6. 不動産・隠れ資産NAV</w:t>
      </w:r>
    </w:p>
    <w:p/>
    <w:p>
      <w:pPr>
        <w:pStyle w:val="Heading3"/>
      </w:pPr>
      <w:r>
        <w:rPr>
          <w:rFonts w:ascii="Meiryo UI" w:hAnsi="Meiryo UI"/>
          <w:color w:val="2E74B5"/>
        </w:rPr>
        <w:t>現金・有価証券（最大の隠れ資産）</w:t>
      </w:r>
    </w:p>
    <w:p/>
    <w:p>
      <w:r>
        <w:rPr>
          <w:rFonts w:ascii="Meiryo UI" w:hAnsi="Meiryo UI"/>
          <w:sz w:val="20"/>
        </w:rPr>
        <w:t>キーエンスの「隠れ資産」は不動産より金融資産にある：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資産</w:t>
            </w:r>
          </w:p>
        </w:tc>
        <w:tc>
          <w:tcPr>
            <w:tcW w:type="dxa" w:w="3135"/>
            <w:shd w:val="clear" w:color="auto" w:fill="2E74B5"/>
          </w:tcPr>
          <w:p>
            <w:r>
              <w:rPr>
                <w:rFonts w:ascii="Meiryo UI" w:hAnsi="Meiryo UI"/>
                <w:b/>
                <w:color w:val="FFFFFF"/>
                <w:sz w:val="18"/>
              </w:rPr>
              <w:t>推計（FY26/3末）</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現預金</w:t>
            </w:r>
          </w:p>
        </w:tc>
        <w:tc>
          <w:tcPr>
            <w:tcW w:type="dxa" w:w="3135"/>
          </w:tcPr>
          <w:p>
            <w:r>
              <w:rPr>
                <w:rFonts w:ascii="Meiryo UI" w:hAnsi="Meiryo UI"/>
                <w:sz w:val="18"/>
              </w:rPr>
              <w:t>¥380B</w:t>
            </w:r>
          </w:p>
        </w:tc>
        <w:tc>
          <w:tcPr>
            <w:tcW w:type="dxa" w:w="3135"/>
          </w:tcPr>
          <w:p>
            <w:r>
              <w:rPr>
                <w:rFonts w:ascii="Meiryo UI" w:hAnsi="Meiryo UI"/>
                <w:sz w:val="18"/>
              </w:rPr>
              <w:t>貸借対照表ベース</w:t>
            </w:r>
          </w:p>
        </w:tc>
      </w:tr>
      <w:tr>
        <w:tc>
          <w:tcPr>
            <w:tcW w:type="dxa" w:w="3135"/>
            <w:shd w:val="clear" w:color="auto" w:fill="DDEBF7"/>
          </w:tcPr>
          <w:p>
            <w:r>
              <w:rPr>
                <w:rFonts w:ascii="Meiryo UI" w:hAnsi="Meiryo UI"/>
                <w:sz w:val="18"/>
              </w:rPr>
              <w:t>投資有価証券・定期預金等</w:t>
            </w:r>
          </w:p>
        </w:tc>
        <w:tc>
          <w:tcPr>
            <w:tcW w:type="dxa" w:w="3135"/>
            <w:shd w:val="clear" w:color="auto" w:fill="DDEBF7"/>
          </w:tcPr>
          <w:p>
            <w:r>
              <w:rPr>
                <w:rFonts w:ascii="Meiryo UI" w:hAnsi="Meiryo UI"/>
                <w:sz w:val="18"/>
              </w:rPr>
              <w:t>¥1,420B</w:t>
            </w:r>
          </w:p>
        </w:tc>
        <w:tc>
          <w:tcPr>
            <w:tcW w:type="dxa" w:w="3135"/>
            <w:shd w:val="clear" w:color="auto" w:fill="DDEBF7"/>
          </w:tcPr>
          <w:p>
            <w:r>
              <w:rPr>
                <w:rFonts w:ascii="Meiryo UI" w:hAnsi="Meiryo UI"/>
                <w:sz w:val="18"/>
              </w:rPr>
              <w:t>主に国内債券・外貨建資産</w:t>
            </w:r>
          </w:p>
        </w:tc>
      </w:tr>
      <w:tr>
        <w:tc>
          <w:tcPr>
            <w:tcW w:type="dxa" w:w="3135"/>
          </w:tcPr>
          <w:p>
            <w:r>
              <w:rPr>
                <w:rFonts w:ascii="Meiryo UI" w:hAnsi="Meiryo UI"/>
                <w:sz w:val="18"/>
              </w:rPr>
              <w:t>合計純金融資産</w:t>
            </w:r>
          </w:p>
        </w:tc>
        <w:tc>
          <w:tcPr>
            <w:tcW w:type="dxa" w:w="3135"/>
          </w:tcPr>
          <w:p>
            <w:r>
              <w:rPr>
                <w:rFonts w:ascii="Meiryo UI" w:hAnsi="Meiryo UI"/>
                <w:sz w:val="18"/>
              </w:rPr>
              <w:t>¥1,800B</w:t>
            </w:r>
          </w:p>
        </w:tc>
        <w:tc>
          <w:tcPr>
            <w:tcW w:type="dxa" w:w="3135"/>
          </w:tcPr>
          <w:p>
            <w:r>
              <w:rPr>
                <w:rFonts w:ascii="Meiryo UI" w:hAnsi="Meiryo UI"/>
                <w:sz w:val="18"/>
              </w:rPr>
              <w:t>時価総額の約11%</w:t>
            </w:r>
          </w:p>
        </w:tc>
      </w:tr>
      <w:tr>
        <w:tc>
          <w:tcPr>
            <w:tcW w:type="dxa" w:w="3135"/>
            <w:shd w:val="clear" w:color="auto" w:fill="DDEBF7"/>
          </w:tcPr>
          <w:p>
            <w:r>
              <w:rPr>
                <w:rFonts w:ascii="Meiryo UI" w:hAnsi="Meiryo UI"/>
                <w:sz w:val="18"/>
              </w:rPr>
              <w:t>1株あたり</w:t>
            </w:r>
          </w:p>
        </w:tc>
        <w:tc>
          <w:tcPr>
            <w:tcW w:type="dxa" w:w="3135"/>
            <w:shd w:val="clear" w:color="auto" w:fill="DDEBF7"/>
          </w:tcPr>
          <w:p>
            <w:r>
              <w:rPr>
                <w:rFonts w:ascii="Meiryo UI" w:hAnsi="Meiryo UI"/>
                <w:sz w:val="18"/>
              </w:rPr>
              <w:t>¥7,438</w:t>
            </w:r>
          </w:p>
        </w:tc>
        <w:tc>
          <w:tcPr>
            <w:tcW w:type="dxa" w:w="3135"/>
            <w:shd w:val="clear" w:color="auto" w:fill="DDEBF7"/>
          </w:tcPr>
          <w:p>
            <w:r>
              <w:rPr>
                <w:rFonts w:ascii="Meiryo UI" w:hAnsi="Meiryo UI"/>
                <w:sz w:val="18"/>
              </w:rPr>
              <w:t>現値¥66,000比11.3%</w:t>
            </w:r>
          </w:p>
        </w:tc>
      </w:tr>
    </w:tbl>
    <w:p/>
    <w:p>
      <w:r>
        <w:rPr>
          <w:rFonts w:ascii="Meiryo UI" w:hAnsi="Meiryo UI"/>
          <w:sz w:val="20"/>
        </w:rPr>
        <w:t>&gt; 自己株式取得条項新設 → 今後この¥1.8兆の一部が株主還元に回る可能性。1%還元(¥18B)でEPS+¥75程度。</w:t>
      </w:r>
    </w:p>
    <w:p/>
    <w:p>
      <w:pPr>
        <w:pStyle w:val="Heading3"/>
      </w:pPr>
      <w:r>
        <w:rPr>
          <w:rFonts w:ascii="Meiryo UI" w:hAnsi="Meiryo UI"/>
          <w:color w:val="2E74B5"/>
        </w:rPr>
        <w:t>保有不動産</w:t>
      </w:r>
    </w:p>
    <w:p/>
    <w:p>
      <w:r>
        <w:rPr>
          <w:rFonts w:ascii="Meiryo UI" w:hAnsi="Meiryo UI"/>
          <w:sz w:val="20"/>
        </w:rPr>
        <w:t>本社（大阪・東淀川区）・国内外拠点は賃貸が中心。キーエンスは設備集約型ビジネスではないため不動産含み益は限定的。NAVインパクトは軽微。</w:t>
      </w:r>
    </w:p>
    <w:p/>
    <w:p>
      <w:r>
        <w:t>──────────────────────────────────────────────────</w:t>
      </w:r>
    </w:p>
    <w:p/>
    <w:p>
      <w:pPr>
        <w:pStyle w:val="Heading2"/>
      </w:pPr>
      <w:r>
        <w:rPr>
          <w:rFonts w:ascii="Meiryo UI" w:hAnsi="Meiryo UI"/>
          <w:color w:val="2E74B5"/>
        </w:rPr>
        <w:t>7. Q-1（FY26/3 Q3, Oct-Dec）からのDelta変化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Q3（10-12月）</w:t>
            </w:r>
          </w:p>
        </w:tc>
        <w:tc>
          <w:tcPr>
            <w:tcW w:type="dxa" w:w="3135"/>
            <w:shd w:val="clear" w:color="auto" w:fill="2E74B5"/>
          </w:tcPr>
          <w:p>
            <w:r>
              <w:rPr>
                <w:rFonts w:ascii="Meiryo UI" w:hAnsi="Meiryo UI"/>
                <w:b/>
                <w:color w:val="FFFFFF"/>
                <w:sz w:val="18"/>
              </w:rPr>
              <w:t>Q4（1-3月）→ 変化</w:t>
            </w:r>
          </w:p>
        </w:tc>
      </w:tr>
      <w:tr>
        <w:tc>
          <w:tcPr>
            <w:tcW w:type="dxa" w:w="3135"/>
          </w:tcPr>
          <w:p>
            <w:r>
              <w:rPr>
                <w:rFonts w:ascii="Meiryo UI" w:hAnsi="Meiryo UI"/>
                <w:sz w:val="18"/>
              </w:rPr>
              <w:t>OP水準</w:t>
            </w:r>
          </w:p>
        </w:tc>
        <w:tc>
          <w:tcPr>
            <w:tcW w:type="dxa" w:w="3135"/>
          </w:tcPr>
          <w:p>
            <w:r>
              <w:rPr>
                <w:rFonts w:ascii="Meiryo UI" w:hAnsi="Meiryo UI"/>
                <w:sz w:val="18"/>
              </w:rPr>
              <w:t>¥126.7B</w:t>
            </w:r>
          </w:p>
        </w:tc>
        <w:tc>
          <w:tcPr>
            <w:tcW w:type="dxa" w:w="3135"/>
          </w:tcPr>
          <w:p>
            <w:r>
              <w:rPr>
                <w:rFonts w:ascii="Meiryo UI" w:hAnsi="Meiryo UI"/>
                <w:sz w:val="18"/>
              </w:rPr>
              <w:t>¥179.4B (+41.6%QoQ) ✅ 大幅改善</w:t>
            </w:r>
          </w:p>
        </w:tc>
      </w:tr>
      <w:tr>
        <w:tc>
          <w:tcPr>
            <w:tcW w:type="dxa" w:w="3135"/>
            <w:shd w:val="clear" w:color="auto" w:fill="DDEBF7"/>
          </w:tcPr>
          <w:p>
            <w:r>
              <w:rPr>
                <w:rFonts w:ascii="Meiryo UI" w:hAnsi="Meiryo UI"/>
                <w:sz w:val="18"/>
              </w:rPr>
              <w:t>OPM</w:t>
            </w:r>
          </w:p>
        </w:tc>
        <w:tc>
          <w:tcPr>
            <w:tcW w:type="dxa" w:w="3135"/>
            <w:shd w:val="clear" w:color="auto" w:fill="DDEBF7"/>
          </w:tcPr>
          <w:p>
            <w:r>
              <w:rPr>
                <w:rFonts w:ascii="Meiryo UI" w:hAnsi="Meiryo UI"/>
                <w:sz w:val="18"/>
              </w:rPr>
              <w:t>49.8%</w:t>
            </w:r>
          </w:p>
        </w:tc>
        <w:tc>
          <w:tcPr>
            <w:tcW w:type="dxa" w:w="3135"/>
            <w:shd w:val="clear" w:color="auto" w:fill="DDEBF7"/>
          </w:tcPr>
          <w:p>
            <w:r>
              <w:rPr>
                <w:rFonts w:ascii="Meiryo UI" w:hAnsi="Meiryo UI"/>
                <w:sz w:val="18"/>
              </w:rPr>
              <w:t>53.6% (+3.8pt) ✅ 過去最高更新</w:t>
            </w:r>
          </w:p>
        </w:tc>
      </w:tr>
      <w:tr>
        <w:tc>
          <w:tcPr>
            <w:tcW w:type="dxa" w:w="3135"/>
          </w:tcPr>
          <w:p>
            <w:r>
              <w:rPr>
                <w:rFonts w:ascii="Meiryo UI" w:hAnsi="Meiryo UI"/>
                <w:sz w:val="18"/>
              </w:rPr>
              <w:t>中国需要</w:t>
            </w:r>
          </w:p>
        </w:tc>
        <w:tc>
          <w:tcPr>
            <w:tcW w:type="dxa" w:w="3135"/>
          </w:tcPr>
          <w:p>
            <w:r>
              <w:rPr>
                <w:rFonts w:ascii="Meiryo UI" w:hAnsi="Meiryo UI"/>
                <w:sz w:val="18"/>
              </w:rPr>
              <w:t>不透明継続</w:t>
            </w:r>
          </w:p>
        </w:tc>
        <w:tc>
          <w:tcPr>
            <w:tcW w:type="dxa" w:w="3135"/>
          </w:tcPr>
          <w:p>
            <w:r>
              <w:rPr>
                <w:rFonts w:ascii="Meiryo UI" w:hAnsi="Meiryo UI"/>
                <w:sz w:val="18"/>
              </w:rPr>
              <w:t>緩やかな底打ち感 ✅</w:t>
            </w:r>
          </w:p>
        </w:tc>
      </w:tr>
      <w:tr>
        <w:tc>
          <w:tcPr>
            <w:tcW w:type="dxa" w:w="3135"/>
            <w:shd w:val="clear" w:color="auto" w:fill="DDEBF7"/>
          </w:tcPr>
          <w:p>
            <w:r>
              <w:rPr>
                <w:rFonts w:ascii="Meiryo UI" w:hAnsi="Meiryo UI"/>
                <w:sz w:val="18"/>
              </w:rPr>
              <w:t>欧米設備投資</w:t>
            </w:r>
          </w:p>
        </w:tc>
        <w:tc>
          <w:tcPr>
            <w:tcW w:type="dxa" w:w="3135"/>
            <w:shd w:val="clear" w:color="auto" w:fill="DDEBF7"/>
          </w:tcPr>
          <w:p>
            <w:r>
              <w:rPr>
                <w:rFonts w:ascii="Meiryo UI" w:hAnsi="Meiryo UI"/>
                <w:sz w:val="18"/>
              </w:rPr>
              <w:t>減速懸念</w:t>
            </w:r>
          </w:p>
        </w:tc>
        <w:tc>
          <w:tcPr>
            <w:tcW w:type="dxa" w:w="3135"/>
            <w:shd w:val="clear" w:color="auto" w:fill="DDEBF7"/>
          </w:tcPr>
          <w:p>
            <w:r>
              <w:rPr>
                <w:rFonts w:ascii="Meiryo UI" w:hAnsi="Meiryo UI"/>
                <w:sz w:val="18"/>
              </w:rPr>
              <w:t>堅調継続 ✅</w:t>
            </w:r>
          </w:p>
        </w:tc>
      </w:tr>
      <w:tr>
        <w:tc>
          <w:tcPr>
            <w:tcW w:type="dxa" w:w="3135"/>
          </w:tcPr>
          <w:p>
            <w:r>
              <w:rPr>
                <w:rFonts w:ascii="Meiryo UI" w:hAnsi="Meiryo UI"/>
                <w:sz w:val="18"/>
              </w:rPr>
              <w:t>為替</w:t>
            </w:r>
          </w:p>
        </w:tc>
        <w:tc>
          <w:tcPr>
            <w:tcW w:type="dxa" w:w="3135"/>
          </w:tcPr>
          <w:p>
            <w:r>
              <w:rPr>
                <w:rFonts w:ascii="Meiryo UI" w:hAnsi="Meiryo UI"/>
                <w:sz w:val="18"/>
              </w:rPr>
              <w:t>対EUR円安恩恵中</w:t>
            </w:r>
          </w:p>
        </w:tc>
        <w:tc>
          <w:tcPr>
            <w:tcW w:type="dxa" w:w="3135"/>
          </w:tcPr>
          <w:p>
            <w:r>
              <w:rPr>
                <w:rFonts w:ascii="Meiryo UI" w:hAnsi="Meiryo UI"/>
                <w:sz w:val="18"/>
              </w:rPr>
              <w:t>同様 →</w:t>
            </w:r>
          </w:p>
        </w:tc>
      </w:tr>
      <w:tr>
        <w:tc>
          <w:tcPr>
            <w:tcW w:type="dxa" w:w="3135"/>
            <w:shd w:val="clear" w:color="auto" w:fill="DDEBF7"/>
          </w:tcPr>
          <w:p>
            <w:r>
              <w:rPr>
                <w:rFonts w:ascii="Meiryo UI" w:hAnsi="Meiryo UI"/>
                <w:sz w:val="18"/>
              </w:rPr>
              <w:t>自社株買い</w:t>
            </w:r>
          </w:p>
        </w:tc>
        <w:tc>
          <w:tcPr>
            <w:tcW w:type="dxa" w:w="3135"/>
            <w:shd w:val="clear" w:color="auto" w:fill="DDEBF7"/>
          </w:tcPr>
          <w:p>
            <w:r>
              <w:rPr>
                <w:rFonts w:ascii="Meiryo UI" w:hAnsi="Meiryo UI"/>
                <w:sz w:val="18"/>
              </w:rPr>
              <w:t>記載なし</w:t>
            </w:r>
          </w:p>
        </w:tc>
        <w:tc>
          <w:tcPr>
            <w:tcW w:type="dxa" w:w="3135"/>
            <w:shd w:val="clear" w:color="auto" w:fill="DDEBF7"/>
          </w:tcPr>
          <w:p>
            <w:r>
              <w:rPr>
                <w:rFonts w:ascii="Meiryo UI" w:hAnsi="Meiryo UI"/>
                <w:sz w:val="18"/>
              </w:rPr>
              <w:t>定款変更で条項新設 ✅</w:t>
            </w:r>
          </w:p>
        </w:tc>
      </w:tr>
    </w:tbl>
    <w:p/>
    <w:p>
      <w:r>
        <w:rPr>
          <w:rFonts w:ascii="Meiryo UI" w:hAnsi="Meiryo UI"/>
          <w:sz w:val="20"/>
        </w:rPr>
        <w:t>定性サマリー: Q3の底打ち感がQ4で一気に「四半期最高益」として結実。単なるリバウンドでなく製品ミックス高度化と直販効率化が重なった「質の高い利益拡大」。</w:t>
      </w:r>
    </w:p>
    <w:p/>
    <w:p>
      <w:r>
        <w:t>──────────────────────────────────────────────────</w:t>
      </w:r>
    </w:p>
    <w:p/>
    <w:p>
      <w:pPr>
        <w:pStyle w:val="Heading2"/>
      </w:pPr>
      <w:r>
        <w:rPr>
          <w:rFonts w:ascii="Meiryo UI" w:hAnsi="Meiryo UI"/>
          <w:color w:val="2E74B5"/>
        </w:rPr>
        <w:t>8. 競合比較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会社</w:t>
            </w:r>
          </w:p>
        </w:tc>
        <w:tc>
          <w:tcPr>
            <w:tcW w:type="dxa" w:w="1881"/>
            <w:shd w:val="clear" w:color="auto" w:fill="2E74B5"/>
          </w:tcPr>
          <w:p>
            <w:r>
              <w:rPr>
                <w:rFonts w:ascii="Meiryo UI" w:hAnsi="Meiryo UI"/>
                <w:b/>
                <w:color w:val="FFFFFF"/>
                <w:sz w:val="18"/>
              </w:rPr>
              <w:t>本拠</w:t>
            </w:r>
          </w:p>
        </w:tc>
        <w:tc>
          <w:tcPr>
            <w:tcW w:type="dxa" w:w="1881"/>
            <w:shd w:val="clear" w:color="auto" w:fill="2E74B5"/>
          </w:tcPr>
          <w:p>
            <w:r>
              <w:rPr>
                <w:rFonts w:ascii="Meiryo UI" w:hAnsi="Meiryo UI"/>
                <w:b/>
                <w:color w:val="FFFFFF"/>
                <w:sz w:val="18"/>
              </w:rPr>
              <w:t>FY26/3 OPM</w:t>
            </w:r>
          </w:p>
        </w:tc>
        <w:tc>
          <w:tcPr>
            <w:tcW w:type="dxa" w:w="1881"/>
            <w:shd w:val="clear" w:color="auto" w:fill="2E74B5"/>
          </w:tcPr>
          <w:p>
            <w:r>
              <w:rPr>
                <w:rFonts w:ascii="Meiryo UI" w:hAnsi="Meiryo UI"/>
                <w:b/>
                <w:color w:val="FFFFFF"/>
                <w:sz w:val="18"/>
              </w:rPr>
              <w:t>FY27/3E P/E</w:t>
            </w:r>
          </w:p>
        </w:tc>
        <w:tc>
          <w:tcPr>
            <w:tcW w:type="dxa" w:w="1881"/>
            <w:shd w:val="clear" w:color="auto" w:fill="2E74B5"/>
          </w:tcPr>
          <w:p>
            <w:r>
              <w:rPr>
                <w:rFonts w:ascii="Meiryo UI" w:hAnsi="Meiryo UI"/>
                <w:b/>
                <w:color w:val="FFFFFF"/>
                <w:sz w:val="18"/>
              </w:rPr>
              <w:t>主力製品</w:t>
            </w:r>
          </w:p>
        </w:tc>
      </w:tr>
      <w:tr>
        <w:tc>
          <w:tcPr>
            <w:tcW w:type="dxa" w:w="1881"/>
          </w:tcPr>
          <w:p>
            <w:r>
              <w:rPr>
                <w:rFonts w:ascii="Meiryo UI" w:hAnsi="Meiryo UI"/>
                <w:sz w:val="18"/>
              </w:rPr>
              <w:t>キーエンス</w:t>
            </w:r>
          </w:p>
        </w:tc>
        <w:tc>
          <w:tcPr>
            <w:tcW w:type="dxa" w:w="1881"/>
          </w:tcPr>
          <w:p>
            <w:r>
              <w:rPr>
                <w:rFonts w:ascii="Meiryo UI" w:hAnsi="Meiryo UI"/>
                <w:sz w:val="18"/>
              </w:rPr>
              <w:t>日本</w:t>
            </w:r>
          </w:p>
        </w:tc>
        <w:tc>
          <w:tcPr>
            <w:tcW w:type="dxa" w:w="1881"/>
          </w:tcPr>
          <w:p>
            <w:r>
              <w:rPr>
                <w:rFonts w:ascii="Meiryo UI" w:hAnsi="Meiryo UI"/>
                <w:sz w:val="18"/>
              </w:rPr>
              <w:t>51.0%</w:t>
            </w:r>
          </w:p>
        </w:tc>
        <w:tc>
          <w:tcPr>
            <w:tcW w:type="dxa" w:w="1881"/>
          </w:tcPr>
          <w:p>
            <w:r>
              <w:rPr>
                <w:rFonts w:ascii="Meiryo UI" w:hAnsi="Meiryo UI"/>
                <w:sz w:val="18"/>
              </w:rPr>
              <w:t>36x（深井E）</w:t>
            </w:r>
          </w:p>
        </w:tc>
        <w:tc>
          <w:tcPr>
            <w:tcW w:type="dxa" w:w="1881"/>
          </w:tcPr>
          <w:p>
            <w:r>
              <w:rPr>
                <w:rFonts w:ascii="Meiryo UI" w:hAnsi="Meiryo UI"/>
                <w:sz w:val="18"/>
              </w:rPr>
              <w:t>センサ・ビジョン・計測器・LM</w:t>
            </w:r>
          </w:p>
        </w:tc>
      </w:tr>
      <w:tr>
        <w:tc>
          <w:tcPr>
            <w:tcW w:type="dxa" w:w="1881"/>
            <w:shd w:val="clear" w:color="auto" w:fill="DDEBF7"/>
          </w:tcPr>
          <w:p>
            <w:r>
              <w:rPr>
                <w:rFonts w:ascii="Meiryo UI" w:hAnsi="Meiryo UI"/>
                <w:sz w:val="18"/>
              </w:rPr>
              <w:t>SICK AG</w:t>
            </w:r>
          </w:p>
        </w:tc>
        <w:tc>
          <w:tcPr>
            <w:tcW w:type="dxa" w:w="1881"/>
            <w:shd w:val="clear" w:color="auto" w:fill="DDEBF7"/>
          </w:tcPr>
          <w:p>
            <w:r>
              <w:rPr>
                <w:rFonts w:ascii="Meiryo UI" w:hAnsi="Meiryo UI"/>
                <w:sz w:val="18"/>
              </w:rPr>
              <w:t>ドイツ</w:t>
            </w:r>
          </w:p>
        </w:tc>
        <w:tc>
          <w:tcPr>
            <w:tcW w:type="dxa" w:w="1881"/>
            <w:shd w:val="clear" w:color="auto" w:fill="DDEBF7"/>
          </w:tcPr>
          <w:p>
            <w:r>
              <w:rPr>
                <w:rFonts w:ascii="Meiryo UI" w:hAnsi="Meiryo UI"/>
                <w:sz w:val="18"/>
              </w:rPr>
              <w:t>8〜10%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安全・センサ</w:t>
            </w:r>
          </w:p>
        </w:tc>
      </w:tr>
      <w:tr>
        <w:tc>
          <w:tcPr>
            <w:tcW w:type="dxa" w:w="1881"/>
          </w:tcPr>
          <w:p>
            <w:r>
              <w:rPr>
                <w:rFonts w:ascii="Meiryo UI" w:hAnsi="Meiryo UI"/>
                <w:sz w:val="18"/>
              </w:rPr>
              <w:t>Cognex</w:t>
            </w:r>
          </w:p>
        </w:tc>
        <w:tc>
          <w:tcPr>
            <w:tcW w:type="dxa" w:w="1881"/>
          </w:tcPr>
          <w:p>
            <w:r>
              <w:rPr>
                <w:rFonts w:ascii="Meiryo UI" w:hAnsi="Meiryo UI"/>
                <w:sz w:val="18"/>
              </w:rPr>
              <w:t>米国</w:t>
            </w:r>
          </w:p>
        </w:tc>
        <w:tc>
          <w:tcPr>
            <w:tcW w:type="dxa" w:w="1881"/>
          </w:tcPr>
          <w:p>
            <w:r>
              <w:rPr>
                <w:rFonts w:ascii="Meiryo UI" w:hAnsi="Meiryo UI"/>
                <w:sz w:val="18"/>
              </w:rPr>
              <w:t>27〜30%</w:t>
            </w:r>
          </w:p>
        </w:tc>
        <w:tc>
          <w:tcPr>
            <w:tcW w:type="dxa" w:w="1881"/>
          </w:tcPr>
          <w:p>
            <w:r>
              <w:rPr>
                <w:rFonts w:ascii="Meiryo UI" w:hAnsi="Meiryo UI"/>
                <w:sz w:val="18"/>
              </w:rPr>
              <w:t>40〜50x</w:t>
            </w:r>
          </w:p>
        </w:tc>
        <w:tc>
          <w:tcPr>
            <w:tcW w:type="dxa" w:w="1881"/>
          </w:tcPr>
          <w:p>
            <w:r>
              <w:rPr>
                <w:rFonts w:ascii="Meiryo UI" w:hAnsi="Meiryo UI"/>
                <w:sz w:val="18"/>
              </w:rPr>
              <w:t>マシンビジョン</w:t>
            </w:r>
          </w:p>
        </w:tc>
      </w:tr>
      <w:tr>
        <w:tc>
          <w:tcPr>
            <w:tcW w:type="dxa" w:w="1881"/>
            <w:shd w:val="clear" w:color="auto" w:fill="DDEBF7"/>
          </w:tcPr>
          <w:p>
            <w:r>
              <w:rPr>
                <w:rFonts w:ascii="Meiryo UI" w:hAnsi="Meiryo UI"/>
                <w:sz w:val="18"/>
              </w:rPr>
              <w:t>Teledyne FLIR</w:t>
            </w:r>
          </w:p>
        </w:tc>
        <w:tc>
          <w:tcPr>
            <w:tcW w:type="dxa" w:w="1881"/>
            <w:shd w:val="clear" w:color="auto" w:fill="DDEBF7"/>
          </w:tcPr>
          <w:p>
            <w:r>
              <w:rPr>
                <w:rFonts w:ascii="Meiryo UI" w:hAnsi="Meiryo UI"/>
                <w:sz w:val="18"/>
              </w:rPr>
              <w:t>米国</w:t>
            </w:r>
          </w:p>
        </w:tc>
        <w:tc>
          <w:tcPr>
            <w:tcW w:type="dxa" w:w="1881"/>
            <w:shd w:val="clear" w:color="auto" w:fill="DDEBF7"/>
          </w:tcPr>
          <w:p>
            <w:r>
              <w:rPr>
                <w:rFonts w:ascii="Meiryo UI" w:hAnsi="Meiryo UI"/>
                <w:sz w:val="18"/>
              </w:rPr>
              <w:t>15〜20%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サーマル・センサ</w:t>
            </w:r>
          </w:p>
        </w:tc>
      </w:tr>
      <w:tr>
        <w:tc>
          <w:tcPr>
            <w:tcW w:type="dxa" w:w="1881"/>
          </w:tcPr>
          <w:p>
            <w:r>
              <w:rPr>
                <w:rFonts w:ascii="Meiryo UI" w:hAnsi="Meiryo UI"/>
                <w:sz w:val="18"/>
              </w:rPr>
              <w:t>オムロン（FA）</w:t>
            </w:r>
          </w:p>
        </w:tc>
        <w:tc>
          <w:tcPr>
            <w:tcW w:type="dxa" w:w="1881"/>
          </w:tcPr>
          <w:p>
            <w:r>
              <w:rPr>
                <w:rFonts w:ascii="Meiryo UI" w:hAnsi="Meiryo UI"/>
                <w:sz w:val="18"/>
              </w:rPr>
              <w:t>日本</w:t>
            </w:r>
          </w:p>
        </w:tc>
        <w:tc>
          <w:tcPr>
            <w:tcW w:type="dxa" w:w="1881"/>
          </w:tcPr>
          <w:p>
            <w:r>
              <w:rPr>
                <w:rFonts w:ascii="Meiryo UI" w:hAnsi="Meiryo UI"/>
                <w:sz w:val="18"/>
              </w:rPr>
              <w:t>8〜12%</w:t>
            </w:r>
          </w:p>
        </w:tc>
        <w:tc>
          <w:tcPr>
            <w:tcW w:type="dxa" w:w="1881"/>
          </w:tcPr>
          <w:p>
            <w:r>
              <w:rPr>
                <w:rFonts w:ascii="Meiryo UI" w:hAnsi="Meiryo UI"/>
                <w:sz w:val="18"/>
              </w:rPr>
              <w:t>—</w:t>
            </w:r>
          </w:p>
        </w:tc>
        <w:tc>
          <w:tcPr>
            <w:tcW w:type="dxa" w:w="1881"/>
          </w:tcPr>
          <w:p>
            <w:r>
              <w:rPr>
                <w:rFonts w:ascii="Meiryo UI" w:hAnsi="Meiryo UI"/>
                <w:sz w:val="18"/>
              </w:rPr>
              <w:t>PLCおよびセンサ</w:t>
            </w:r>
          </w:p>
        </w:tc>
      </w:tr>
    </w:tbl>
    <w:p/>
    <w:p>
      <w:r>
        <w:rPr>
          <w:rFonts w:ascii="Meiryo UI" w:hAnsi="Meiryo UI"/>
          <w:sz w:val="20"/>
        </w:rPr>
        <w:t>→ 直販モデルによる価格支配力と製品幅の広さはKeyenceが圧倒的首位。OPMの差（51%対競合10〜30%）が「構造的溝」を証明。</w:t>
      </w:r>
    </w:p>
    <w:p/>
    <w:p>
      <w:r>
        <w:t>──────────────────────────────────────────────────</w:t>
      </w:r>
    </w:p>
    <w:p/>
    <w:p>
      <w:pPr>
        <w:pStyle w:val="Heading2"/>
      </w:pPr>
      <w:r>
        <w:rPr>
          <w:rFonts w:ascii="Meiryo UI" w:hAnsi="Meiryo UI"/>
          <w:color w:val="2E74B5"/>
        </w:rPr>
        <w:t>9. リスクシナリオ定量分析</w:t>
      </w:r>
    </w:p>
    <w:p/>
    <w:p>
      <w:pPr>
        <w:pStyle w:val="Heading3"/>
      </w:pPr>
      <w:r>
        <w:rPr>
          <w:rFonts w:ascii="Meiryo UI" w:hAnsi="Meiryo UI"/>
          <w:color w:val="2E74B5"/>
        </w:rPr>
        <w:t>リスク1: 中国製造業回復遅延（発生確率35%）</w:t>
      </w:r>
    </w:p>
    <w:p>
      <w:pPr>
        <w:pStyle w:val="ListBullet"/>
      </w:pPr>
      <w:r>
        <w:rPr>
          <w:rFonts w:ascii="Meiryo UI" w:hAnsi="Meiryo UI"/>
          <w:sz w:val="20"/>
        </w:rPr>
        <w:t>中国売上比率 約15-18%が停滞</w:t>
      </w:r>
    </w:p>
    <w:p>
      <w:pPr>
        <w:pStyle w:val="ListBullet"/>
      </w:pPr>
      <w:r>
        <w:rPr>
          <w:rFonts w:ascii="Meiryo UI" w:hAnsi="Meiryo UI"/>
          <w:sz w:val="20"/>
        </w:rPr>
        <w:t>影響: FY27/3E OP ▲¥40〜60B（▲6〜9%）</w:t>
      </w:r>
    </w:p>
    <w:p>
      <w:pPr>
        <w:pStyle w:val="ListBullet"/>
      </w:pPr>
      <w:r>
        <w:rPr>
          <w:rFonts w:ascii="Meiryo UI" w:hAnsi="Meiryo UI"/>
          <w:sz w:val="20"/>
        </w:rPr>
        <w:t>株価影響: ▲¥4,000〜6,000（ベアFV¥46,000へ）</w:t>
      </w:r>
    </w:p>
    <w:p/>
    <w:p>
      <w:pPr>
        <w:pStyle w:val="Heading3"/>
      </w:pPr>
      <w:r>
        <w:rPr>
          <w:rFonts w:ascii="Meiryo UI" w:hAnsi="Meiryo UI"/>
          <w:color w:val="2E74B5"/>
        </w:rPr>
        <w:t>リスク2: 円高進行（対USD 145→130円台）（発生確率25%）</w:t>
      </w:r>
    </w:p>
    <w:p>
      <w:pPr>
        <w:pStyle w:val="ListBullet"/>
      </w:pPr>
      <w:r>
        <w:rPr>
          <w:rFonts w:ascii="Meiryo UI" w:hAnsi="Meiryo UI"/>
          <w:sz w:val="20"/>
        </w:rPr>
        <w:t>海外売上比率80%のため感応度大</w:t>
      </w:r>
    </w:p>
    <w:p>
      <w:pPr>
        <w:pStyle w:val="ListBullet"/>
      </w:pPr>
      <w:r>
        <w:rPr>
          <w:rFonts w:ascii="Meiryo UI" w:hAnsi="Meiryo UI"/>
          <w:sz w:val="20"/>
        </w:rPr>
        <w:t>1円の円高 → OP影響 ▲¥3〜4B（推定）</w:t>
      </w:r>
    </w:p>
    <w:p>
      <w:pPr>
        <w:pStyle w:val="ListBullet"/>
      </w:pPr>
      <w:r>
        <w:rPr>
          <w:rFonts w:ascii="Meiryo UI" w:hAnsi="Meiryo UI"/>
          <w:sz w:val="20"/>
        </w:rPr>
        <w:t>15円の円高 → OP ▲¥45〜60B</w:t>
      </w:r>
    </w:p>
    <w:p/>
    <w:p>
      <w:pPr>
        <w:pStyle w:val="Heading3"/>
      </w:pPr>
      <w:r>
        <w:rPr>
          <w:rFonts w:ascii="Meiryo UI" w:hAnsi="Meiryo UI"/>
          <w:color w:val="2E74B5"/>
        </w:rPr>
        <w:t>リスク3: 世界製造業の設備投資凍結（発生確率20%）</w:t>
      </w:r>
    </w:p>
    <w:p>
      <w:pPr>
        <w:pStyle w:val="ListBullet"/>
      </w:pPr>
      <w:r>
        <w:rPr>
          <w:rFonts w:ascii="Meiryo UI" w:hAnsi="Meiryo UI"/>
          <w:sz w:val="20"/>
        </w:rPr>
        <w:t>米中関税摩擦激化・欧州景気後退が重なるシナリオ</w:t>
      </w:r>
    </w:p>
    <w:p>
      <w:pPr>
        <w:pStyle w:val="ListBullet"/>
      </w:pPr>
      <w:r>
        <w:rPr>
          <w:rFonts w:ascii="Meiryo UI" w:hAnsi="Meiryo UI"/>
          <w:sz w:val="20"/>
        </w:rPr>
        <w:t>FY27/3E 売上 ▲10%以上 → ベア想定</w:t>
      </w:r>
    </w:p>
    <w:p/>
    <w:p>
      <w:pPr>
        <w:pStyle w:val="Heading3"/>
      </w:pPr>
      <w:r>
        <w:rPr>
          <w:rFonts w:ascii="Meiryo UI" w:hAnsi="Meiryo UI"/>
          <w:color w:val="2E74B5"/>
        </w:rPr>
        <w:t>リスク4: 創業者ガバナンス（発生確率5%・低頻度高インパクト）</w:t>
      </w:r>
    </w:p>
    <w:p>
      <w:pPr>
        <w:pStyle w:val="ListBullet"/>
      </w:pPr>
      <w:r>
        <w:rPr>
          <w:rFonts w:ascii="Meiryo UI" w:hAnsi="Meiryo UI"/>
          <w:sz w:val="20"/>
        </w:rPr>
        <w:t>滝崎武光氏（創業者）の影響力が極めて大。後継体制の不透明さ</w:t>
      </w:r>
    </w:p>
    <w:p>
      <w:pPr>
        <w:pStyle w:val="ListBullet"/>
      </w:pPr>
      <w:r>
        <w:rPr>
          <w:rFonts w:ascii="Meiryo UI" w:hAnsi="Meiryo UI"/>
          <w:sz w:val="20"/>
        </w:rPr>
        <w:t>TOB・M&amp;A方針の急変リスク（ほぼゼロだが存在）</w:t>
      </w:r>
    </w:p>
    <w:p/>
    <w:p>
      <w:pPr>
        <w:pStyle w:val="Heading3"/>
      </w:pPr>
      <w:r>
        <w:rPr>
          <w:rFonts w:ascii="Meiryo UI" w:hAnsi="Meiryo UI"/>
          <w:color w:val="2E74B5"/>
        </w:rPr>
        <w:t>1%感応度Delta</w:t>
      </w:r>
    </w:p>
    <w:p>
      <w:pPr>
        <w:pStyle w:val="ListBullet"/>
      </w:pPr>
      <w:r>
        <w:rPr>
          <w:rFonts w:ascii="Meiryo UI" w:hAnsi="Meiryo UI"/>
          <w:sz w:val="20"/>
        </w:rPr>
        <w:t>OPM ±1pt → EPS ±¥47 → 株価 ±¥1,700（P/E36x）</w:t>
      </w:r>
    </w:p>
    <w:p>
      <w:pPr>
        <w:pStyle w:val="ListBullet"/>
      </w:pPr>
      <w:r>
        <w:rPr>
          <w:rFonts w:ascii="Meiryo UI" w:hAnsi="Meiryo UI"/>
          <w:sz w:val="20"/>
        </w:rPr>
        <w:t>売上 ±1% → OPM ほぼ固定→ EPS ±¥11 → 株価 ±¥400</w:t>
      </w:r>
    </w:p>
    <w:p>
      <w:pPr>
        <w:pStyle w:val="ListBullet"/>
      </w:pPr>
      <w:r>
        <w:rPr>
          <w:rFonts w:ascii="Meiryo UI" w:hAnsi="Meiryo UI"/>
          <w:sz w:val="20"/>
        </w:rPr>
        <w:t>P/E ±1x → 株価 ±¥1,975（最大変数はマルチプル）</w:t>
      </w:r>
    </w:p>
    <w:p/>
    <w:p>
      <w:r>
        <w:t>──────────────────────────────────────────────────</w:t>
      </w:r>
    </w:p>
    <w:p/>
    <w:p>
      <w:pPr>
        <w:pStyle w:val="Heading2"/>
      </w:pPr>
      <w:r>
        <w:rPr>
          <w:rFonts w:ascii="Meiryo UI" w:hAnsi="Meiryo UI"/>
          <w:color w:val="2E74B5"/>
        </w:rPr>
        <w:t>10. 強気論点 vs 弱気論点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強気（BUY理由）</w:t>
            </w:r>
          </w:p>
        </w:tc>
        <w:tc>
          <w:tcPr>
            <w:tcW w:type="dxa" w:w="4703"/>
            <w:shd w:val="clear" w:color="auto" w:fill="2E74B5"/>
          </w:tcPr>
          <w:p>
            <w:r>
              <w:rPr>
                <w:rFonts w:ascii="Meiryo UI" w:hAnsi="Meiryo UI"/>
                <w:b/>
                <w:color w:val="FFFFFF"/>
                <w:sz w:val="18"/>
              </w:rPr>
              <w:t>弱気（リスク）</w:t>
            </w:r>
          </w:p>
        </w:tc>
      </w:tr>
      <w:tr>
        <w:tc>
          <w:tcPr>
            <w:tcW w:type="dxa" w:w="4703"/>
          </w:tcPr>
          <w:p>
            <w:r>
              <w:rPr>
                <w:rFonts w:ascii="Meiryo UI" w:hAnsi="Meiryo UI"/>
                <w:sz w:val="18"/>
              </w:rPr>
              <w:t>Q4 OPM 53.6%は構造的・過去最高</w:t>
            </w:r>
          </w:p>
        </w:tc>
        <w:tc>
          <w:tcPr>
            <w:tcW w:type="dxa" w:w="4703"/>
          </w:tcPr>
          <w:p>
            <w:r>
              <w:rPr>
                <w:rFonts w:ascii="Meiryo UI" w:hAnsi="Meiryo UI"/>
                <w:sz w:val="18"/>
              </w:rPr>
              <w:t>FY27/3ガイダンス未開示 → ブラックボックス</w:t>
            </w:r>
          </w:p>
        </w:tc>
      </w:tr>
      <w:tr>
        <w:tc>
          <w:tcPr>
            <w:tcW w:type="dxa" w:w="4703"/>
            <w:shd w:val="clear" w:color="auto" w:fill="DDEBF7"/>
          </w:tcPr>
          <w:p>
            <w:r>
              <w:rPr>
                <w:rFonts w:ascii="Meiryo UI" w:hAnsi="Meiryo UI"/>
                <w:sz w:val="18"/>
              </w:rPr>
              <w:t>直販モデルの価格支配力は長期持続</w:t>
            </w:r>
          </w:p>
        </w:tc>
        <w:tc>
          <w:tcPr>
            <w:tcW w:type="dxa" w:w="4703"/>
            <w:shd w:val="clear" w:color="auto" w:fill="DDEBF7"/>
          </w:tcPr>
          <w:p>
            <w:r>
              <w:rPr>
                <w:rFonts w:ascii="Meiryo UI" w:hAnsi="Meiryo UI"/>
                <w:sz w:val="18"/>
              </w:rPr>
              <w:t>既に高いバリュエーション（P/E 36x超）</w:t>
            </w:r>
          </w:p>
        </w:tc>
      </w:tr>
      <w:tr>
        <w:tc>
          <w:tcPr>
            <w:tcW w:type="dxa" w:w="4703"/>
          </w:tcPr>
          <w:p>
            <w:r>
              <w:rPr>
                <w:rFonts w:ascii="Meiryo UI" w:hAnsi="Meiryo UI"/>
                <w:sz w:val="18"/>
              </w:rPr>
              <w:t>定款変更：自己株式取得条項新設 → 還元余地</w:t>
            </w:r>
          </w:p>
        </w:tc>
        <w:tc>
          <w:tcPr>
            <w:tcW w:type="dxa" w:w="4703"/>
          </w:tcPr>
          <w:p>
            <w:r>
              <w:rPr>
                <w:rFonts w:ascii="Meiryo UI" w:hAnsi="Meiryo UI"/>
                <w:sz w:val="18"/>
              </w:rPr>
              <w:t>中国需要の不透明感継続</w:t>
            </w:r>
          </w:p>
        </w:tc>
      </w:tr>
      <w:tr>
        <w:tc>
          <w:tcPr>
            <w:tcW w:type="dxa" w:w="4703"/>
            <w:shd w:val="clear" w:color="auto" w:fill="DDEBF7"/>
          </w:tcPr>
          <w:p>
            <w:r>
              <w:rPr>
                <w:rFonts w:ascii="Meiryo UI" w:hAnsi="Meiryo UI"/>
                <w:sz w:val="18"/>
              </w:rPr>
              <w:t>純現預金¥1.8兆の活用余地</w:t>
            </w:r>
          </w:p>
        </w:tc>
        <w:tc>
          <w:tcPr>
            <w:tcW w:type="dxa" w:w="4703"/>
            <w:shd w:val="clear" w:color="auto" w:fill="DDEBF7"/>
          </w:tcPr>
          <w:p>
            <w:r>
              <w:rPr>
                <w:rFonts w:ascii="Meiryo UI" w:hAnsi="Meiryo UI"/>
                <w:sz w:val="18"/>
              </w:rPr>
              <w:t>円高シナリオ（海外売上80%）</w:t>
            </w:r>
          </w:p>
        </w:tc>
      </w:tr>
      <w:tr>
        <w:tc>
          <w:tcPr>
            <w:tcW w:type="dxa" w:w="4703"/>
          </w:tcPr>
          <w:p>
            <w:r>
              <w:rPr>
                <w:rFonts w:ascii="Meiryo UI" w:hAnsi="Meiryo UI"/>
                <w:sz w:val="18"/>
              </w:rPr>
              <w:t>FA・AI・自動化トレンドで中期需要拡大</w:t>
            </w:r>
          </w:p>
        </w:tc>
        <w:tc>
          <w:tcPr>
            <w:tcW w:type="dxa" w:w="4703"/>
          </w:tcPr>
          <w:p>
            <w:r>
              <w:rPr>
                <w:rFonts w:ascii="Meiryo UI" w:hAnsi="Meiryo UI"/>
                <w:sz w:val="18"/>
              </w:rPr>
              <w:t>人件費上昇（直販モデルで人手依存）</w:t>
            </w:r>
          </w:p>
        </w:tc>
      </w:tr>
      <w:tr>
        <w:tc>
          <w:tcPr>
            <w:tcW w:type="dxa" w:w="4703"/>
            <w:shd w:val="clear" w:color="auto" w:fill="DDEBF7"/>
          </w:tcPr>
          <w:p>
            <w:r>
              <w:rPr>
                <w:rFonts w:ascii="Meiryo UI" w:hAnsi="Meiryo UI"/>
                <w:sz w:val="18"/>
              </w:rPr>
              <w:t>SBI TP ¥75,000（現値から+13%程度）</w:t>
            </w:r>
          </w:p>
        </w:tc>
        <w:tc>
          <w:tcPr>
            <w:tcW w:type="dxa" w:w="4703"/>
            <w:shd w:val="clear" w:color="auto" w:fill="DDEBF7"/>
          </w:tcPr>
          <w:p>
            <w:r>
              <w:rPr>
                <w:rFonts w:ascii="Meiryo UI" w:hAnsi="Meiryo UI"/>
                <w:sz w:val="18"/>
              </w:rPr>
              <w:t>競合Cognexも評価上昇中</w:t>
            </w:r>
          </w:p>
        </w:tc>
      </w:tr>
    </w:tbl>
    <w:p/>
    <w:p>
      <w:r>
        <w:t>──────────────────────────────────────────────────</w:t>
      </w:r>
    </w:p>
    <w:p/>
    <w:p>
      <w:pPr>
        <w:pStyle w:val="Heading2"/>
      </w:pPr>
      <w:r>
        <w:rPr>
          <w:rFonts w:ascii="Meiryo UI" w:hAnsi="Meiryo UI"/>
          <w:color w:val="2E74B5"/>
        </w:rPr>
        <w:t>11. 投資判断まとめ</w:t>
      </w:r>
    </w:p>
    <w:p/>
    <w:p>
      <w:r>
        <w:rPr>
          <w:rFonts w:ascii="Meiryo UI" w:hAnsi="Meiryo UI"/>
          <w:sz w:val="20"/>
        </w:rPr>
        <w:t>浅井スコア: +85 / BUY</w:t>
      </w:r>
    </w:p>
    <w:p/>
    <w:p>
      <w:r>
        <w:rPr>
          <w:rFonts w:ascii="Meiryo UI" w:hAnsi="Meiryo UI"/>
          <w:sz w:val="20"/>
        </w:rPr>
        <w:t>採点根拠:</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点数</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決算クオリティ</w:t>
            </w:r>
          </w:p>
        </w:tc>
        <w:tc>
          <w:tcPr>
            <w:tcW w:type="dxa" w:w="3135"/>
          </w:tcPr>
          <w:p>
            <w:r>
              <w:rPr>
                <w:rFonts w:ascii="Meiryo UI" w:hAnsi="Meiryo UI"/>
                <w:sz w:val="18"/>
              </w:rPr>
              <w:t>+25</w:t>
            </w:r>
          </w:p>
        </w:tc>
        <w:tc>
          <w:tcPr>
            <w:tcW w:type="dxa" w:w="3135"/>
          </w:tcPr>
          <w:p>
            <w:r>
              <w:rPr>
                <w:rFonts w:ascii="Meiryo UI" w:hAnsi="Meiryo UI"/>
                <w:sz w:val="18"/>
              </w:rPr>
              <w:t>Q4 OPM53.6%過去最高・コンセンサス大幅超え</w:t>
            </w:r>
          </w:p>
        </w:tc>
      </w:tr>
      <w:tr>
        <w:tc>
          <w:tcPr>
            <w:tcW w:type="dxa" w:w="3135"/>
            <w:shd w:val="clear" w:color="auto" w:fill="DDEBF7"/>
          </w:tcPr>
          <w:p>
            <w:r>
              <w:rPr>
                <w:rFonts w:ascii="Meiryo UI" w:hAnsi="Meiryo UI"/>
                <w:sz w:val="18"/>
              </w:rPr>
              <w:t>バリュエーション妥当性</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ベースFV¥71K・ブルFV¥90K。高いが正当化可能</w:t>
            </w:r>
          </w:p>
        </w:tc>
      </w:tr>
      <w:tr>
        <w:tc>
          <w:tcPr>
            <w:tcW w:type="dxa" w:w="3135"/>
          </w:tcPr>
          <w:p>
            <w:r>
              <w:rPr>
                <w:rFonts w:ascii="Meiryo UI" w:hAnsi="Meiryo UI"/>
                <w:sz w:val="18"/>
              </w:rPr>
              <w:t>業界構造優位性</w:t>
            </w:r>
          </w:p>
        </w:tc>
        <w:tc>
          <w:tcPr>
            <w:tcW w:type="dxa" w:w="3135"/>
          </w:tcPr>
          <w:p>
            <w:r>
              <w:rPr>
                <w:rFonts w:ascii="Meiryo UI" w:hAnsi="Meiryo UI"/>
                <w:sz w:val="18"/>
              </w:rPr>
              <w:t>+25</w:t>
            </w:r>
          </w:p>
        </w:tc>
        <w:tc>
          <w:tcPr>
            <w:tcW w:type="dxa" w:w="3135"/>
          </w:tcPr>
          <w:p>
            <w:r>
              <w:rPr>
                <w:rFonts w:ascii="Meiryo UI" w:hAnsi="Meiryo UI"/>
                <w:sz w:val="18"/>
              </w:rPr>
              <w:t>直販モデル・価格支配力・製品ライン幅</w:t>
            </w:r>
          </w:p>
        </w:tc>
      </w:tr>
      <w:tr>
        <w:tc>
          <w:tcPr>
            <w:tcW w:type="dxa" w:w="3135"/>
            <w:shd w:val="clear" w:color="auto" w:fill="DDEBF7"/>
          </w:tcPr>
          <w:p>
            <w:r>
              <w:rPr>
                <w:rFonts w:ascii="Meiryo UI" w:hAnsi="Meiryo UI"/>
                <w:sz w:val="18"/>
              </w:rPr>
              <w:t>株主還元</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定款変更で自社株買い余地。DPS¥550</w:t>
            </w:r>
          </w:p>
        </w:tc>
      </w:tr>
      <w:tr>
        <w:tc>
          <w:tcPr>
            <w:tcW w:type="dxa" w:w="3135"/>
          </w:tcPr>
          <w:p>
            <w:r>
              <w:rPr>
                <w:rFonts w:ascii="Meiryo UI" w:hAnsi="Meiryo UI"/>
                <w:sz w:val="18"/>
              </w:rPr>
              <w:t>ガイダンス不確実性</w:t>
            </w:r>
          </w:p>
        </w:tc>
        <w:tc>
          <w:tcPr>
            <w:tcW w:type="dxa" w:w="3135"/>
          </w:tcPr>
          <w:p>
            <w:r>
              <w:rPr>
                <w:rFonts w:ascii="Meiryo UI" w:hAnsi="Meiryo UI"/>
                <w:sz w:val="18"/>
              </w:rPr>
              <w:t>▲5</w:t>
            </w:r>
          </w:p>
        </w:tc>
        <w:tc>
          <w:tcPr>
            <w:tcW w:type="dxa" w:w="3135"/>
          </w:tcPr>
          <w:p>
            <w:r>
              <w:rPr>
                <w:rFonts w:ascii="Meiryo UI" w:hAnsi="Meiryo UI"/>
                <w:sz w:val="18"/>
              </w:rPr>
              <w:t>FY27未開示は定番だが上値抑制要因</w:t>
            </w:r>
          </w:p>
        </w:tc>
      </w:tr>
      <w:tr>
        <w:tc>
          <w:tcPr>
            <w:tcW w:type="dxa" w:w="3135"/>
            <w:shd w:val="clear" w:color="auto" w:fill="DDEBF7"/>
          </w:tcPr>
          <w:p>
            <w:r>
              <w:rPr>
                <w:rFonts w:ascii="Meiryo UI" w:hAnsi="Meiryo UI"/>
                <w:sz w:val="18"/>
              </w:rPr>
              <w:t>中国・マクロリスク</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実需回復の確証まだ不足</w:t>
            </w:r>
          </w:p>
        </w:tc>
      </w:tr>
      <w:tr>
        <w:tc>
          <w:tcPr>
            <w:tcW w:type="dxa" w:w="3135"/>
          </w:tcPr>
          <w:p>
            <w:r>
              <w:rPr>
                <w:rFonts w:ascii="Meiryo UI" w:hAnsi="Meiryo UI"/>
                <w:sz w:val="18"/>
              </w:rPr>
              <w:t>流動性・需給</w:t>
            </w:r>
          </w:p>
        </w:tc>
        <w:tc>
          <w:tcPr>
            <w:tcW w:type="dxa" w:w="3135"/>
          </w:tcPr>
          <w:p>
            <w:r>
              <w:rPr>
                <w:rFonts w:ascii="Meiryo UI" w:hAnsi="Meiryo UI"/>
                <w:sz w:val="18"/>
              </w:rPr>
              <w:t>+5</w:t>
            </w:r>
          </w:p>
        </w:tc>
        <w:tc>
          <w:tcPr>
            <w:tcW w:type="dxa" w:w="3135"/>
          </w:tcPr>
          <w:p>
            <w:r>
              <w:rPr>
                <w:rFonts w:ascii="Meiryo UI" w:hAnsi="Meiryo UI"/>
                <w:sz w:val="18"/>
              </w:rPr>
              <w:t>大型株・機関投資家選好</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+85</w:t>
            </w:r>
          </w:p>
        </w:tc>
        <w:tc>
          <w:tcPr>
            <w:tcW w:type="dxa" w:w="3135"/>
            <w:shd w:val="clear" w:color="auto" w:fill="DDEBF7"/>
          </w:tcPr>
          <w:p>
            <w:r>
              <w:rPr>
                <w:rFonts w:ascii="Meiryo UI" w:hAnsi="Meiryo UI"/>
                <w:sz w:val="18"/>
              </w:rPr>
            </w:r>
          </w:p>
        </w:tc>
      </w:tr>
    </w:tbl>
    <w:p/>
    <w:p>
      <w:r>
        <w:t>──────────────────────────────────────────────────</w:t>
      </w:r>
    </w:p>
    <w:p/>
    <w:p>
      <w:pPr>
        <w:pStyle w:val="Heading2"/>
      </w:pPr>
      <w:r>
        <w:rPr>
          <w:rFonts w:ascii="Meiryo UI" w:hAnsi="Meiryo UI"/>
          <w:color w:val="2E74B5"/>
        </w:rPr>
        <w:t>12. 推奨アクション</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タイミング</w:t>
            </w:r>
          </w:p>
        </w:tc>
        <w:tc>
          <w:tcPr>
            <w:tcW w:type="dxa" w:w="4703"/>
            <w:shd w:val="clear" w:color="auto" w:fill="2E74B5"/>
          </w:tcPr>
          <w:p>
            <w:r>
              <w:rPr>
                <w:rFonts w:ascii="Meiryo UI" w:hAnsi="Meiryo UI"/>
                <w:b/>
                <w:color w:val="FFFFFF"/>
                <w:sz w:val="18"/>
              </w:rPr>
              <w:t>アクション</w:t>
            </w:r>
          </w:p>
        </w:tc>
      </w:tr>
      <w:tr>
        <w:tc>
          <w:tcPr>
            <w:tcW w:type="dxa" w:w="4703"/>
          </w:tcPr>
          <w:p>
            <w:r>
              <w:rPr>
                <w:rFonts w:ascii="Meiryo UI" w:hAnsi="Meiryo UI"/>
                <w:sz w:val="18"/>
              </w:rPr>
              <w:t>本日（4/24夕刻説明会）</w:t>
            </w:r>
          </w:p>
        </w:tc>
        <w:tc>
          <w:tcPr>
            <w:tcW w:type="dxa" w:w="4703"/>
          </w:tcPr>
          <w:p>
            <w:r>
              <w:rPr>
                <w:rFonts w:ascii="Meiryo UI" w:hAnsi="Meiryo UI"/>
                <w:sz w:val="18"/>
              </w:rPr>
              <w:t>FY27/3見通しコメント・中国動向を確認。強気発言→スコア+5pt上乗せ</w:t>
            </w:r>
          </w:p>
        </w:tc>
      </w:tr>
      <w:tr>
        <w:tc>
          <w:tcPr>
            <w:tcW w:type="dxa" w:w="4703"/>
            <w:shd w:val="clear" w:color="auto" w:fill="DDEBF7"/>
          </w:tcPr>
          <w:p>
            <w:r>
              <w:rPr>
                <w:rFonts w:ascii="Meiryo UI" w:hAnsi="Meiryo UI"/>
                <w:sz w:val="18"/>
              </w:rPr>
              <w:t>本日〜週明け</w:t>
            </w:r>
          </w:p>
        </w:tc>
        <w:tc>
          <w:tcPr>
            <w:tcW w:type="dxa" w:w="4703"/>
            <w:shd w:val="clear" w:color="auto" w:fill="DDEBF7"/>
          </w:tcPr>
          <w:p>
            <w:r>
              <w:rPr>
                <w:rFonts w:ascii="Meiryo UI" w:hAnsi="Meiryo UI"/>
                <w:sz w:val="18"/>
              </w:rPr>
              <w:t>打診買い（現値〜66,000円台）。ポジション2〜3%</w:t>
            </w:r>
          </w:p>
        </w:tc>
      </w:tr>
      <w:tr>
        <w:tc>
          <w:tcPr>
            <w:tcW w:type="dxa" w:w="4703"/>
          </w:tcPr>
          <w:p>
            <w:r>
              <w:rPr>
                <w:rFonts w:ascii="Meiryo UI" w:hAnsi="Meiryo UI"/>
                <w:sz w:val="18"/>
              </w:rPr>
              <w:t>ブル化条件</w:t>
            </w:r>
          </w:p>
        </w:tc>
        <w:tc>
          <w:tcPr>
            <w:tcW w:type="dxa" w:w="4703"/>
          </w:tcPr>
          <w:p>
            <w:r>
              <w:rPr>
                <w:rFonts w:ascii="Meiryo UI" w:hAnsi="Meiryo UI"/>
                <w:sz w:val="18"/>
              </w:rPr>
              <w:t>中国受注回復言及 or 自社株買い具体額発表 → TP¥90,000</w:t>
            </w:r>
          </w:p>
        </w:tc>
      </w:tr>
      <w:tr>
        <w:tc>
          <w:tcPr>
            <w:tcW w:type="dxa" w:w="4703"/>
            <w:shd w:val="clear" w:color="auto" w:fill="DDEBF7"/>
          </w:tcPr>
          <w:p>
            <w:r>
              <w:rPr>
                <w:rFonts w:ascii="Meiryo UI" w:hAnsi="Meiryo UI"/>
                <w:sz w:val="18"/>
              </w:rPr>
              <w:t>利確ライン</w:t>
            </w:r>
          </w:p>
        </w:tc>
        <w:tc>
          <w:tcPr>
            <w:tcW w:type="dxa" w:w="4703"/>
            <w:shd w:val="clear" w:color="auto" w:fill="DDEBF7"/>
          </w:tcPr>
          <w:p>
            <w:r>
              <w:rPr>
                <w:rFonts w:ascii="Meiryo UI" w:hAnsi="Meiryo UI"/>
                <w:sz w:val="18"/>
              </w:rPr>
              <w:t>¥75,000（SBI野口AN TP到達）で一部利確</w:t>
            </w:r>
          </w:p>
        </w:tc>
      </w:tr>
      <w:tr>
        <w:tc>
          <w:tcPr>
            <w:tcW w:type="dxa" w:w="4703"/>
          </w:tcPr>
          <w:p>
            <w:r>
              <w:rPr>
                <w:rFonts w:ascii="Meiryo UI" w:hAnsi="Meiryo UI"/>
                <w:sz w:val="18"/>
              </w:rPr>
              <w:t>ストップロス</w:t>
            </w:r>
          </w:p>
        </w:tc>
        <w:tc>
          <w:tcPr>
            <w:tcW w:type="dxa" w:w="4703"/>
          </w:tcPr>
          <w:p>
            <w:r>
              <w:rPr>
                <w:rFonts w:ascii="Meiryo UI" w:hAnsi="Meiryo UI"/>
                <w:sz w:val="18"/>
              </w:rPr>
              <w:t>¥58,000割れ（説明会ネガティブサプライズ時）</w:t>
            </w:r>
          </w:p>
        </w:tc>
      </w:tr>
    </w:tbl>
    <w:p/>
    <w:p>
      <w:r>
        <w:t>──────────────────────────────────────────────────</w:t>
      </w:r>
    </w:p>
    <w:p/>
    <w:p>
      <w:pPr>
        <w:pStyle w:val="Heading2"/>
      </w:pPr>
      <w:r>
        <w:rPr>
          <w:rFonts w:ascii="Meiryo UI" w:hAnsi="Meiryo UI"/>
          <w:color w:val="2E74B5"/>
        </w:rPr>
        <w:t>13. IR質問状</w:t>
      </w:r>
    </w:p>
    <w:p/>
    <w:p>
      <w:r>
        <w:rPr>
          <w:rFonts w:ascii="Meiryo UI" w:hAnsi="Meiryo UI"/>
          <w:sz w:val="20"/>
        </w:rPr>
        <w:t>竹村トレードカンパニー　深井</w:t>
      </w:r>
    </w:p>
    <w:p/>
    <w:p>
      <w:r>
        <w:rPr>
          <w:rFonts w:ascii="Meiryo UI" w:hAnsi="Meiryo UI"/>
          <w:sz w:val="20"/>
        </w:rPr>
        <w:t>株式会社キーエンス　IR担当 御中</w:t>
      </w:r>
    </w:p>
    <w:p/>
    <w:p>
      <w:r>
        <w:rPr>
          <w:rFonts w:ascii="Meiryo UI" w:hAnsi="Meiryo UI"/>
          <w:sz w:val="20"/>
        </w:rPr>
        <w:t>拝啓　本日の26/3期決算発表、誠にありがとうございました。機関投資家の立場から、以下の点についてご教示いただけますでしょうか。</w:t>
      </w:r>
    </w:p>
    <w:p/>
    <w:p>
      <w:r>
        <w:rPr>
          <w:rFonts w:ascii="Meiryo UI" w:hAnsi="Meiryo UI"/>
          <w:sz w:val="20"/>
        </w:rPr>
        <w:t>Q1. FY27/3期の需要環境認識について</w:t>
      </w:r>
    </w:p>
    <w:p>
      <w:r>
        <w:rPr>
          <w:rFonts w:ascii="Meiryo UI" w:hAnsi="Meiryo UI"/>
          <w:sz w:val="20"/>
        </w:rPr>
        <w:t>Q4 OPM 53.6%（四半期過去最高）を達成されましたが、この収益性は需要サイクルの特定フェーズを反映したものでしょうか、それとも製品ミックス改善など構造的要因が主因でしょうか。FY27/3期においてもこのOPMレベルの持続可能性をどう見通されていますか。</w:t>
      </w:r>
    </w:p>
    <w:p/>
    <w:p>
      <w:r>
        <w:rPr>
          <w:rFonts w:ascii="Meiryo UI" w:hAnsi="Meiryo UI"/>
          <w:sz w:val="20"/>
        </w:rPr>
        <w:t>Q2. 中国市場の回復タイムラインについて</w:t>
      </w:r>
    </w:p>
    <w:p>
      <w:r>
        <w:rPr>
          <w:rFonts w:ascii="Meiryo UI" w:hAnsi="Meiryo UI"/>
          <w:sz w:val="20"/>
        </w:rPr>
        <w:t>中国市場の現状認識と、下期以降の需要回復に向けた見通しをお聞かせください。特に自動車・エレクトロニクス・半導体向けFA需要の変化を具体的にご教示ください。</w:t>
      </w:r>
    </w:p>
    <w:p/>
    <w:p>
      <w:r>
        <w:rPr>
          <w:rFonts w:ascii="Meiryo UI" w:hAnsi="Meiryo UI"/>
          <w:sz w:val="20"/>
        </w:rPr>
        <w:t>Q3. 定款変更（自己株式取得条項新設）の意図について</w:t>
      </w:r>
    </w:p>
    <w:p>
      <w:r>
        <w:rPr>
          <w:rFonts w:ascii="Meiryo UI" w:hAnsi="Meiryo UI"/>
          <w:sz w:val="20"/>
        </w:rPr>
        <w:t>今回の定款変更で自己株式取得条項を新設されました。具体的な取得規模・タイムライン・財源（純現預金¥1.8兆の活用など）についてのお考えをお聞かせください。</w:t>
      </w:r>
    </w:p>
    <w:p/>
    <w:p>
      <w:r>
        <w:rPr>
          <w:rFonts w:ascii="Meiryo UI" w:hAnsi="Meiryo UI"/>
          <w:sz w:val="20"/>
        </w:rPr>
        <w:t>Q4. AI・ロボティクス需要の取り込みについて</w:t>
      </w:r>
    </w:p>
    <w:p>
      <w:r>
        <w:rPr>
          <w:rFonts w:ascii="Meiryo UI" w:hAnsi="Meiryo UI"/>
          <w:sz w:val="20"/>
        </w:rPr>
        <w:t>AIサーバー製造・協働ロボット向け検査需要の拡大が報告されています。キーエンスの製品ポートフォリオにおける同分野の売上貢献度と今後の成長見通しをお示しください。</w:t>
      </w:r>
    </w:p>
    <w:p/>
    <w:p>
      <w:r>
        <w:rPr>
          <w:rFonts w:ascii="Meiryo UI" w:hAnsi="Meiryo UI"/>
          <w:sz w:val="20"/>
        </w:rPr>
        <w:t>Q5. 価格改定方針について</w:t>
      </w:r>
    </w:p>
    <w:p>
      <w:r>
        <w:rPr>
          <w:rFonts w:ascii="Meiryo UI" w:hAnsi="Meiryo UI"/>
          <w:sz w:val="20"/>
        </w:rPr>
        <w:t>直販モデルにおける価格決定力を活かした値上げ実施状況（時期・品目・幅）と、FY27/3期の価格戦略（引き上げ・据え置き）についてお聞かせください。</w:t>
      </w:r>
    </w:p>
    <w:p/>
    <w:p>
      <w:r>
        <w:rPr>
          <w:rFonts w:ascii="Meiryo UI" w:hAnsi="Meiryo UI"/>
          <w:sz w:val="20"/>
        </w:rPr>
        <w:t>敬具</w:t>
      </w:r>
    </w:p>
    <w:p/>
    <w:p>
      <w:r>
        <w:rPr>
          <w:rFonts w:ascii="Meiryo UI" w:hAnsi="Meiryo UI"/>
          <w:sz w:val="20"/>
        </w:rPr>
        <w:t>竹村トレードカンパニー</w:t>
      </w:r>
    </w:p>
    <w:p>
      <w:r>
        <w:rPr>
          <w:rFonts w:ascii="Meiryo UI" w:hAnsi="Meiryo UI"/>
          <w:sz w:val="20"/>
        </w:rPr>
        <w:t>深井</w:t>
      </w:r>
    </w:p>
    <w:p/>
    <w:p>
      <w:r>
        <w:t>──────────────────────────────────────────────────</w:t>
      </w:r>
    </w:p>
    <w:p/>
    <w:p>
      <w:r>
        <w:rPr>
          <w:rFonts w:ascii="Meiryo UI" w:hAnsi="Meiryo UI"/>
          <w:sz w:val="20"/>
        </w:rPr>
        <w:t>本レポートは竹村トレードカンパニー内部資料です。株価・財務数値は2026年4月24日時点の情報に基づきます。株価は別途リアルタイムで確認してください。</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